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9"/>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第二人民医院应急救援补充物资</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9"/>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sz w:val="72"/>
          <w:lang w:eastAsia="zh-CN"/>
        </w:rPr>
        <w:t>公开招标</w:t>
      </w:r>
      <w:r>
        <w:rPr>
          <w:rFonts w:hint="eastAsia" w:ascii="宋体" w:hAnsi="宋体" w:cs="宋体"/>
          <w:b/>
          <w:sz w:val="72"/>
        </w:rPr>
        <w:t>文件</w:t>
      </w:r>
    </w:p>
    <w:p>
      <w:pPr>
        <w:widowControl/>
        <w:spacing w:line="360" w:lineRule="auto"/>
        <w:jc w:val="center"/>
        <w:rPr>
          <w:rFonts w:hint="eastAsia" w:ascii="宋体" w:hAnsi="宋体" w:eastAsia="宋体" w:cs="宋体"/>
          <w:b/>
          <w:bCs/>
          <w:kern w:val="0"/>
          <w:sz w:val="30"/>
          <w:szCs w:val="30"/>
          <w:lang w:val="en-US" w:eastAsia="zh-CN"/>
        </w:rPr>
      </w:pPr>
      <w:r>
        <w:rPr>
          <w:rFonts w:hint="eastAsia" w:ascii="宋体" w:hAnsi="宋体" w:cs="宋体"/>
          <w:b/>
          <w:sz w:val="30"/>
          <w:szCs w:val="30"/>
        </w:rPr>
        <w:t>招标编号：</w:t>
      </w:r>
      <w:r>
        <w:rPr>
          <w:rStyle w:val="39"/>
          <w:rFonts w:hint="eastAsia" w:ascii="宋体" w:hAnsi="宋体" w:eastAsia="宋体" w:cs="宋体"/>
          <w:i w:val="0"/>
          <w:caps w:val="0"/>
          <w:color w:val="333333"/>
          <w:spacing w:val="0"/>
          <w:sz w:val="30"/>
          <w:szCs w:val="30"/>
        </w:rPr>
        <w:t>SEY-2019YNCG-08</w:t>
      </w:r>
      <w:r>
        <w:rPr>
          <w:rStyle w:val="39"/>
          <w:rFonts w:hint="eastAsia" w:ascii="宋体" w:hAnsi="宋体" w:eastAsia="宋体" w:cs="宋体"/>
          <w:i w:val="0"/>
          <w:caps w:val="0"/>
          <w:color w:val="333333"/>
          <w:spacing w:val="0"/>
          <w:sz w:val="30"/>
          <w:szCs w:val="30"/>
          <w:lang w:val="en-US" w:eastAsia="zh-CN"/>
        </w:rPr>
        <w:t>3</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000000" w:themeColor="text1"/>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000000" w:themeColor="text1"/>
          <w:kern w:val="0"/>
          <w:sz w:val="30"/>
          <w:szCs w:val="30"/>
        </w:rPr>
        <w:t>二0</w:t>
      </w:r>
      <w:r>
        <w:rPr>
          <w:rFonts w:hint="eastAsia" w:ascii="宋体" w:hAnsi="宋体" w:cs="宋体"/>
          <w:b/>
          <w:bCs/>
          <w:color w:val="000000" w:themeColor="text1"/>
          <w:kern w:val="0"/>
          <w:sz w:val="30"/>
          <w:szCs w:val="30"/>
          <w:lang w:eastAsia="zh-CN"/>
        </w:rPr>
        <w:t>二</w:t>
      </w:r>
      <w:r>
        <w:rPr>
          <w:rFonts w:hint="eastAsia" w:ascii="宋体" w:hAnsi="宋体" w:cs="宋体"/>
          <w:b/>
          <w:bCs/>
          <w:color w:val="000000" w:themeColor="text1"/>
          <w:kern w:val="0"/>
          <w:sz w:val="30"/>
          <w:szCs w:val="30"/>
          <w:lang w:val="en-US" w:eastAsia="zh-CN"/>
        </w:rPr>
        <w:t>0</w:t>
      </w:r>
      <w:r>
        <w:rPr>
          <w:rFonts w:hint="eastAsia" w:ascii="宋体" w:hAnsi="宋体" w:cs="宋体"/>
          <w:b/>
          <w:bCs/>
          <w:color w:val="000000" w:themeColor="text1"/>
          <w:kern w:val="0"/>
          <w:sz w:val="30"/>
          <w:szCs w:val="30"/>
        </w:rPr>
        <w:t>年</w:t>
      </w:r>
      <w:r>
        <w:rPr>
          <w:rFonts w:hint="eastAsia" w:ascii="宋体" w:hAnsi="宋体" w:cs="宋体"/>
          <w:b/>
          <w:bCs/>
          <w:color w:val="000000" w:themeColor="text1"/>
          <w:kern w:val="0"/>
          <w:sz w:val="30"/>
          <w:szCs w:val="30"/>
          <w:lang w:eastAsia="zh-CN"/>
        </w:rPr>
        <w:t>二</w:t>
      </w:r>
      <w:r>
        <w:rPr>
          <w:rFonts w:hint="eastAsia" w:ascii="宋体" w:hAnsi="宋体" w:cs="宋体"/>
          <w:b/>
          <w:bCs/>
          <w:color w:val="000000" w:themeColor="text1"/>
          <w:kern w:val="0"/>
          <w:sz w:val="30"/>
          <w:szCs w:val="30"/>
        </w:rPr>
        <w:t>月</w:t>
      </w:r>
    </w:p>
    <w:p>
      <w:pPr>
        <w:pStyle w:val="4"/>
        <w:rPr>
          <w:rFonts w:ascii="宋体" w:hAnsi="宋体" w:cs="宋体"/>
        </w:rPr>
      </w:pPr>
      <w:bookmarkStart w:id="1" w:name="_Toc2876"/>
      <w:r>
        <w:rPr>
          <w:rFonts w:hint="eastAsia" w:ascii="宋体" w:hAnsi="宋体" w:cs="宋体"/>
        </w:rPr>
        <w:t>目录</w:t>
      </w:r>
      <w:bookmarkEnd w:id="1"/>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128372051"/>
      <w:bookmarkStart w:id="4" w:name="_Toc128372729"/>
      <w:bookmarkStart w:id="5" w:name="_Toc327439434"/>
    </w:p>
    <w:p>
      <w:pPr>
        <w:pStyle w:val="4"/>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6"/>
      </w:pPr>
    </w:p>
    <w:p/>
    <w:p>
      <w:pPr>
        <w:rPr>
          <w:rFonts w:ascii="宋体" w:hAnsi="宋体" w:cs="宋体"/>
        </w:rPr>
      </w:pPr>
    </w:p>
    <w:p>
      <w:pPr>
        <w:pStyle w:val="4"/>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val="en-US"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sz w:val="24"/>
        </w:rPr>
      </w:pPr>
      <w:r>
        <w:rPr>
          <w:rFonts w:hint="eastAsia" w:ascii="宋体" w:hAnsi="宋体" w:cs="宋体"/>
          <w:sz w:val="24"/>
          <w:lang w:eastAsia="zh-CN"/>
        </w:rPr>
        <w:t>根据相关科室需求，经院主管部门批准</w:t>
      </w:r>
      <w:r>
        <w:rPr>
          <w:rFonts w:hint="eastAsia" w:ascii="宋体" w:hAnsi="宋体" w:cs="宋体"/>
          <w:sz w:val="24"/>
        </w:rPr>
        <w:t>，</w:t>
      </w:r>
      <w:r>
        <w:rPr>
          <w:rFonts w:hint="eastAsia" w:ascii="宋体" w:hAnsi="宋体" w:cs="宋体"/>
          <w:sz w:val="24"/>
          <w:lang w:eastAsia="zh-CN"/>
        </w:rPr>
        <w:t>决定</w:t>
      </w:r>
      <w:r>
        <w:rPr>
          <w:rFonts w:hint="eastAsia" w:ascii="宋体" w:hAnsi="宋体" w:cs="宋体"/>
          <w:sz w:val="24"/>
        </w:rPr>
        <w:t>对</w:t>
      </w:r>
      <w:r>
        <w:rPr>
          <w:rFonts w:hint="eastAsia" w:ascii="宋体" w:hAnsi="宋体" w:cs="宋体"/>
          <w:bCs/>
          <w:sz w:val="24"/>
          <w:lang w:eastAsia="zh-CN"/>
        </w:rPr>
        <w:t>甘肃省第二人民医院应急救援补充物资</w:t>
      </w:r>
      <w:r>
        <w:rPr>
          <w:rFonts w:hint="eastAsia" w:ascii="宋体" w:hAnsi="宋体" w:cs="宋体"/>
          <w:bCs/>
          <w:sz w:val="24"/>
          <w:lang w:val="en-US" w:eastAsia="zh-CN"/>
        </w:rPr>
        <w:t>采购</w:t>
      </w:r>
      <w:r>
        <w:rPr>
          <w:rFonts w:hint="eastAsia" w:ascii="宋体" w:hAnsi="宋体" w:cs="宋体"/>
          <w:bCs/>
          <w:sz w:val="24"/>
        </w:rPr>
        <w:t>项目</w:t>
      </w:r>
      <w:r>
        <w:rPr>
          <w:rFonts w:hint="eastAsia" w:ascii="宋体" w:hAnsi="宋体" w:cs="宋体"/>
          <w:sz w:val="24"/>
        </w:rPr>
        <w:t>以</w:t>
      </w:r>
      <w:r>
        <w:rPr>
          <w:rFonts w:hint="eastAsia" w:ascii="宋体" w:hAnsi="宋体" w:cs="宋体"/>
          <w:sz w:val="24"/>
          <w:lang w:eastAsia="zh-CN"/>
        </w:rPr>
        <w:t>公开招标的</w:t>
      </w:r>
      <w:r>
        <w:rPr>
          <w:rFonts w:hint="eastAsia" w:ascii="宋体" w:hAnsi="宋体" w:cs="宋体"/>
          <w:sz w:val="24"/>
        </w:rPr>
        <w:t>形式进行</w:t>
      </w:r>
      <w:r>
        <w:rPr>
          <w:rFonts w:hint="eastAsia" w:ascii="宋体" w:hAnsi="宋体" w:cs="宋体"/>
          <w:sz w:val="24"/>
          <w:lang w:eastAsia="zh-CN"/>
        </w:rPr>
        <w:t>三次</w:t>
      </w:r>
      <w:r>
        <w:rPr>
          <w:rFonts w:hint="eastAsia" w:ascii="宋体" w:hAnsi="宋体" w:cs="宋体"/>
          <w:sz w:val="24"/>
        </w:rPr>
        <w:t>采购，欢迎符合资格条件的投标人前来参加。</w:t>
      </w:r>
    </w:p>
    <w:p>
      <w:pPr>
        <w:spacing w:line="360" w:lineRule="auto"/>
        <w:rPr>
          <w:rFonts w:hint="default" w:ascii="宋体" w:hAnsi="宋体" w:eastAsia="宋体" w:cs="宋体"/>
          <w:b/>
          <w:sz w:val="24"/>
          <w:lang w:val="en-US" w:eastAsia="zh-CN"/>
        </w:rPr>
      </w:pPr>
      <w:r>
        <w:rPr>
          <w:rFonts w:hint="eastAsia" w:ascii="宋体" w:hAnsi="宋体" w:cs="宋体"/>
          <w:b/>
          <w:bCs/>
          <w:sz w:val="24"/>
        </w:rPr>
        <w:t>1.招标文件编号：</w:t>
      </w:r>
      <w:r>
        <w:rPr>
          <w:rStyle w:val="39"/>
          <w:rFonts w:hint="eastAsia" w:ascii="宋体" w:hAnsi="宋体" w:eastAsia="宋体" w:cs="宋体"/>
          <w:i w:val="0"/>
          <w:caps w:val="0"/>
          <w:color w:val="333333"/>
          <w:spacing w:val="0"/>
          <w:sz w:val="24"/>
          <w:szCs w:val="24"/>
        </w:rPr>
        <w:t>SEY-2019YNCG-08</w:t>
      </w:r>
      <w:r>
        <w:rPr>
          <w:rStyle w:val="39"/>
          <w:rFonts w:hint="eastAsia" w:ascii="宋体" w:hAnsi="宋体" w:eastAsia="宋体" w:cs="宋体"/>
          <w:i w:val="0"/>
          <w:caps w:val="0"/>
          <w:color w:val="333333"/>
          <w:spacing w:val="0"/>
          <w:sz w:val="24"/>
          <w:szCs w:val="24"/>
          <w:lang w:val="en-US" w:eastAsia="zh-CN"/>
        </w:rPr>
        <w:t>3</w:t>
      </w:r>
    </w:p>
    <w:p>
      <w:pPr>
        <w:pStyle w:val="20"/>
        <w:keepNext w:val="0"/>
        <w:keepLines w:val="0"/>
        <w:pageBreakBefore w:val="0"/>
        <w:kinsoku/>
        <w:wordWrap/>
        <w:overflowPunct/>
        <w:topLinePunct w:val="0"/>
        <w:autoSpaceDE/>
        <w:autoSpaceDN/>
        <w:bidi w:val="0"/>
        <w:spacing w:before="0" w:beforeAutospacing="0" w:line="420" w:lineRule="exact"/>
        <w:rPr>
          <w:rFonts w:ascii="宋体" w:hAnsi="宋体" w:cs="宋体"/>
          <w:sz w:val="24"/>
        </w:rPr>
      </w:pPr>
      <w:r>
        <w:rPr>
          <w:rFonts w:hint="eastAsia" w:ascii="宋体" w:hAnsi="宋体" w:cs="宋体"/>
          <w:b/>
          <w:bCs/>
          <w:sz w:val="24"/>
        </w:rPr>
        <w:t>2.招标内容：</w:t>
      </w:r>
      <w:r>
        <w:rPr>
          <w:rFonts w:hint="eastAsia" w:hAnsi="宋体" w:cs="宋体"/>
          <w:b/>
          <w:bCs/>
          <w:sz w:val="24"/>
          <w:lang w:eastAsia="zh-CN"/>
        </w:rPr>
        <w:t>应急救援补充物资一批</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w:t>
      </w:r>
      <w:r>
        <w:rPr>
          <w:rFonts w:hint="eastAsia" w:ascii="宋体" w:hAnsi="宋体" w:cs="宋体"/>
          <w:sz w:val="24"/>
        </w:rPr>
        <w:t>目共一个包，具体招标要求详见招标文件</w:t>
      </w:r>
      <w:r>
        <w:rPr>
          <w:rFonts w:hint="eastAsia" w:hAnsi="宋体" w:cs="宋体"/>
          <w:sz w:val="24"/>
          <w:lang w:val="en-US" w:eastAsia="zh-CN"/>
        </w:rPr>
        <w:t>,开标时带相应产品或材料的样品</w:t>
      </w:r>
      <w:r>
        <w:rPr>
          <w:rFonts w:hint="eastAsia" w:ascii="宋体" w:hAnsi="宋体" w:cs="宋体"/>
          <w:sz w:val="24"/>
        </w:rPr>
        <w:t>)</w:t>
      </w:r>
    </w:p>
    <w:p>
      <w:pPr>
        <w:spacing w:line="360" w:lineRule="auto"/>
        <w:rPr>
          <w:rFonts w:ascii="宋体" w:hAnsi="宋体" w:cs="宋体"/>
          <w:b/>
          <w:bCs/>
          <w:sz w:val="24"/>
        </w:rPr>
      </w:pPr>
      <w:r>
        <w:rPr>
          <w:rFonts w:hint="eastAsia" w:ascii="宋体" w:hAnsi="宋体" w:cs="宋体"/>
          <w:b/>
          <w:bCs/>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highlight w:val="none"/>
        </w:rPr>
      </w:pPr>
      <w:r>
        <w:rPr>
          <w:rFonts w:hint="eastAsia" w:ascii="宋体" w:hAnsi="宋体" w:cs="宋体"/>
          <w:sz w:val="24"/>
          <w:lang w:eastAsia="zh-CN"/>
        </w:rPr>
        <w:t>⑤具备法律、行政法规规定的其他条件的证明材料。</w:t>
      </w:r>
    </w:p>
    <w:p>
      <w:pPr>
        <w:numPr>
          <w:ilvl w:val="0"/>
          <w:numId w:val="1"/>
        </w:numPr>
        <w:spacing w:line="360" w:lineRule="auto"/>
        <w:ind w:firstLine="480" w:firstLineChars="200"/>
        <w:rPr>
          <w:rFonts w:hint="eastAsia" w:ascii="宋体" w:hAnsi="宋体" w:cs="宋体"/>
          <w:sz w:val="24"/>
          <w:szCs w:val="24"/>
        </w:rPr>
      </w:pPr>
      <w:r>
        <w:rPr>
          <w:rFonts w:hint="eastAsia" w:ascii="宋体" w:hAnsi="宋体" w:cs="宋体"/>
          <w:sz w:val="24"/>
          <w:szCs w:val="24"/>
        </w:rPr>
        <w:t>生产企业的营业执照</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numPr>
          <w:ilvl w:val="0"/>
          <w:numId w:val="1"/>
        </w:num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eastAsia="zh-CN"/>
        </w:rPr>
        <w:t>进口产品须具有</w:t>
      </w:r>
      <w:r>
        <w:rPr>
          <w:rFonts w:hint="eastAsia" w:ascii="宋体" w:hAnsi="宋体" w:cs="宋体"/>
          <w:sz w:val="24"/>
          <w:szCs w:val="24"/>
        </w:rPr>
        <w:t>生产商</w:t>
      </w:r>
      <w:r>
        <w:rPr>
          <w:rFonts w:hint="eastAsia" w:ascii="宋体" w:hAnsi="宋体" w:cs="宋体"/>
          <w:sz w:val="24"/>
          <w:szCs w:val="24"/>
          <w:lang w:eastAsia="zh-CN"/>
        </w:rPr>
        <w:t>（代理商）</w:t>
      </w:r>
      <w:r>
        <w:rPr>
          <w:rFonts w:hint="eastAsia" w:ascii="宋体" w:hAnsi="宋体" w:cs="宋体"/>
          <w:sz w:val="24"/>
          <w:szCs w:val="24"/>
        </w:rPr>
        <w:t>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4</w:t>
      </w:r>
      <w:r>
        <w:rPr>
          <w:rFonts w:hint="eastAsia" w:ascii="宋体" w:hAnsi="宋体" w:cs="宋体"/>
          <w:sz w:val="24"/>
        </w:rPr>
        <w:t>）本项目不接受联合体投标。</w:t>
      </w:r>
    </w:p>
    <w:p>
      <w:pPr>
        <w:spacing w:line="360" w:lineRule="auto"/>
        <w:rPr>
          <w:rFonts w:ascii="宋体" w:hAnsi="宋体" w:cs="宋体"/>
          <w:sz w:val="24"/>
        </w:rPr>
      </w:pPr>
      <w:r>
        <w:rPr>
          <w:rFonts w:hint="eastAsia" w:ascii="宋体" w:hAnsi="宋体" w:cs="宋体"/>
          <w:b/>
          <w:bCs/>
          <w:sz w:val="24"/>
          <w:lang w:val="en-US" w:eastAsia="zh-CN"/>
        </w:rPr>
        <w:t>4</w:t>
      </w:r>
      <w:r>
        <w:rPr>
          <w:rFonts w:hint="eastAsia" w:ascii="宋体" w:hAnsi="宋体" w:cs="宋体"/>
          <w:b/>
          <w:bCs/>
          <w:sz w:val="24"/>
        </w:rPr>
        <w:t>.项目预算：</w:t>
      </w:r>
      <w:r>
        <w:rPr>
          <w:rFonts w:hint="eastAsia" w:ascii="宋体" w:hAnsi="宋体" w:cs="宋体"/>
          <w:b/>
          <w:bCs/>
          <w:sz w:val="24"/>
          <w:lang w:val="en-US" w:eastAsia="zh-CN"/>
        </w:rPr>
        <w:t>11</w:t>
      </w:r>
      <w:r>
        <w:rPr>
          <w:rFonts w:hint="eastAsia" w:ascii="宋体" w:hAnsi="宋体" w:cs="宋体"/>
          <w:sz w:val="24"/>
        </w:rPr>
        <w:t>万元</w:t>
      </w:r>
    </w:p>
    <w:p>
      <w:pPr>
        <w:pStyle w:val="29"/>
        <w:spacing w:line="360" w:lineRule="auto"/>
        <w:ind w:left="0" w:leftChars="0"/>
        <w:rPr>
          <w:rFonts w:ascii="宋体" w:hAnsi="宋体" w:cs="宋体"/>
          <w:color w:val="000000" w:themeColor="text1"/>
          <w:kern w:val="0"/>
          <w:sz w:val="24"/>
        </w:rPr>
      </w:pPr>
      <w:r>
        <w:rPr>
          <w:rFonts w:hint="eastAsia" w:ascii="宋体" w:hAnsi="宋体" w:cs="宋体"/>
          <w:b/>
          <w:bCs/>
          <w:sz w:val="24"/>
          <w:lang w:val="en-US" w:eastAsia="zh-CN"/>
        </w:rPr>
        <w:t>5</w:t>
      </w:r>
      <w:r>
        <w:rPr>
          <w:rFonts w:hint="eastAsia" w:ascii="宋体" w:hAnsi="宋体" w:cs="宋体"/>
          <w:b/>
          <w:bCs/>
          <w:sz w:val="24"/>
        </w:rPr>
        <w:t>.公告期</w:t>
      </w:r>
      <w:r>
        <w:rPr>
          <w:rFonts w:hint="eastAsia" w:ascii="宋体" w:hAnsi="宋体" w:cs="宋体"/>
          <w:b/>
          <w:bCs/>
          <w:color w:val="000000" w:themeColor="text1"/>
          <w:sz w:val="24"/>
        </w:rPr>
        <w:t>限：</w:t>
      </w:r>
      <w:r>
        <w:rPr>
          <w:rFonts w:hint="eastAsia" w:ascii="宋体" w:hAnsi="宋体" w:cs="宋体"/>
          <w:color w:val="000000" w:themeColor="text1"/>
          <w:kern w:val="0"/>
          <w:sz w:val="24"/>
        </w:rPr>
        <w:t>5个工作日（即自20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日至20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9</w:t>
      </w:r>
      <w:r>
        <w:rPr>
          <w:rFonts w:hint="eastAsia" w:ascii="宋体" w:hAnsi="宋体" w:cs="宋体"/>
          <w:color w:val="000000" w:themeColor="text1"/>
          <w:kern w:val="0"/>
          <w:sz w:val="24"/>
        </w:rPr>
        <w:t>日止）</w:t>
      </w:r>
    </w:p>
    <w:p>
      <w:pPr>
        <w:spacing w:line="360" w:lineRule="auto"/>
        <w:rPr>
          <w:rFonts w:ascii="宋体" w:hAnsi="宋体" w:cs="宋体"/>
          <w:color w:val="000000" w:themeColor="text1"/>
          <w:sz w:val="24"/>
        </w:rPr>
      </w:pPr>
      <w:r>
        <w:rPr>
          <w:rFonts w:hint="eastAsia" w:ascii="宋体" w:hAnsi="宋体" w:cs="宋体"/>
          <w:b/>
          <w:bCs/>
          <w:color w:val="000000" w:themeColor="text1"/>
          <w:sz w:val="24"/>
          <w:lang w:val="en-US" w:eastAsia="zh-CN"/>
        </w:rPr>
        <w:t>6</w:t>
      </w:r>
      <w:r>
        <w:rPr>
          <w:rFonts w:hint="eastAsia" w:ascii="宋体" w:hAnsi="宋体" w:cs="宋体"/>
          <w:b/>
          <w:bCs/>
          <w:color w:val="000000" w:themeColor="text1"/>
          <w:sz w:val="24"/>
        </w:rPr>
        <w:t>.评标办法：</w:t>
      </w:r>
      <w:r>
        <w:rPr>
          <w:rFonts w:hint="eastAsia"/>
          <w:color w:val="000000" w:themeColor="text1"/>
          <w:lang w:val="en-US" w:eastAsia="zh-CN"/>
        </w:rPr>
        <w:t>综合评分法</w:t>
      </w:r>
      <w:r>
        <w:rPr>
          <w:rFonts w:hint="eastAsia" w:ascii="宋体" w:hAnsi="宋体" w:cs="宋体"/>
          <w:color w:val="000000" w:themeColor="text1"/>
          <w:sz w:val="24"/>
        </w:rPr>
        <w:t>。</w:t>
      </w:r>
    </w:p>
    <w:p>
      <w:pPr>
        <w:spacing w:line="360" w:lineRule="auto"/>
        <w:rPr>
          <w:rFonts w:hint="eastAsia" w:ascii="宋体" w:hAnsi="宋体" w:cs="宋体"/>
          <w:color w:val="auto"/>
          <w:kern w:val="0"/>
          <w:sz w:val="24"/>
          <w:szCs w:val="22"/>
        </w:rPr>
      </w:pPr>
      <w:r>
        <w:rPr>
          <w:rFonts w:hint="eastAsia" w:ascii="宋体" w:hAnsi="宋体" w:cs="宋体"/>
          <w:b/>
          <w:bCs/>
          <w:color w:val="000000" w:themeColor="text1"/>
          <w:sz w:val="24"/>
          <w:lang w:val="en-US" w:eastAsia="zh-CN"/>
        </w:rPr>
        <w:t>7</w:t>
      </w:r>
      <w:r>
        <w:rPr>
          <w:rFonts w:hint="eastAsia" w:ascii="宋体" w:hAnsi="宋体" w:cs="宋体"/>
          <w:b/>
          <w:bCs/>
          <w:color w:val="000000" w:themeColor="text1"/>
          <w:sz w:val="24"/>
        </w:rPr>
        <w:t>.</w:t>
      </w:r>
      <w:r>
        <w:rPr>
          <w:rFonts w:hint="eastAsia" w:ascii="宋体" w:hAnsi="宋体" w:cs="宋体"/>
          <w:b/>
          <w:bCs/>
          <w:color w:val="000000" w:themeColor="text1"/>
          <w:sz w:val="24"/>
          <w:lang w:eastAsia="zh-CN"/>
        </w:rPr>
        <w:t>报名</w:t>
      </w:r>
      <w:r>
        <w:rPr>
          <w:rFonts w:hint="eastAsia" w:ascii="宋体" w:hAnsi="宋体" w:cs="宋体"/>
          <w:b/>
          <w:bCs/>
          <w:color w:val="000000" w:themeColor="text1"/>
          <w:sz w:val="24"/>
        </w:rPr>
        <w:t>时间</w:t>
      </w:r>
      <w:r>
        <w:rPr>
          <w:rFonts w:hint="eastAsia" w:ascii="宋体" w:hAnsi="宋体" w:cs="宋体"/>
          <w:b/>
          <w:bCs/>
          <w:color w:val="000000" w:themeColor="text1"/>
          <w:sz w:val="24"/>
          <w:lang w:eastAsia="zh-CN"/>
        </w:rPr>
        <w:t>及地点</w:t>
      </w:r>
      <w:r>
        <w:rPr>
          <w:rFonts w:hint="eastAsia" w:ascii="宋体" w:hAnsi="宋体" w:cs="宋体"/>
          <w:b/>
          <w:bCs/>
          <w:color w:val="000000" w:themeColor="text1"/>
          <w:sz w:val="24"/>
        </w:rPr>
        <w:t>：</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3</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3</w:t>
      </w:r>
      <w:r>
        <w:rPr>
          <w:rFonts w:hint="eastAsia" w:ascii="宋体" w:hAnsi="宋体" w:cs="宋体"/>
          <w:b w:val="0"/>
          <w:bCs w:val="0"/>
          <w:color w:val="000000" w:themeColor="text1"/>
          <w:kern w:val="0"/>
          <w:sz w:val="24"/>
          <w:szCs w:val="22"/>
        </w:rPr>
        <w:t>日起至20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3月9</w:t>
      </w:r>
      <w:r>
        <w:rPr>
          <w:rFonts w:hint="eastAsia" w:ascii="宋体" w:hAnsi="宋体" w:cs="宋体"/>
          <w:b w:val="0"/>
          <w:bCs w:val="0"/>
          <w:color w:val="000000" w:themeColor="text1"/>
          <w:kern w:val="0"/>
          <w:sz w:val="24"/>
          <w:szCs w:val="22"/>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000000" w:themeColor="text1"/>
          <w:sz w:val="24"/>
          <w:lang w:val="en-US" w:eastAsia="zh-CN"/>
        </w:rPr>
        <w:t>9</w:t>
      </w:r>
      <w:r>
        <w:rPr>
          <w:rFonts w:hint="eastAsia" w:ascii="宋体" w:hAnsi="宋体" w:cs="宋体"/>
          <w:b/>
          <w:bCs/>
          <w:color w:val="000000" w:themeColor="text1"/>
          <w:sz w:val="24"/>
        </w:rPr>
        <w:t>.开标时间</w:t>
      </w:r>
      <w:r>
        <w:rPr>
          <w:rFonts w:hint="eastAsia" w:ascii="宋体" w:hAnsi="宋体" w:cs="宋体"/>
          <w:b/>
          <w:bCs/>
          <w:color w:val="auto"/>
          <w:sz w:val="24"/>
        </w:rPr>
        <w:t>：</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3</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31</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w:t>
      </w:r>
      <w:r>
        <w:rPr>
          <w:rFonts w:hint="eastAsia" w:ascii="宋体" w:hAnsi="宋体" w:cs="宋体"/>
          <w:b/>
          <w:bCs/>
          <w:color w:val="auto"/>
          <w:kern w:val="0"/>
          <w:sz w:val="24"/>
          <w:szCs w:val="22"/>
        </w:rPr>
        <w:t>午</w:t>
      </w:r>
      <w:r>
        <w:rPr>
          <w:rFonts w:hint="eastAsia" w:ascii="宋体" w:hAnsi="宋体" w:cs="宋体"/>
          <w:b/>
          <w:bCs/>
          <w:color w:val="auto"/>
          <w:kern w:val="0"/>
          <w:sz w:val="24"/>
          <w:szCs w:val="22"/>
          <w:lang w:val="en-US" w:eastAsia="zh-CN"/>
        </w:rPr>
        <w:t>15</w:t>
      </w:r>
      <w:r>
        <w:rPr>
          <w:rFonts w:hint="eastAsia" w:ascii="宋体" w:hAnsi="宋体" w:cs="宋体"/>
          <w:b/>
          <w:bCs/>
          <w:color w:val="auto"/>
          <w:kern w:val="0"/>
          <w:sz w:val="24"/>
          <w:szCs w:val="22"/>
        </w:rPr>
        <w:t>：00分</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hint="eastAsia" w:ascii="宋体" w:hAnsi="宋体" w:cs="宋体"/>
          <w:kern w:val="0"/>
          <w:sz w:val="24"/>
          <w:szCs w:val="22"/>
          <w:lang w:val="en-US" w:eastAsia="zh-CN"/>
        </w:rPr>
      </w:pPr>
      <w:r>
        <w:rPr>
          <w:rFonts w:hint="eastAsia" w:ascii="宋体" w:hAnsi="宋体" w:cs="宋体"/>
          <w:kern w:val="0"/>
          <w:sz w:val="24"/>
          <w:szCs w:val="22"/>
          <w:lang w:val="en-US" w:eastAsia="zh-CN"/>
        </w:rPr>
        <w:t xml:space="preserve">                                  </w:t>
      </w:r>
      <w:r>
        <w:rPr>
          <w:rFonts w:hint="eastAsia" w:ascii="宋体" w:hAnsi="宋体" w:cs="宋体"/>
          <w:kern w:val="0"/>
          <w:sz w:val="24"/>
          <w:szCs w:val="22"/>
          <w:lang w:eastAsia="zh-CN"/>
        </w:rPr>
        <w:t>甘肃省第二人民医院</w:t>
      </w:r>
      <w:r>
        <w:rPr>
          <w:rFonts w:hint="eastAsia" w:ascii="宋体" w:hAnsi="宋体" w:cs="宋体"/>
          <w:kern w:val="0"/>
          <w:sz w:val="24"/>
          <w:szCs w:val="22"/>
          <w:lang w:val="en-US" w:eastAsia="zh-CN"/>
        </w:rPr>
        <w:t xml:space="preserve">                           </w:t>
      </w:r>
    </w:p>
    <w:p>
      <w:pPr>
        <w:spacing w:line="360" w:lineRule="auto"/>
        <w:jc w:val="center"/>
        <w:rPr>
          <w:rFonts w:ascii="宋体" w:hAnsi="宋体" w:cs="宋体"/>
          <w:color w:val="000000" w:themeColor="text1"/>
          <w:kern w:val="0"/>
          <w:sz w:val="24"/>
          <w:szCs w:val="22"/>
        </w:rPr>
      </w:pPr>
      <w:r>
        <w:rPr>
          <w:rFonts w:hint="eastAsia" w:ascii="宋体" w:hAnsi="宋体" w:cs="宋体"/>
          <w:kern w:val="0"/>
          <w:sz w:val="24"/>
          <w:szCs w:val="22"/>
          <w:lang w:val="en-US" w:eastAsia="zh-CN"/>
        </w:rPr>
        <w:t xml:space="preserve">                                </w:t>
      </w:r>
      <w:r>
        <w:rPr>
          <w:rFonts w:hint="eastAsia" w:ascii="宋体" w:hAnsi="宋体" w:cs="宋体"/>
          <w:color w:val="000000" w:themeColor="text1"/>
          <w:kern w:val="0"/>
          <w:sz w:val="24"/>
          <w:szCs w:val="22"/>
          <w:lang w:val="en-US" w:eastAsia="zh-CN"/>
        </w:rPr>
        <w:t xml:space="preserve">  </w:t>
      </w:r>
      <w:r>
        <w:rPr>
          <w:rFonts w:hint="eastAsia" w:ascii="宋体" w:hAnsi="宋体" w:cs="宋体"/>
          <w:color w:val="000000" w:themeColor="text1"/>
          <w:kern w:val="0"/>
          <w:sz w:val="24"/>
          <w:szCs w:val="22"/>
        </w:rPr>
        <w:t>20</w:t>
      </w:r>
      <w:r>
        <w:rPr>
          <w:rFonts w:hint="eastAsia" w:ascii="宋体" w:hAnsi="宋体" w:cs="宋体"/>
          <w:color w:val="000000" w:themeColor="text1"/>
          <w:kern w:val="0"/>
          <w:sz w:val="24"/>
          <w:szCs w:val="22"/>
          <w:lang w:val="en-US" w:eastAsia="zh-CN"/>
        </w:rPr>
        <w:t>20</w:t>
      </w:r>
      <w:r>
        <w:rPr>
          <w:rFonts w:hint="eastAsia" w:ascii="宋体" w:hAnsi="宋体" w:cs="宋体"/>
          <w:color w:val="000000" w:themeColor="text1"/>
          <w:kern w:val="0"/>
          <w:sz w:val="24"/>
          <w:szCs w:val="22"/>
        </w:rPr>
        <w:t>年</w:t>
      </w:r>
      <w:r>
        <w:rPr>
          <w:rFonts w:hint="eastAsia" w:ascii="宋体" w:hAnsi="宋体" w:cs="宋体"/>
          <w:color w:val="000000" w:themeColor="text1"/>
          <w:kern w:val="0"/>
          <w:sz w:val="24"/>
          <w:szCs w:val="22"/>
          <w:lang w:val="en-US" w:eastAsia="zh-CN"/>
        </w:rPr>
        <w:t>3</w:t>
      </w:r>
      <w:r>
        <w:rPr>
          <w:rFonts w:hint="eastAsia" w:ascii="宋体" w:hAnsi="宋体" w:cs="宋体"/>
          <w:color w:val="000000" w:themeColor="text1"/>
          <w:kern w:val="0"/>
          <w:sz w:val="24"/>
          <w:szCs w:val="22"/>
        </w:rPr>
        <w:t>月</w:t>
      </w:r>
      <w:r>
        <w:rPr>
          <w:rFonts w:hint="eastAsia" w:ascii="宋体" w:hAnsi="宋体" w:cs="宋体"/>
          <w:color w:val="000000" w:themeColor="text1"/>
          <w:kern w:val="0"/>
          <w:sz w:val="24"/>
          <w:szCs w:val="22"/>
          <w:lang w:val="en-US" w:eastAsia="zh-CN"/>
        </w:rPr>
        <w:t>2</w:t>
      </w:r>
      <w:r>
        <w:rPr>
          <w:rFonts w:hint="eastAsia" w:ascii="宋体" w:hAnsi="宋体" w:cs="宋体"/>
          <w:color w:val="000000" w:themeColor="text1"/>
          <w:kern w:val="0"/>
          <w:sz w:val="24"/>
          <w:szCs w:val="22"/>
        </w:rPr>
        <w:t>日</w:t>
      </w:r>
    </w:p>
    <w:p>
      <w:pPr>
        <w:pStyle w:val="4"/>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9"/>
        <w:spacing w:line="360" w:lineRule="auto"/>
        <w:rPr>
          <w:rFonts w:ascii="宋体" w:hAnsi="宋体" w:cs="宋体"/>
        </w:rPr>
      </w:pPr>
    </w:p>
    <w:p>
      <w:pPr>
        <w:spacing w:line="360" w:lineRule="auto"/>
        <w:rPr>
          <w:rFonts w:ascii="宋体" w:hAnsi="宋体" w:cs="宋体"/>
        </w:rPr>
      </w:pPr>
    </w:p>
    <w:p>
      <w:pPr>
        <w:pStyle w:val="29"/>
        <w:spacing w:line="360" w:lineRule="auto"/>
        <w:rPr>
          <w:rFonts w:ascii="宋体" w:hAnsi="宋体" w:cs="宋体"/>
        </w:rPr>
      </w:pPr>
    </w:p>
    <w:p>
      <w:pPr>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Pr>
        <w:pStyle w:val="6"/>
        <w:rPr>
          <w:rFonts w:ascii="宋体" w:hAnsi="宋体" w:cs="宋体"/>
        </w:rPr>
      </w:pPr>
    </w:p>
    <w:p/>
    <w:p>
      <w:pPr>
        <w:pStyle w:val="18"/>
      </w:pPr>
    </w:p>
    <w:p>
      <w:pPr>
        <w:pStyle w:val="18"/>
      </w:pPr>
    </w:p>
    <w:p>
      <w:pPr>
        <w:pStyle w:val="18"/>
      </w:pPr>
    </w:p>
    <w:p>
      <w:pPr>
        <w:pStyle w:val="18"/>
      </w:pPr>
    </w:p>
    <w:p>
      <w:pPr>
        <w:pStyle w:val="4"/>
        <w:rPr>
          <w:rFonts w:ascii="宋体" w:hAnsi="宋体" w:cs="宋体"/>
          <w:sz w:val="32"/>
          <w:szCs w:val="32"/>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7"/>
    </w:p>
    <w:p>
      <w:pPr>
        <w:pStyle w:val="5"/>
        <w:rPr>
          <w:rFonts w:ascii="宋体" w:hAnsi="宋体" w:cs="宋体"/>
          <w:sz w:val="28"/>
          <w:szCs w:val="20"/>
        </w:rPr>
      </w:pPr>
      <w:bookmarkStart w:id="8" w:name="_Toc17569"/>
      <w:r>
        <w:rPr>
          <w:rFonts w:hint="eastAsia" w:ascii="宋体" w:hAnsi="宋体" w:cs="宋体"/>
          <w:sz w:val="28"/>
          <w:szCs w:val="20"/>
        </w:rPr>
        <w:t>投标人须知</w:t>
      </w:r>
      <w:bookmarkEnd w:id="2"/>
      <w:bookmarkEnd w:id="3"/>
      <w:bookmarkEnd w:id="4"/>
      <w:r>
        <w:rPr>
          <w:rFonts w:hint="eastAsia" w:ascii="宋体" w:hAnsi="宋体" w:cs="宋体"/>
          <w:sz w:val="28"/>
          <w:szCs w:val="20"/>
        </w:rPr>
        <w:t>前附表</w:t>
      </w:r>
      <w:bookmarkEnd w:id="5"/>
      <w:bookmarkEnd w:id="8"/>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6"/>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Cs/>
                <w:sz w:val="24"/>
                <w:lang w:eastAsia="zh-CN"/>
              </w:rPr>
              <w:t>甘肃省第二人民医院应急救援补充物资</w:t>
            </w:r>
            <w:r>
              <w:rPr>
                <w:rFonts w:hint="eastAsia" w:ascii="宋体" w:hAnsi="宋体" w:cs="宋体"/>
                <w:bCs/>
                <w:sz w:val="24"/>
                <w:lang w:val="en-US" w:eastAsia="zh-CN"/>
              </w:rPr>
              <w:t>采购</w:t>
            </w:r>
            <w:r>
              <w:rPr>
                <w:rFonts w:hint="eastAsia" w:ascii="宋体" w:hAnsi="宋体" w:cs="宋体"/>
                <w:bCs/>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vAlign w:val="center"/>
          </w:tcPr>
          <w:p>
            <w:pPr>
              <w:spacing w:line="360" w:lineRule="auto"/>
              <w:rPr>
                <w:rFonts w:hint="default" w:ascii="宋体" w:hAnsi="宋体" w:eastAsia="宋体" w:cs="宋体"/>
                <w:sz w:val="24"/>
                <w:lang w:val="en-US" w:eastAsia="zh-CN"/>
              </w:rPr>
            </w:pPr>
            <w:r>
              <w:rPr>
                <w:rStyle w:val="39"/>
                <w:rFonts w:hint="eastAsia" w:ascii="宋体" w:hAnsi="宋体" w:eastAsia="宋体" w:cs="宋体"/>
                <w:i w:val="0"/>
                <w:caps w:val="0"/>
                <w:color w:val="333333"/>
                <w:spacing w:val="0"/>
                <w:sz w:val="24"/>
                <w:szCs w:val="24"/>
              </w:rPr>
              <w:t>SEY-2019YNCG-08</w:t>
            </w:r>
            <w:r>
              <w:rPr>
                <w:rStyle w:val="39"/>
                <w:rFonts w:hint="eastAsia" w:ascii="宋体" w:hAnsi="宋体" w:eastAsia="宋体" w:cs="宋体"/>
                <w:i w:val="0"/>
                <w:caps w:val="0"/>
                <w:color w:val="333333"/>
                <w:spacing w:val="0"/>
                <w:sz w:val="24"/>
                <w:szCs w:val="24"/>
                <w:lang w:val="en-US" w:eastAsia="zh-CN"/>
              </w:rPr>
              <w:t>3</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780"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2</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 xml:space="preserve">生产商给予经销商的产品代理授权书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8"/>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8"/>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8"/>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8"/>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9"/>
              <w:numPr>
                <w:ilvl w:val="0"/>
                <w:numId w:val="4"/>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auto"/>
                <w:sz w:val="24"/>
                <w:szCs w:val="24"/>
              </w:rPr>
              <w:t>1）投</w:t>
            </w:r>
            <w:r>
              <w:rPr>
                <w:rFonts w:hint="eastAsia" w:ascii="宋体" w:hAnsi="宋体" w:eastAsia="宋体" w:cs="宋体"/>
                <w:b w:val="0"/>
                <w:bCs w:val="0"/>
                <w:color w:val="000000" w:themeColor="text1"/>
                <w:sz w:val="24"/>
                <w:szCs w:val="24"/>
              </w:rPr>
              <w:t>标文件递交截止日期：20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31</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15</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rPr>
              <w:t>甘肃省第二人民医院行政楼二楼会议室（暂定）</w:t>
            </w:r>
          </w:p>
          <w:p>
            <w:pPr>
              <w:pStyle w:val="29"/>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themeColor="text1"/>
                <w:sz w:val="24"/>
              </w:rPr>
              <w:t>：</w:t>
            </w:r>
            <w:r>
              <w:rPr>
                <w:rFonts w:hint="eastAsia" w:ascii="宋体" w:hAnsi="宋体" w:eastAsia="宋体" w:cs="宋体"/>
                <w:b w:val="0"/>
                <w:bCs w:val="0"/>
                <w:color w:val="000000" w:themeColor="text1"/>
                <w:sz w:val="24"/>
                <w:szCs w:val="24"/>
              </w:rPr>
              <w:t>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31</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15</w:t>
            </w:r>
            <w:r>
              <w:rPr>
                <w:rFonts w:hint="eastAsia" w:ascii="宋体" w:hAnsi="宋体" w:eastAsia="宋体" w:cs="宋体"/>
                <w:b w:val="0"/>
                <w:bCs w:val="0"/>
                <w:color w:val="000000" w:themeColor="text1"/>
                <w:sz w:val="24"/>
                <w:szCs w:val="24"/>
              </w:rPr>
              <w:t>：00分（北京时间）</w:t>
            </w:r>
          </w:p>
          <w:p>
            <w:pPr>
              <w:spacing w:line="360" w:lineRule="auto"/>
              <w:rPr>
                <w:rFonts w:ascii="宋体" w:hAnsi="宋体" w:cs="宋体"/>
                <w:color w:val="auto"/>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9"/>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spacing w:line="360" w:lineRule="auto"/>
              <w:ind w:firstLine="480" w:firstLineChars="200"/>
              <w:rPr>
                <w:rFonts w:hint="eastAsia" w:ascii="宋体" w:hAnsi="宋体" w:cs="宋体"/>
                <w:color w:val="auto"/>
                <w:sz w:val="24"/>
                <w:highlight w:val="none"/>
                <w:lang w:val="zh-CN"/>
              </w:rPr>
            </w:pPr>
            <w:r>
              <w:rPr>
                <w:rFonts w:hint="eastAsia" w:ascii="宋体" w:hAnsi="宋体" w:eastAsia="宋体" w:cs="宋体"/>
                <w:color w:val="000000" w:themeColor="text1"/>
                <w:sz w:val="24"/>
                <w:szCs w:val="24"/>
                <w:highlight w:val="none"/>
              </w:rPr>
              <w:t>货物到达交货地点，</w:t>
            </w:r>
            <w:r>
              <w:rPr>
                <w:rFonts w:hint="eastAsia" w:cs="宋体"/>
                <w:color w:val="000000" w:themeColor="text1"/>
                <w:sz w:val="24"/>
                <w:szCs w:val="24"/>
                <w:highlight w:val="none"/>
                <w:lang w:eastAsia="zh-CN"/>
              </w:rPr>
              <w:t>卖</w:t>
            </w:r>
            <w:r>
              <w:rPr>
                <w:rFonts w:hint="eastAsia" w:ascii="宋体" w:hAnsi="宋体" w:eastAsia="宋体" w:cs="宋体"/>
                <w:color w:val="000000" w:themeColor="text1"/>
                <w:sz w:val="24"/>
                <w:szCs w:val="24"/>
                <w:highlight w:val="none"/>
              </w:rPr>
              <w:t>方安装、调试、试运行、培训，</w:t>
            </w:r>
            <w:r>
              <w:rPr>
                <w:rFonts w:hint="eastAsia" w:cs="宋体"/>
                <w:color w:val="000000" w:themeColor="text1"/>
                <w:sz w:val="24"/>
                <w:szCs w:val="24"/>
                <w:highlight w:val="none"/>
                <w:lang w:eastAsia="zh-CN"/>
              </w:rPr>
              <w:t>经买方（使用单位）</w:t>
            </w:r>
            <w:r>
              <w:rPr>
                <w:rFonts w:hint="eastAsia" w:ascii="宋体" w:hAnsi="宋体" w:eastAsia="宋体" w:cs="宋体"/>
                <w:color w:val="000000" w:themeColor="text1"/>
                <w:sz w:val="24"/>
                <w:szCs w:val="24"/>
                <w:highlight w:val="none"/>
              </w:rPr>
              <w:t>验收合格后，凭验收合格证明及按合同总价开具的发票（完税价），</w:t>
            </w:r>
            <w:r>
              <w:rPr>
                <w:rFonts w:hint="eastAsia" w:ascii="宋体" w:hAnsi="宋体" w:cs="宋体"/>
                <w:color w:val="000000" w:themeColor="text1"/>
                <w:sz w:val="24"/>
                <w:szCs w:val="24"/>
                <w:highlight w:val="none"/>
                <w:lang w:val="en-US" w:eastAsia="zh-CN"/>
              </w:rPr>
              <w:t>由买方支付合同总价款的90％，剩余的 10%作为质量保证金待设备正常运行两年（24 个月）无任何质量问题后，买方支付剩余的合同货款。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29"/>
        <w:ind w:left="0" w:leftChars="0" w:firstLine="0" w:firstLineChars="0"/>
        <w:rPr>
          <w:rFonts w:hint="eastAsia"/>
        </w:rPr>
      </w:pPr>
      <w:bookmarkStart w:id="9" w:name="_Toc327439435"/>
      <w:bookmarkStart w:id="10" w:name="_Toc128372730"/>
      <w:bookmarkStart w:id="11" w:name="_Toc139965326"/>
      <w:bookmarkStart w:id="12" w:name="_Toc128372052"/>
    </w:p>
    <w:p>
      <w:pPr>
        <w:pStyle w:val="29"/>
        <w:ind w:left="0" w:leftChars="0" w:firstLine="0" w:firstLineChars="0"/>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pStyle w:val="4"/>
        <w:jc w:val="center"/>
        <w:rPr>
          <w:rFonts w:ascii="宋体" w:hAnsi="宋体" w:cs="宋体"/>
          <w:sz w:val="32"/>
          <w:szCs w:val="32"/>
        </w:rPr>
      </w:pPr>
      <w:bookmarkStart w:id="13" w:name="_Toc18296"/>
      <w:r>
        <w:rPr>
          <w:rFonts w:hint="eastAsia" w:ascii="宋体" w:hAnsi="宋体" w:cs="宋体"/>
          <w:sz w:val="32"/>
          <w:szCs w:val="32"/>
        </w:rPr>
        <w:t>一、总则</w:t>
      </w:r>
      <w:bookmarkEnd w:id="9"/>
      <w:bookmarkEnd w:id="10"/>
      <w:bookmarkEnd w:id="11"/>
      <w:bookmarkEnd w:id="12"/>
      <w:bookmarkEnd w:id="13"/>
    </w:p>
    <w:p>
      <w:pPr>
        <w:pStyle w:val="5"/>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5"/>
        <w:jc w:val="both"/>
        <w:rPr>
          <w:rFonts w:ascii="宋体" w:hAnsi="宋体" w:cs="宋体"/>
          <w:b w:val="0"/>
          <w:bCs w:val="0"/>
          <w:sz w:val="24"/>
          <w:szCs w:val="24"/>
        </w:rPr>
      </w:pPr>
      <w:bookmarkStart w:id="17" w:name="_Toc25223"/>
      <w:bookmarkStart w:id="18" w:name="_Toc11984"/>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5"/>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736"/>
      <w:bookmarkStart w:id="22" w:name="_Toc139965332"/>
      <w:bookmarkStart w:id="23" w:name="_Toc128372058"/>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9"/>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5"/>
        <w:jc w:val="both"/>
        <w:rPr>
          <w:rFonts w:ascii="宋体" w:hAnsi="宋体" w:cs="宋体"/>
          <w:sz w:val="24"/>
          <w:lang w:val="zh-CN"/>
        </w:rPr>
      </w:pPr>
      <w:bookmarkStart w:id="24" w:name="_Toc14148"/>
      <w:bookmarkStart w:id="25" w:name="_Toc22890"/>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000000" w:themeColor="text1"/>
          <w:sz w:val="24"/>
        </w:rPr>
        <w:t>《投标</w:t>
      </w:r>
      <w:r>
        <w:rPr>
          <w:rFonts w:hint="eastAsia" w:ascii="宋体" w:hAnsi="宋体" w:cs="宋体"/>
          <w:color w:val="000000" w:themeColor="text1"/>
          <w:sz w:val="24"/>
          <w:lang w:eastAsia="zh-CN"/>
        </w:rPr>
        <w:t>公告</w:t>
      </w:r>
      <w:r>
        <w:rPr>
          <w:rFonts w:hint="eastAsia" w:ascii="宋体" w:hAnsi="宋体" w:cs="宋体"/>
          <w:color w:val="000000" w:themeColor="text1"/>
          <w:sz w:val="24"/>
        </w:rPr>
        <w:t>》</w:t>
      </w:r>
      <w:r>
        <w:rPr>
          <w:rFonts w:hint="eastAsia" w:ascii="宋体" w:hAnsi="宋体" w:cs="宋体"/>
          <w:sz w:val="24"/>
        </w:rPr>
        <w:t>中关于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9"/>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9"/>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5"/>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pPr>
    </w:p>
    <w:p>
      <w:pPr>
        <w:pStyle w:val="4"/>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582210"/>
      <w:bookmarkStart w:id="30" w:name="_Toc217446039"/>
      <w:bookmarkStart w:id="31" w:name="_Toc183682347"/>
    </w:p>
    <w:p>
      <w:pPr>
        <w:pStyle w:val="5"/>
        <w:jc w:val="both"/>
        <w:rPr>
          <w:rFonts w:ascii="宋体" w:hAnsi="宋体" w:cs="宋体"/>
          <w:sz w:val="24"/>
          <w:lang w:val="zh-CN"/>
        </w:rPr>
      </w:pPr>
      <w:bookmarkStart w:id="32" w:name="_Toc3450"/>
      <w:bookmarkStart w:id="33" w:name="_Toc14154"/>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w:t>
      </w:r>
      <w:r>
        <w:rPr>
          <w:rFonts w:hint="eastAsia"/>
          <w:color w:val="auto"/>
          <w:lang w:val="zh-CN"/>
        </w:rPr>
        <w:t>1招标公告；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5"/>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217446041"/>
      <w:bookmarkStart w:id="40" w:name="_Toc183682350"/>
      <w:bookmarkStart w:id="41" w:name="_Toc208848971"/>
      <w:bookmarkStart w:id="42" w:name="_Toc183582213"/>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5"/>
        <w:numPr>
          <w:ilvl w:val="0"/>
          <w:numId w:val="5"/>
        </w:numPr>
        <w:jc w:val="both"/>
        <w:rPr>
          <w:rFonts w:ascii="宋体" w:hAnsi="宋体" w:cs="宋体"/>
          <w:color w:val="000000" w:themeColor="text1"/>
          <w:sz w:val="24"/>
          <w:lang w:val="zh-CN"/>
        </w:rPr>
      </w:pPr>
      <w:bookmarkStart w:id="43" w:name="_Toc14435"/>
      <w:bookmarkStart w:id="44" w:name="_Toc30906"/>
      <w:r>
        <w:rPr>
          <w:rFonts w:hint="eastAsia" w:ascii="宋体" w:hAnsi="宋体" w:cs="宋体"/>
          <w:color w:val="000000" w:themeColor="text1"/>
          <w:sz w:val="24"/>
          <w:lang w:val="zh-CN"/>
        </w:rPr>
        <w:t>现场踏勘（本项目不需要）</w:t>
      </w:r>
      <w:bookmarkEnd w:id="43"/>
      <w:bookmarkEnd w:id="44"/>
    </w:p>
    <w:p>
      <w:pPr>
        <w:pStyle w:val="6"/>
        <w:ind w:firstLine="0"/>
        <w:rPr>
          <w:rFonts w:ascii="宋体" w:hAnsi="宋体" w:cs="宋体"/>
          <w:lang w:val="zh-CN"/>
        </w:rPr>
      </w:pPr>
    </w:p>
    <w:p>
      <w:pPr>
        <w:pStyle w:val="4"/>
        <w:rPr>
          <w:rFonts w:hint="eastAsia" w:ascii="宋体" w:hAnsi="宋体" w:eastAsia="宋体" w:cs="宋体"/>
          <w:sz w:val="32"/>
          <w:szCs w:val="32"/>
          <w:lang w:eastAsia="zh-CN"/>
        </w:rPr>
      </w:pPr>
      <w:bookmarkStart w:id="45" w:name="_Toc217446042"/>
      <w:bookmarkStart w:id="46" w:name="_Toc183582214"/>
      <w:bookmarkStart w:id="47" w:name="_Toc77400780"/>
      <w:bookmarkStart w:id="48" w:name="_Toc183682351"/>
      <w:bookmarkStart w:id="49" w:name="_Toc89075876"/>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682352"/>
      <w:bookmarkStart w:id="52" w:name="_Toc183582215"/>
      <w:bookmarkStart w:id="53" w:name="_Toc217446043"/>
      <w:r>
        <w:rPr>
          <w:rFonts w:hint="eastAsia" w:ascii="宋体" w:hAnsi="宋体" w:cs="宋体"/>
          <w:sz w:val="32"/>
          <w:szCs w:val="32"/>
          <w:lang w:eastAsia="zh-CN"/>
        </w:rPr>
        <w:t>的编制</w:t>
      </w:r>
      <w:bookmarkEnd w:id="50"/>
    </w:p>
    <w:p>
      <w:pPr>
        <w:pStyle w:val="5"/>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5"/>
        <w:jc w:val="both"/>
        <w:rPr>
          <w:rFonts w:ascii="宋体" w:hAnsi="宋体" w:cs="宋体"/>
          <w:sz w:val="24"/>
          <w:lang w:val="zh-CN"/>
        </w:rPr>
      </w:pPr>
      <w:bookmarkStart w:id="56" w:name="_Toc9029"/>
      <w:bookmarkStart w:id="57" w:name="_Toc1665"/>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217446044"/>
      <w:bookmarkStart w:id="59" w:name="_Toc183682353"/>
      <w:bookmarkStart w:id="60" w:name="_Toc183582216"/>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5"/>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5"/>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5"/>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582217"/>
      <w:bookmarkStart w:id="72" w:name="_Toc183682354"/>
    </w:p>
    <w:p>
      <w:pPr>
        <w:pStyle w:val="5"/>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（1）投标产品的品牌、型号、配置；</w:t>
      </w:r>
    </w:p>
    <w:p>
      <w:pPr>
        <w:pStyle w:val="208"/>
        <w:spacing w:line="360" w:lineRule="auto"/>
        <w:ind w:firstLine="480" w:firstLineChars="200"/>
        <w:jc w:val="both"/>
        <w:rPr>
          <w:lang w:val="zh-CN"/>
        </w:rPr>
      </w:pPr>
      <w:r>
        <w:rPr>
          <w:rFonts w:hint="eastAsia"/>
          <w:lang w:val="zh-CN"/>
        </w:rPr>
        <w:t>（2）详细的技术指标和参数；</w:t>
      </w:r>
    </w:p>
    <w:p>
      <w:pPr>
        <w:pStyle w:val="208"/>
        <w:spacing w:line="360" w:lineRule="auto"/>
        <w:ind w:firstLine="480" w:firstLineChars="200"/>
        <w:jc w:val="both"/>
        <w:rPr>
          <w:lang w:val="zh-CN"/>
        </w:rPr>
      </w:pPr>
      <w:r>
        <w:rPr>
          <w:rFonts w:hint="eastAsia"/>
          <w:lang w:val="zh-CN"/>
        </w:rPr>
        <w:t>（3）技术方案、项目实施方案；</w:t>
      </w:r>
    </w:p>
    <w:p>
      <w:pPr>
        <w:pStyle w:val="208"/>
        <w:spacing w:line="360" w:lineRule="auto"/>
        <w:ind w:firstLine="480" w:firstLineChars="200"/>
        <w:jc w:val="both"/>
        <w:rPr>
          <w:lang w:val="zh-CN"/>
        </w:rPr>
      </w:pPr>
      <w:r>
        <w:rPr>
          <w:rFonts w:hint="eastAsia"/>
          <w:lang w:val="zh-CN"/>
        </w:rPr>
        <w:t>（4）技术偏离表；</w:t>
      </w:r>
    </w:p>
    <w:p>
      <w:pPr>
        <w:pStyle w:val="208"/>
        <w:spacing w:line="360" w:lineRule="auto"/>
        <w:ind w:firstLine="480" w:firstLineChars="200"/>
        <w:jc w:val="both"/>
        <w:rPr>
          <w:lang w:val="zh-CN"/>
        </w:rPr>
      </w:pPr>
      <w:r>
        <w:rPr>
          <w:rFonts w:hint="eastAsia"/>
          <w:lang w:val="zh-CN"/>
        </w:rPr>
        <w:t>（5）说明书或产品介绍或产品合格证等证明材料；</w:t>
      </w:r>
    </w:p>
    <w:p>
      <w:pPr>
        <w:pStyle w:val="208"/>
        <w:spacing w:line="360" w:lineRule="auto"/>
        <w:ind w:firstLine="480" w:firstLineChars="200"/>
        <w:jc w:val="both"/>
        <w:rPr>
          <w:lang w:val="zh-CN"/>
        </w:rPr>
      </w:pPr>
      <w:r>
        <w:rPr>
          <w:rFonts w:hint="eastAsia"/>
          <w:lang w:val="zh-CN"/>
        </w:rPr>
        <w:t>（6）产品工作环境条件；</w:t>
      </w:r>
    </w:p>
    <w:p>
      <w:pPr>
        <w:pStyle w:val="208"/>
        <w:spacing w:line="360" w:lineRule="auto"/>
        <w:ind w:firstLine="480" w:firstLineChars="200"/>
        <w:jc w:val="both"/>
        <w:rPr>
          <w:lang w:val="zh-CN"/>
        </w:rPr>
      </w:pPr>
      <w:r>
        <w:rPr>
          <w:rFonts w:hint="eastAsia"/>
          <w:lang w:val="zh-CN"/>
        </w:rPr>
        <w:t>（7）产品验收标准和验收方法；</w:t>
      </w:r>
    </w:p>
    <w:p>
      <w:pPr>
        <w:pStyle w:val="208"/>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8"/>
        <w:spacing w:line="360" w:lineRule="auto"/>
        <w:ind w:firstLine="480" w:firstLineChars="200"/>
        <w:jc w:val="both"/>
        <w:rPr>
          <w:highlight w:val="green"/>
          <w:lang w:val="zh-CN"/>
        </w:rPr>
      </w:pPr>
      <w:r>
        <w:rPr>
          <w:rFonts w:hint="eastAsia"/>
          <w:lang w:val="zh-CN"/>
        </w:rPr>
        <w:t>（9）投标人认为需要提供的文件和资料。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5"/>
        <w:jc w:val="both"/>
        <w:rPr>
          <w:rFonts w:ascii="宋体" w:hAnsi="宋体" w:cs="宋体"/>
          <w:sz w:val="24"/>
          <w:lang w:val="zh-CN"/>
        </w:rPr>
      </w:pPr>
      <w:bookmarkStart w:id="75" w:name="_Toc29764"/>
      <w:bookmarkStart w:id="76" w:name="_Toc28852"/>
      <w:bookmarkStart w:id="77" w:name="_Toc217446049"/>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5"/>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5"/>
        <w:jc w:val="both"/>
        <w:rPr>
          <w:rFonts w:ascii="宋体" w:hAnsi="宋体" w:cs="宋体"/>
          <w:sz w:val="24"/>
          <w:lang w:val="zh-CN"/>
        </w:rPr>
      </w:pPr>
      <w:bookmarkStart w:id="85" w:name="_Toc217446051"/>
      <w:bookmarkStart w:id="86" w:name="_Toc183682361"/>
      <w:bookmarkStart w:id="87" w:name="_Toc183582224"/>
      <w:bookmarkStart w:id="88" w:name="_Toc28500"/>
      <w:bookmarkStart w:id="89" w:name="_Toc31286"/>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582225"/>
      <w:bookmarkStart w:id="91" w:name="_Toc183682362"/>
      <w:bookmarkStart w:id="92" w:name="_Toc217446052"/>
    </w:p>
    <w:p>
      <w:pPr>
        <w:pStyle w:val="5"/>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89075877"/>
      <w:bookmarkStart w:id="97" w:name="_Toc77400781"/>
      <w:bookmarkStart w:id="98" w:name="_Toc183582226"/>
      <w:bookmarkStart w:id="99" w:name="_Toc217446053"/>
    </w:p>
    <w:p>
      <w:pPr>
        <w:pStyle w:val="5"/>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5"/>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682365"/>
      <w:bookmarkStart w:id="108" w:name="_Toc183582228"/>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5"/>
        <w:jc w:val="both"/>
        <w:rPr>
          <w:rFonts w:ascii="宋体" w:hAnsi="宋体" w:cs="宋体"/>
          <w:sz w:val="24"/>
          <w:lang w:val="zh-CN"/>
        </w:rPr>
      </w:pPr>
      <w:bookmarkStart w:id="110" w:name="_Toc15644"/>
      <w:bookmarkStart w:id="111" w:name="_Toc15716"/>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4"/>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582232"/>
      <w:bookmarkStart w:id="114" w:name="_Toc217446057"/>
      <w:bookmarkStart w:id="115" w:name="_Toc183682369"/>
    </w:p>
    <w:bookmarkEnd w:id="113"/>
    <w:bookmarkEnd w:id="114"/>
    <w:bookmarkEnd w:id="115"/>
    <w:p>
      <w:pPr>
        <w:pStyle w:val="5"/>
        <w:jc w:val="both"/>
        <w:rPr>
          <w:rFonts w:ascii="宋体" w:hAnsi="宋体" w:cs="宋体"/>
          <w:sz w:val="24"/>
          <w:lang w:val="zh-CN"/>
        </w:rPr>
      </w:pPr>
      <w:bookmarkStart w:id="116" w:name="_Toc17974"/>
      <w:bookmarkStart w:id="117" w:name="_Toc3020"/>
      <w:bookmarkStart w:id="118" w:name="_Toc32678"/>
      <w:r>
        <w:rPr>
          <w:rFonts w:hint="eastAsia" w:ascii="宋体" w:hAnsi="宋体" w:cs="宋体"/>
          <w:sz w:val="24"/>
          <w:lang w:val="zh-CN"/>
        </w:rPr>
        <w:t>21．开标</w:t>
      </w:r>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w:t>
      </w:r>
      <w:r>
        <w:rPr>
          <w:rFonts w:hint="eastAsia"/>
          <w:lang w:val="zh-CN"/>
        </w:rPr>
        <w:t>投标人不足3家的，不得开标。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5"/>
        <w:jc w:val="both"/>
        <w:rPr>
          <w:rFonts w:ascii="宋体" w:hAnsi="宋体" w:cs="宋体"/>
          <w:sz w:val="24"/>
          <w:lang w:val="zh-CN"/>
        </w:rPr>
      </w:pPr>
      <w:bookmarkStart w:id="119" w:name="_Toc217446059"/>
      <w:bookmarkStart w:id="120" w:name="_Toc7344"/>
      <w:bookmarkStart w:id="121"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9"/>
      <w:r>
        <w:rPr>
          <w:rFonts w:hint="eastAsia" w:ascii="宋体" w:hAnsi="宋体" w:cs="宋体"/>
          <w:sz w:val="24"/>
          <w:lang w:val="zh-CN"/>
        </w:rPr>
        <w:t>委员会</w:t>
      </w:r>
      <w:bookmarkEnd w:id="120"/>
      <w:bookmarkEnd w:id="121"/>
    </w:p>
    <w:p>
      <w:pPr>
        <w:pStyle w:val="208"/>
        <w:spacing w:line="360" w:lineRule="auto"/>
        <w:jc w:val="both"/>
        <w:rPr>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w:t>
      </w:r>
      <w:r>
        <w:rPr>
          <w:rFonts w:hint="eastAsia"/>
          <w:lang w:val="zh-CN"/>
        </w:rPr>
        <w:t>其中评审专家不得少于成员总数的三分之二。</w:t>
      </w:r>
    </w:p>
    <w:p>
      <w:pPr>
        <w:pStyle w:val="208"/>
        <w:spacing w:line="360" w:lineRule="auto"/>
        <w:jc w:val="both"/>
        <w:rPr>
          <w:rFonts w:hint="eastAsia"/>
        </w:rPr>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08"/>
        <w:spacing w:line="360" w:lineRule="auto"/>
        <w:jc w:val="both"/>
        <w:rPr>
          <w:rFonts w:hint="eastAsia"/>
          <w:lang w:val="en-US" w:eastAsia="zh-CN"/>
        </w:rPr>
      </w:pPr>
      <w:r>
        <w:rPr>
          <w:rFonts w:hint="eastAsia"/>
          <w:lang w:val="en-US" w:eastAsia="zh-CN"/>
        </w:rPr>
        <w:t>22.3评标委员会负责完成全部评标工作，向采购人提出经评标委员会签字的书面评标报告。</w:t>
      </w:r>
    </w:p>
    <w:p>
      <w:pPr>
        <w:pStyle w:val="208"/>
        <w:spacing w:line="360" w:lineRule="auto"/>
        <w:jc w:val="both"/>
        <w:rPr>
          <w:lang w:val="zh-CN"/>
        </w:rPr>
      </w:pPr>
      <w:r>
        <w:rPr>
          <w:rFonts w:hint="eastAsia"/>
          <w:lang w:val="en-US" w:eastAsia="zh-CN"/>
        </w:rPr>
        <w:t>22</w:t>
      </w:r>
      <w:r>
        <w:rPr>
          <w:rFonts w:hint="eastAsia"/>
          <w:color w:val="auto"/>
          <w:lang w:val="en-US" w:eastAsia="zh-CN"/>
        </w:rPr>
        <w:t>.4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auto"/>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4"/>
        <w:rPr>
          <w:rFonts w:hint="eastAsia" w:ascii="宋体" w:hAnsi="宋体" w:cs="宋体"/>
          <w:sz w:val="32"/>
          <w:szCs w:val="32"/>
        </w:rPr>
      </w:pPr>
    </w:p>
    <w:p>
      <w:pPr>
        <w:pStyle w:val="4"/>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18"/>
      <w:bookmarkStart w:id="122" w:name="_Toc217446061"/>
    </w:p>
    <w:p>
      <w:pPr>
        <w:pStyle w:val="5"/>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bookmarkStart w:id="125" w:name="_Toc183582238"/>
      <w:bookmarkStart w:id="126" w:name="_Toc183682375"/>
      <w:bookmarkStart w:id="127" w:name="_Toc217446063"/>
      <w:bookmarkStart w:id="128" w:name="_Toc241"/>
      <w:bookmarkStart w:id="129" w:name="_Toc25170"/>
      <w:r>
        <w:rPr>
          <w:rFonts w:hint="eastAsia"/>
        </w:rPr>
        <w:t>2</w:t>
      </w:r>
      <w:r>
        <w:rPr>
          <w:rFonts w:hint="eastAsia"/>
          <w:lang w:val="en-US" w:eastAsia="zh-CN"/>
        </w:rPr>
        <w:t>8</w:t>
      </w:r>
      <w:r>
        <w:rPr>
          <w:rFonts w:hint="eastAsia"/>
        </w:rPr>
        <w:t>.1</w:t>
      </w:r>
      <w:bookmarkStart w:id="130"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30"/>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5"/>
        <w:jc w:val="both"/>
        <w:rPr>
          <w:rFonts w:ascii="宋体" w:hAnsi="宋体" w:cs="宋体"/>
          <w:sz w:val="24"/>
          <w:lang w:val="zh-CN"/>
        </w:rPr>
      </w:pPr>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5"/>
      <w:bookmarkEnd w:id="126"/>
      <w:r>
        <w:rPr>
          <w:rFonts w:hint="eastAsia" w:ascii="宋体" w:hAnsi="宋体" w:cs="宋体"/>
          <w:sz w:val="24"/>
          <w:lang w:val="zh-CN"/>
        </w:rPr>
        <w:t>书</w:t>
      </w:r>
      <w:bookmarkEnd w:id="127"/>
      <w:bookmarkEnd w:id="128"/>
      <w:bookmarkEnd w:id="129"/>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4"/>
        <w:rPr>
          <w:rFonts w:hint="eastAsia" w:ascii="宋体" w:hAnsi="宋体" w:cs="宋体"/>
          <w:sz w:val="32"/>
          <w:szCs w:val="32"/>
        </w:rPr>
      </w:pPr>
      <w:bookmarkStart w:id="134" w:name="_Toc9774"/>
    </w:p>
    <w:p>
      <w:pPr>
        <w:pStyle w:val="4"/>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5"/>
        <w:jc w:val="both"/>
        <w:rPr>
          <w:rFonts w:ascii="宋体" w:hAnsi="宋体" w:cs="宋体"/>
          <w:sz w:val="24"/>
          <w:lang w:val="zh-CN"/>
        </w:rPr>
      </w:pPr>
      <w:bookmarkStart w:id="136" w:name="_Toc6977"/>
      <w:bookmarkStart w:id="137" w:name="_Toc26668"/>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5"/>
        <w:jc w:val="both"/>
        <w:rPr>
          <w:rFonts w:ascii="宋体" w:hAnsi="宋体" w:cs="宋体"/>
          <w:sz w:val="24"/>
          <w:lang w:val="zh-CN"/>
        </w:rPr>
      </w:pPr>
      <w:bookmarkStart w:id="138" w:name="_Toc217446066"/>
      <w:bookmarkStart w:id="139" w:name="_Toc19334"/>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5"/>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5"/>
        <w:jc w:val="both"/>
        <w:rPr>
          <w:rFonts w:ascii="宋体" w:hAnsi="宋体" w:cs="宋体"/>
          <w:sz w:val="24"/>
          <w:lang w:val="zh-CN"/>
        </w:rPr>
      </w:pPr>
      <w:bookmarkStart w:id="145" w:name="_Toc217446069"/>
      <w:bookmarkStart w:id="146" w:name="_Toc17948"/>
      <w:bookmarkStart w:id="147" w:name="_Toc14355"/>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4"/>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5"/>
        <w:jc w:val="both"/>
        <w:rPr>
          <w:rFonts w:ascii="宋体" w:hAnsi="宋体" w:cs="宋体"/>
          <w:sz w:val="24"/>
          <w:lang w:val="zh-CN"/>
        </w:rPr>
      </w:pPr>
      <w:bookmarkStart w:id="153" w:name="_Toc30781"/>
      <w:bookmarkStart w:id="154" w:name="_Toc16307"/>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4"/>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5"/>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4"/>
        <w:rPr>
          <w:rFonts w:ascii="宋体" w:hAnsi="宋体" w:cs="宋体"/>
        </w:rPr>
      </w:pPr>
    </w:p>
    <w:p>
      <w:pPr>
        <w:pStyle w:val="4"/>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2"/>
        <w:spacing w:line="360" w:lineRule="auto"/>
        <w:ind w:firstLine="0"/>
        <w:jc w:val="center"/>
        <w:rPr>
          <w:rFonts w:ascii="宋体" w:hAnsi="宋体" w:cs="宋体"/>
          <w:b/>
          <w:bCs/>
          <w:szCs w:val="28"/>
        </w:rPr>
      </w:pPr>
    </w:p>
    <w:p>
      <w:pPr>
        <w:pStyle w:val="4"/>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5"/>
        <w:jc w:val="both"/>
        <w:rPr>
          <w:rFonts w:ascii="宋体" w:hAnsi="宋体" w:cs="宋体"/>
          <w:sz w:val="24"/>
        </w:rPr>
      </w:pPr>
      <w:bookmarkStart w:id="163" w:name="_Toc8012"/>
      <w:bookmarkStart w:id="164" w:name="_Toc32433"/>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5"/>
        <w:jc w:val="both"/>
        <w:rPr>
          <w:rFonts w:ascii="宋体" w:hAnsi="宋体" w:cs="宋体"/>
          <w:sz w:val="24"/>
          <w:lang w:val="zh-CN"/>
        </w:rPr>
      </w:pPr>
      <w:bookmarkStart w:id="166" w:name="_Toc1308"/>
      <w:bookmarkStart w:id="167" w:name="_Toc32409"/>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2"/>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5"/>
        <w:jc w:val="both"/>
        <w:rPr>
          <w:rFonts w:ascii="宋体" w:hAnsi="宋体" w:cs="宋体"/>
          <w:sz w:val="24"/>
          <w:lang w:val="zh-CN"/>
        </w:rPr>
      </w:pPr>
      <w:bookmarkStart w:id="169" w:name="_Toc20085"/>
      <w:bookmarkStart w:id="170" w:name="_Toc3368"/>
      <w:bookmarkStart w:id="171" w:name="_Toc4489"/>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2"/>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5"/>
        <w:jc w:val="both"/>
        <w:rPr>
          <w:rFonts w:ascii="宋体" w:hAnsi="宋体" w:cs="宋体"/>
          <w:sz w:val="24"/>
        </w:rPr>
      </w:pPr>
      <w:bookmarkStart w:id="172" w:name="_Toc6168"/>
      <w:bookmarkStart w:id="173" w:name="_Toc9205"/>
      <w:bookmarkStart w:id="174" w:name="_Toc15623"/>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2"/>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2"/>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2"/>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2"/>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5"/>
        <w:jc w:val="both"/>
        <w:rPr>
          <w:rFonts w:ascii="宋体" w:hAnsi="宋体" w:cs="宋体"/>
          <w:sz w:val="24"/>
          <w:lang w:val="zh-CN"/>
        </w:rPr>
      </w:pPr>
      <w:bookmarkStart w:id="175" w:name="_Toc28450"/>
      <w:bookmarkStart w:id="176" w:name="_Toc16202"/>
      <w:bookmarkStart w:id="177" w:name="_Toc8333"/>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2"/>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2"/>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2"/>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2"/>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2"/>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4"/>
        <w:numPr>
          <w:ilvl w:val="0"/>
          <w:numId w:val="7"/>
        </w:numPr>
        <w:rPr>
          <w:rFonts w:hint="eastAsia"/>
          <w:b/>
        </w:rPr>
      </w:pPr>
      <w:bookmarkStart w:id="179" w:name="_Toc20581"/>
      <w:r>
        <w:rPr>
          <w:rFonts w:hint="eastAsia" w:ascii="宋体" w:hAnsi="宋体" w:cs="宋体"/>
          <w:sz w:val="32"/>
          <w:szCs w:val="32"/>
          <w:lang w:val="en-US" w:eastAsia="zh-CN"/>
        </w:rPr>
        <w:t xml:space="preserve"> </w:t>
      </w:r>
      <w:r>
        <w:rPr>
          <w:rFonts w:hint="eastAsia" w:ascii="宋体" w:hAnsi="宋体" w:cs="宋体"/>
          <w:sz w:val="32"/>
          <w:szCs w:val="32"/>
        </w:rPr>
        <w:t>采购需求及技术要求</w:t>
      </w:r>
      <w:bookmarkEnd w:id="179"/>
      <w:bookmarkStart w:id="180" w:name="_Toc20396"/>
    </w:p>
    <w:p>
      <w:pPr>
        <w:rPr>
          <w:rFonts w:hint="eastAsia"/>
          <w:sz w:val="28"/>
          <w:szCs w:val="28"/>
        </w:rPr>
      </w:pPr>
    </w:p>
    <w:tbl>
      <w:tblPr>
        <w:tblStyle w:val="37"/>
        <w:tblpPr w:leftFromText="180" w:rightFromText="180" w:vertAnchor="text" w:horzAnchor="page" w:tblpX="745" w:tblpY="49"/>
        <w:tblOverlap w:val="never"/>
        <w:tblW w:w="108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1291"/>
        <w:gridCol w:w="8070"/>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序号</w:t>
            </w:r>
          </w:p>
        </w:tc>
        <w:tc>
          <w:tcPr>
            <w:tcW w:w="1291" w:type="dxa"/>
            <w:noWrap w:val="0"/>
            <w:vAlign w:val="center"/>
          </w:tcPr>
          <w:p>
            <w:pPr>
              <w:jc w:val="center"/>
              <w:rPr>
                <w:rFonts w:hint="eastAsia" w:ascii="宋体" w:hAnsi="宋体" w:eastAsia="宋体" w:cs="宋体"/>
                <w:b/>
                <w:kern w:val="2"/>
                <w:sz w:val="24"/>
                <w:szCs w:val="24"/>
                <w:lang w:val="en-US" w:eastAsia="zh-CN" w:bidi="ar-SA"/>
              </w:rPr>
            </w:pPr>
            <w:r>
              <w:rPr>
                <w:rFonts w:hint="eastAsia" w:ascii="宋体" w:hAnsi="宋体" w:eastAsia="宋体" w:cs="宋体"/>
                <w:b/>
                <w:sz w:val="24"/>
                <w:szCs w:val="24"/>
              </w:rPr>
              <w:t>物资名称</w:t>
            </w:r>
          </w:p>
        </w:tc>
        <w:tc>
          <w:tcPr>
            <w:tcW w:w="8070" w:type="dxa"/>
            <w:noWrap w:val="0"/>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规格</w:t>
            </w:r>
          </w:p>
        </w:tc>
        <w:tc>
          <w:tcPr>
            <w:tcW w:w="825" w:type="dxa"/>
            <w:noWrap w:val="0"/>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43"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大帐篷</w:t>
            </w:r>
          </w:p>
        </w:tc>
        <w:tc>
          <w:tcPr>
            <w:tcW w:w="8070" w:type="dxa"/>
            <w:noWrap w:val="0"/>
            <w:vAlign w:val="center"/>
          </w:tcPr>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21平方铝合金网架帐篷</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一,面料：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2×2 涤纶白色涂银牛津布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里料： 1×1 白色涂银牛津布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地布： 军绿色双面涂覆 PVC 复合布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二,篷架：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铝合金管，Ф16×0.8 ㎜，Ф 14×1.5 ㎜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外长 7.8m、内长6.58m,外宽4.1m、内宽 3.5m,外高 3.16,内高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2.66，边墙高 1.54m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三,性能：</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1、篷布分内外两层，内外篷之间形成稳定的空气间层，提高帐篷内的热环境质量，帐篷具有良好的保温隔热性。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2、帐篷设8个窗户，窗户大小 1.2*0.5米左右。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3、设有地布并配有地桩等其它附件，对帐篷实施固定。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4、能在 8 级风或 8 ㎝雪载下正常使用，可根据需要组合成多用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途的帐篷群，满足住宿、办公、指挥、医疗等不同使用对象的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需要。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5、帐篷为一体化，在 10 分钟内可将整个帐篷架设或撤收完毕。</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厚睡袋</w:t>
            </w:r>
          </w:p>
        </w:tc>
        <w:tc>
          <w:tcPr>
            <w:tcW w:w="8070" w:type="dxa"/>
            <w:noWrap w:val="0"/>
            <w:vAlign w:val="center"/>
          </w:tcPr>
          <w:p>
            <w:pPr>
              <w:numPr>
                <w:ilvl w:val="0"/>
                <w:numId w:val="8"/>
              </w:numPr>
              <w:rPr>
                <w:rFonts w:hint="eastAsia" w:ascii="宋体" w:hAnsi="宋体" w:eastAsia="宋体" w:cs="宋体"/>
                <w:sz w:val="24"/>
                <w:szCs w:val="24"/>
                <w:lang w:val="en-US" w:eastAsia="zh-CN"/>
              </w:rPr>
            </w:pPr>
            <w:r>
              <w:rPr>
                <w:rFonts w:hint="eastAsia" w:ascii="宋体" w:hAnsi="宋体" w:eastAsia="宋体" w:cs="宋体"/>
                <w:sz w:val="24"/>
                <w:szCs w:val="24"/>
              </w:rPr>
              <w:t>面料：尼龙300T菱形格子布</w:t>
            </w:r>
            <w:r>
              <w:rPr>
                <w:rFonts w:hint="eastAsia" w:ascii="宋体" w:hAnsi="宋体" w:eastAsia="宋体" w:cs="宋体"/>
                <w:sz w:val="24"/>
                <w:szCs w:val="24"/>
                <w:lang w:val="en-US" w:eastAsia="zh-CN"/>
              </w:rPr>
              <w:t>,</w:t>
            </w:r>
          </w:p>
          <w:p>
            <w:pPr>
              <w:numPr>
                <w:ilvl w:val="0"/>
                <w:numId w:val="0"/>
              </w:num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规格：215*80*55</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炊具桌子</w:t>
            </w:r>
          </w:p>
        </w:tc>
        <w:tc>
          <w:tcPr>
            <w:tcW w:w="8070" w:type="dxa"/>
            <w:noWrap w:val="0"/>
            <w:vAlign w:val="center"/>
          </w:tcPr>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品名：户外折叠桌椅</w:t>
            </w:r>
            <w:r>
              <w:rPr>
                <w:rFonts w:hint="eastAsia" w:ascii="宋体" w:hAnsi="宋体" w:eastAsia="宋体" w:cs="宋体"/>
                <w:i w:val="0"/>
                <w:caps w:val="0"/>
                <w:color w:val="000000"/>
                <w:spacing w:val="0"/>
                <w:sz w:val="24"/>
                <w:szCs w:val="24"/>
                <w:lang w:val="en-US" w:eastAsia="zh-CN"/>
              </w:rPr>
              <w:t xml:space="preserve"> </w:t>
            </w:r>
            <w:r>
              <w:rPr>
                <w:rFonts w:hint="eastAsia" w:ascii="宋体" w:hAnsi="宋体" w:eastAsia="宋体" w:cs="宋体"/>
                <w:i w:val="0"/>
                <w:caps w:val="0"/>
                <w:color w:val="000000"/>
                <w:spacing w:val="0"/>
                <w:sz w:val="24"/>
                <w:szCs w:val="24"/>
              </w:rPr>
              <w:t>便携桌椅 连体铝合金加厚折叠桌</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lang w:eastAsia="zh-CN"/>
              </w:rPr>
            </w:pPr>
            <w:r>
              <w:rPr>
                <w:rFonts w:hint="eastAsia" w:ascii="宋体" w:hAnsi="宋体" w:eastAsia="宋体" w:cs="宋体"/>
                <w:i w:val="0"/>
                <w:caps w:val="0"/>
                <w:color w:val="000000"/>
                <w:spacing w:val="0"/>
                <w:sz w:val="24"/>
                <w:szCs w:val="24"/>
                <w:lang w:eastAsia="zh-CN"/>
              </w:rPr>
              <w:t>标准：一张桌子带四把椅子</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材质：铝合金</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lang w:eastAsia="zh-CN"/>
              </w:rPr>
            </w:pPr>
            <w:r>
              <w:rPr>
                <w:rFonts w:hint="eastAsia" w:ascii="宋体" w:hAnsi="宋体" w:eastAsia="宋体" w:cs="宋体"/>
                <w:i w:val="0"/>
                <w:caps w:val="0"/>
                <w:color w:val="000000"/>
                <w:spacing w:val="0"/>
                <w:sz w:val="24"/>
                <w:szCs w:val="24"/>
              </w:rPr>
              <w:t>尺寸：桌面规格 85.5cm*67cm*66.5cm</w:t>
            </w:r>
            <w:r>
              <w:rPr>
                <w:rFonts w:hint="eastAsia" w:ascii="宋体" w:hAnsi="宋体" w:eastAsia="宋体" w:cs="宋体"/>
                <w:i w:val="0"/>
                <w:caps w:val="0"/>
                <w:color w:val="000000"/>
                <w:spacing w:val="0"/>
                <w:sz w:val="24"/>
                <w:szCs w:val="24"/>
                <w:lang w:eastAsia="zh-CN"/>
              </w:rPr>
              <w:t>左右</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lang w:eastAsia="zh-CN"/>
              </w:rPr>
            </w:pPr>
            <w:r>
              <w:rPr>
                <w:rFonts w:hint="eastAsia" w:ascii="宋体" w:hAnsi="宋体" w:eastAsia="宋体" w:cs="宋体"/>
                <w:i w:val="0"/>
                <w:caps w:val="0"/>
                <w:color w:val="000000"/>
                <w:spacing w:val="0"/>
                <w:sz w:val="24"/>
                <w:szCs w:val="24"/>
              </w:rPr>
              <w:t>        椅子规格 29cm*27cm*40cm</w:t>
            </w:r>
            <w:r>
              <w:rPr>
                <w:rFonts w:hint="eastAsia" w:ascii="宋体" w:hAnsi="宋体" w:eastAsia="宋体" w:cs="宋体"/>
                <w:i w:val="0"/>
                <w:caps w:val="0"/>
                <w:color w:val="000000"/>
                <w:spacing w:val="0"/>
                <w:sz w:val="24"/>
                <w:szCs w:val="24"/>
                <w:lang w:eastAsia="zh-CN"/>
              </w:rPr>
              <w:t>左右</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lang w:eastAsia="zh-CN"/>
              </w:rPr>
            </w:pPr>
            <w:r>
              <w:rPr>
                <w:rFonts w:hint="eastAsia" w:ascii="宋体" w:hAnsi="宋体" w:eastAsia="宋体" w:cs="宋体"/>
                <w:i w:val="0"/>
                <w:caps w:val="0"/>
                <w:color w:val="000000"/>
                <w:spacing w:val="0"/>
                <w:sz w:val="24"/>
                <w:szCs w:val="24"/>
              </w:rPr>
              <w:t>        收起规格 85.5cm*10cm*33.5cm</w:t>
            </w:r>
            <w:r>
              <w:rPr>
                <w:rFonts w:hint="eastAsia" w:ascii="宋体" w:hAnsi="宋体" w:eastAsia="宋体" w:cs="宋体"/>
                <w:i w:val="0"/>
                <w:caps w:val="0"/>
                <w:color w:val="000000"/>
                <w:spacing w:val="0"/>
                <w:sz w:val="24"/>
                <w:szCs w:val="24"/>
                <w:lang w:eastAsia="zh-CN"/>
              </w:rPr>
              <w:t>左右</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总重量：9KG</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桌面承重：</w:t>
            </w:r>
            <w:r>
              <w:rPr>
                <w:rFonts w:hint="eastAsia" w:ascii="宋体" w:hAnsi="宋体" w:eastAsia="宋体" w:cs="宋体"/>
                <w:i w:val="0"/>
                <w:caps w:val="0"/>
                <w:color w:val="000000"/>
                <w:spacing w:val="0"/>
                <w:sz w:val="24"/>
                <w:szCs w:val="24"/>
                <w:lang w:eastAsia="zh-CN"/>
              </w:rPr>
              <w:t>大于</w:t>
            </w:r>
            <w:r>
              <w:rPr>
                <w:rFonts w:hint="eastAsia" w:ascii="宋体" w:hAnsi="宋体" w:eastAsia="宋体" w:cs="宋体"/>
                <w:i w:val="0"/>
                <w:caps w:val="0"/>
                <w:color w:val="000000"/>
                <w:spacing w:val="0"/>
                <w:sz w:val="24"/>
                <w:szCs w:val="24"/>
              </w:rPr>
              <w:t>40KG</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椅子承重：</w:t>
            </w:r>
            <w:r>
              <w:rPr>
                <w:rFonts w:hint="eastAsia" w:ascii="宋体" w:hAnsi="宋体" w:eastAsia="宋体" w:cs="宋体"/>
                <w:i w:val="0"/>
                <w:caps w:val="0"/>
                <w:color w:val="000000"/>
                <w:spacing w:val="0"/>
                <w:sz w:val="24"/>
                <w:szCs w:val="24"/>
                <w:lang w:eastAsia="zh-CN"/>
              </w:rPr>
              <w:t>大于</w:t>
            </w:r>
            <w:r>
              <w:rPr>
                <w:rFonts w:hint="eastAsia" w:ascii="宋体" w:hAnsi="宋体" w:eastAsia="宋体" w:cs="宋体"/>
                <w:i w:val="0"/>
                <w:caps w:val="0"/>
                <w:color w:val="000000"/>
                <w:spacing w:val="0"/>
                <w:sz w:val="24"/>
                <w:szCs w:val="24"/>
              </w:rPr>
              <w:t>100KG</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铝管：30*15*17MM</w:t>
            </w:r>
          </w:p>
          <w:p>
            <w:pPr>
              <w:pStyle w:val="3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0"/>
              <w:jc w:val="left"/>
              <w:rPr>
                <w:rFonts w:hint="eastAsia" w:ascii="宋体" w:hAnsi="宋体" w:eastAsia="宋体" w:cs="宋体"/>
                <w:color w:val="000000"/>
                <w:sz w:val="24"/>
                <w:szCs w:val="24"/>
              </w:rPr>
            </w:pPr>
            <w:r>
              <w:rPr>
                <w:rFonts w:hint="eastAsia" w:ascii="宋体" w:hAnsi="宋体" w:eastAsia="宋体" w:cs="宋体"/>
                <w:i w:val="0"/>
                <w:caps w:val="0"/>
                <w:color w:val="000000"/>
                <w:spacing w:val="0"/>
                <w:sz w:val="24"/>
                <w:szCs w:val="24"/>
              </w:rPr>
              <w:t>铝合金包边：5CM</w:t>
            </w:r>
          </w:p>
          <w:p>
            <w:pPr>
              <w:rPr>
                <w:rFonts w:hint="eastAsia" w:ascii="宋体" w:hAnsi="宋体" w:eastAsia="宋体" w:cs="宋体"/>
                <w:sz w:val="24"/>
                <w:szCs w:val="24"/>
              </w:rPr>
            </w:pPr>
          </w:p>
        </w:tc>
        <w:tc>
          <w:tcPr>
            <w:tcW w:w="825"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折叠梯</w:t>
            </w:r>
          </w:p>
        </w:tc>
        <w:tc>
          <w:tcPr>
            <w:tcW w:w="8070" w:type="dxa"/>
            <w:noWrap w:val="0"/>
            <w:vAlign w:val="center"/>
          </w:tcPr>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材质：铝合金</w:t>
            </w:r>
          </w:p>
          <w:p>
            <w:pPr>
              <w:rPr>
                <w:rFonts w:hint="eastAsia" w:ascii="宋体" w:hAnsi="宋体" w:eastAsia="宋体" w:cs="宋体"/>
                <w:sz w:val="24"/>
                <w:szCs w:val="24"/>
              </w:rPr>
            </w:pPr>
            <w:r>
              <w:rPr>
                <w:rFonts w:hint="eastAsia" w:ascii="宋体" w:hAnsi="宋体" w:eastAsia="宋体" w:cs="宋体"/>
                <w:sz w:val="24"/>
                <w:szCs w:val="24"/>
                <w:lang w:val="en-US" w:eastAsia="zh-CN"/>
              </w:rPr>
              <w:t>2，规格：</w:t>
            </w:r>
            <w:r>
              <w:rPr>
                <w:rFonts w:hint="eastAsia" w:ascii="宋体" w:hAnsi="宋体" w:eastAsia="宋体" w:cs="宋体"/>
                <w:sz w:val="24"/>
                <w:szCs w:val="24"/>
              </w:rPr>
              <w:t>5米人字梯（带折叠）</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手持扩音器</w:t>
            </w:r>
          </w:p>
        </w:tc>
        <w:tc>
          <w:tcPr>
            <w:tcW w:w="8070" w:type="dxa"/>
            <w:noWrap w:val="0"/>
            <w:vAlign w:val="center"/>
          </w:tcPr>
          <w:p>
            <w:pPr>
              <w:numPr>
                <w:ilvl w:val="0"/>
                <w:numId w:val="9"/>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功能：录音，喊话，放音</w:t>
            </w:r>
          </w:p>
          <w:p>
            <w:pPr>
              <w:pStyle w:val="2"/>
              <w:numPr>
                <w:ilvl w:val="0"/>
                <w:numId w:val="9"/>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尺寸：240*150mm左右</w:t>
            </w:r>
          </w:p>
          <w:p>
            <w:pPr>
              <w:numPr>
                <w:ilvl w:val="0"/>
                <w:numId w:val="9"/>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输出功率：（30）W</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应急充电灯</w:t>
            </w:r>
          </w:p>
        </w:tc>
        <w:tc>
          <w:tcPr>
            <w:tcW w:w="8070" w:type="dxa"/>
            <w:noWrap w:val="0"/>
            <w:vAlign w:val="center"/>
          </w:tcPr>
          <w:p>
            <w:pPr>
              <w:numPr>
                <w:ilvl w:val="0"/>
                <w:numId w:val="10"/>
              </w:numPr>
              <w:rPr>
                <w:rFonts w:hint="eastAsia" w:ascii="宋体" w:hAnsi="宋体" w:eastAsia="宋体" w:cs="宋体"/>
                <w:sz w:val="24"/>
                <w:szCs w:val="24"/>
              </w:rPr>
            </w:pPr>
            <w:r>
              <w:rPr>
                <w:rFonts w:hint="eastAsia" w:ascii="宋体" w:hAnsi="宋体" w:eastAsia="宋体" w:cs="宋体"/>
                <w:sz w:val="24"/>
                <w:szCs w:val="24"/>
                <w:lang w:val="en-US" w:eastAsia="zh-CN"/>
              </w:rPr>
              <w:t>功能：</w:t>
            </w:r>
            <w:r>
              <w:rPr>
                <w:rFonts w:hint="eastAsia" w:ascii="宋体" w:hAnsi="宋体" w:eastAsia="宋体" w:cs="宋体"/>
                <w:sz w:val="24"/>
                <w:szCs w:val="24"/>
              </w:rPr>
              <w:t>3档照明</w:t>
            </w:r>
          </w:p>
          <w:p>
            <w:pPr>
              <w:numPr>
                <w:ilvl w:val="0"/>
                <w:numId w:val="10"/>
              </w:numPr>
              <w:rPr>
                <w:rFonts w:hint="eastAsia" w:ascii="宋体" w:hAnsi="宋体" w:eastAsia="宋体" w:cs="宋体"/>
                <w:sz w:val="24"/>
                <w:szCs w:val="24"/>
              </w:rPr>
            </w:pPr>
            <w:r>
              <w:rPr>
                <w:rFonts w:hint="eastAsia" w:ascii="宋体" w:hAnsi="宋体" w:eastAsia="宋体" w:cs="宋体"/>
                <w:sz w:val="24"/>
                <w:szCs w:val="24"/>
                <w:lang w:eastAsia="zh-CN"/>
              </w:rPr>
              <w:t>功率：</w:t>
            </w:r>
            <w:r>
              <w:rPr>
                <w:rFonts w:hint="eastAsia" w:ascii="宋体" w:hAnsi="宋体" w:eastAsia="宋体" w:cs="宋体"/>
                <w:sz w:val="24"/>
                <w:szCs w:val="24"/>
              </w:rPr>
              <w:t>50W</w:t>
            </w:r>
          </w:p>
          <w:p>
            <w:pPr>
              <w:numPr>
                <w:ilvl w:val="0"/>
                <w:numId w:val="10"/>
              </w:numPr>
              <w:rPr>
                <w:rFonts w:hint="eastAsia" w:ascii="宋体" w:hAnsi="宋体" w:eastAsia="宋体" w:cs="宋体"/>
                <w:sz w:val="24"/>
                <w:szCs w:val="24"/>
              </w:rPr>
            </w:pPr>
            <w:r>
              <w:rPr>
                <w:rFonts w:hint="eastAsia" w:ascii="宋体" w:hAnsi="宋体" w:eastAsia="宋体" w:cs="宋体"/>
                <w:sz w:val="24"/>
                <w:szCs w:val="24"/>
              </w:rPr>
              <w:t>最大</w:t>
            </w:r>
            <w:r>
              <w:rPr>
                <w:rFonts w:hint="eastAsia" w:ascii="宋体" w:hAnsi="宋体" w:eastAsia="宋体" w:cs="宋体"/>
                <w:sz w:val="24"/>
                <w:szCs w:val="24"/>
                <w:lang w:eastAsia="zh-CN"/>
              </w:rPr>
              <w:t>照明</w:t>
            </w:r>
            <w:r>
              <w:rPr>
                <w:rFonts w:hint="eastAsia" w:ascii="宋体" w:hAnsi="宋体" w:eastAsia="宋体" w:cs="宋体"/>
                <w:sz w:val="24"/>
                <w:szCs w:val="24"/>
              </w:rPr>
              <w:t>10小时</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ind w:firstLine="240" w:firstLineChars="10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发电机</w:t>
            </w:r>
          </w:p>
        </w:tc>
        <w:tc>
          <w:tcPr>
            <w:tcW w:w="8070" w:type="dxa"/>
            <w:noWrap w:val="0"/>
            <w:vAlign w:val="center"/>
          </w:tcPr>
          <w:p>
            <w:pPr>
              <w:numPr>
                <w:ilvl w:val="0"/>
                <w:numId w:val="11"/>
              </w:numPr>
              <w:rPr>
                <w:rFonts w:hint="eastAsia" w:ascii="宋体" w:hAnsi="宋体" w:eastAsia="宋体" w:cs="宋体"/>
                <w:sz w:val="24"/>
                <w:szCs w:val="24"/>
                <w:lang w:val="en-US" w:eastAsia="zh-CN"/>
              </w:rPr>
            </w:pPr>
            <w:r>
              <w:rPr>
                <w:rFonts w:hint="eastAsia" w:ascii="宋体" w:hAnsi="宋体" w:eastAsia="宋体" w:cs="宋体"/>
                <w:sz w:val="24"/>
                <w:szCs w:val="24"/>
                <w:lang w:eastAsia="zh-CN"/>
              </w:rPr>
              <w:t>额定电压：</w:t>
            </w:r>
            <w:r>
              <w:rPr>
                <w:rFonts w:hint="eastAsia" w:ascii="宋体" w:hAnsi="宋体" w:eastAsia="宋体" w:cs="宋体"/>
                <w:sz w:val="24"/>
                <w:szCs w:val="24"/>
                <w:lang w:val="en-US" w:eastAsia="zh-CN"/>
              </w:rPr>
              <w:t>220V</w:t>
            </w:r>
          </w:p>
          <w:p>
            <w:pPr>
              <w:pStyle w:val="2"/>
              <w:numPr>
                <w:ilvl w:val="0"/>
                <w:numId w:val="11"/>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相数：单项</w:t>
            </w:r>
          </w:p>
          <w:p>
            <w:pPr>
              <w:numPr>
                <w:ilvl w:val="0"/>
                <w:numId w:val="11"/>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额定输出：5.0KVA</w:t>
            </w:r>
          </w:p>
          <w:p>
            <w:pPr>
              <w:pStyle w:val="2"/>
              <w:numPr>
                <w:ilvl w:val="0"/>
                <w:numId w:val="11"/>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最大输出：6.0KVA</w:t>
            </w:r>
          </w:p>
          <w:p>
            <w:pPr>
              <w:numPr>
                <w:ilvl w:val="0"/>
                <w:numId w:val="11"/>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形式：4冲程空冷V-OHV</w:t>
            </w:r>
          </w:p>
          <w:p>
            <w:pPr>
              <w:pStyle w:val="2"/>
              <w:numPr>
                <w:ilvl w:val="0"/>
                <w:numId w:val="11"/>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排量：358CC</w:t>
            </w:r>
          </w:p>
          <w:p>
            <w:pPr>
              <w:numPr>
                <w:ilvl w:val="0"/>
                <w:numId w:val="11"/>
              </w:numPr>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额定功率：8.6KW/3600rpm</w:t>
            </w:r>
          </w:p>
          <w:p>
            <w:pPr>
              <w:pStyle w:val="2"/>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8，启动方式：手/电启动</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餐厅帐篷</w:t>
            </w:r>
          </w:p>
        </w:tc>
        <w:tc>
          <w:tcPr>
            <w:tcW w:w="8070" w:type="dxa"/>
            <w:noWrap w:val="0"/>
            <w:vAlign w:val="center"/>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50平米双坡面框架结构</w:t>
            </w:r>
          </w:p>
          <w:p>
            <w:pPr>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面料</w:t>
            </w:r>
            <w:r>
              <w:rPr>
                <w:rFonts w:hint="eastAsia" w:ascii="宋体" w:hAnsi="宋体" w:eastAsia="宋体" w:cs="宋体"/>
                <w:sz w:val="24"/>
                <w:szCs w:val="24"/>
                <w:lang w:eastAsia="zh-CN"/>
              </w:rPr>
              <w:t>及材质</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采用28×2/28×2迷彩色军用涤纶防水帆布，</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篷架：</w:t>
            </w:r>
            <w:r>
              <w:rPr>
                <w:rFonts w:hint="eastAsia" w:ascii="宋体" w:hAnsi="宋体" w:eastAsia="宋体" w:cs="宋体"/>
                <w:sz w:val="24"/>
                <w:szCs w:val="24"/>
                <w:lang w:val="en-US" w:eastAsia="zh-CN"/>
              </w:rPr>
              <w:t>,</w:t>
            </w:r>
            <w:r>
              <w:rPr>
                <w:rFonts w:hint="eastAsia" w:ascii="宋体" w:hAnsi="宋体" w:eastAsia="宋体" w:cs="宋体"/>
                <w:sz w:val="24"/>
                <w:szCs w:val="24"/>
              </w:rPr>
              <w:t>采用Q235/30×30×1.5mm、25×25×1.2mm直缝焊接方形钢管。</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遮阳篷杆：φ25×1.2圆管</w:t>
            </w:r>
          </w:p>
          <w:p>
            <w:pPr>
              <w:pStyle w:val="2"/>
              <w:numPr>
                <w:ilvl w:val="0"/>
                <w:numId w:val="12"/>
              </w:numPr>
              <w:ind w:left="0" w:leftChars="0"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规格：</w:t>
            </w:r>
          </w:p>
          <w:p>
            <w:pPr>
              <w:numPr>
                <w:ilvl w:val="0"/>
                <w:numId w:val="0"/>
              </w:numPr>
              <w:rPr>
                <w:rFonts w:hint="eastAsia" w:ascii="宋体" w:hAnsi="宋体" w:eastAsia="宋体" w:cs="宋体"/>
                <w:sz w:val="24"/>
                <w:szCs w:val="24"/>
              </w:rPr>
            </w:pPr>
            <w:r>
              <w:rPr>
                <w:rFonts w:hint="eastAsia" w:ascii="宋体" w:hAnsi="宋体" w:eastAsia="宋体" w:cs="宋体"/>
                <w:sz w:val="24"/>
                <w:szCs w:val="24"/>
              </w:rPr>
              <w:t>长10m、宽5m、檐高1.8顶高3m</w:t>
            </w:r>
          </w:p>
          <w:p>
            <w:pPr>
              <w:pStyle w:val="2"/>
              <w:numPr>
                <w:ilvl w:val="0"/>
                <w:numId w:val="12"/>
              </w:numPr>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eastAsia="zh-CN"/>
              </w:rPr>
              <w:t>性能：</w:t>
            </w:r>
          </w:p>
          <w:p>
            <w:pPr>
              <w:pStyle w:val="2"/>
              <w:numPr>
                <w:ilvl w:val="0"/>
                <w:numId w:val="0"/>
              </w:numPr>
              <w:ind w:leftChars="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帐篷结构牢固，安全可靠。技术性能稳固，能在自重和8㎝厚的积雪、8级风力的荷载下安全使用。</w:t>
            </w:r>
          </w:p>
          <w:p>
            <w:pPr>
              <w:spacing w:line="440" w:lineRule="atLeas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可同时容纳64-80人就餐，使用折叠餐桌带马扎式</w:t>
            </w:r>
          </w:p>
          <w:p>
            <w:pPr>
              <w:spacing w:line="440" w:lineRule="atLeas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帐篷构造简单、架撤方便。20min/12人可架设完毕，15min/12人可撤收完毕。</w:t>
            </w:r>
          </w:p>
          <w:p>
            <w:pPr>
              <w:numPr>
                <w:ilvl w:val="0"/>
                <w:numId w:val="0"/>
              </w:numPr>
              <w:ind w:leftChars="0"/>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正常情况下使用寿命3年</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床</w:t>
            </w:r>
          </w:p>
        </w:tc>
        <w:tc>
          <w:tcPr>
            <w:tcW w:w="8070" w:type="dxa"/>
            <w:noWrap w:val="0"/>
            <w:vAlign w:val="center"/>
          </w:tcPr>
          <w:p>
            <w:pPr>
              <w:numPr>
                <w:ilvl w:val="0"/>
                <w:numId w:val="13"/>
              </w:numPr>
              <w:rPr>
                <w:rFonts w:hint="eastAsia" w:ascii="宋体" w:hAnsi="宋体" w:eastAsia="宋体" w:cs="宋体"/>
                <w:sz w:val="24"/>
                <w:szCs w:val="24"/>
                <w:lang w:val="en-US" w:eastAsia="zh-CN"/>
              </w:rPr>
            </w:pPr>
            <w:r>
              <w:rPr>
                <w:rFonts w:hint="eastAsia" w:ascii="宋体" w:hAnsi="宋体" w:eastAsia="宋体" w:cs="宋体"/>
                <w:sz w:val="24"/>
                <w:szCs w:val="24"/>
                <w:lang w:eastAsia="zh-CN"/>
              </w:rPr>
              <w:t>材质：正方管钢管</w:t>
            </w:r>
          </w:p>
          <w:p>
            <w:pPr>
              <w:numPr>
                <w:ilvl w:val="0"/>
                <w:numId w:val="13"/>
              </w:numPr>
              <w:rPr>
                <w:rFonts w:hint="eastAsia" w:ascii="宋体" w:hAnsi="宋体" w:eastAsia="宋体" w:cs="宋体"/>
                <w:sz w:val="24"/>
                <w:szCs w:val="24"/>
                <w:lang w:val="en-US" w:eastAsia="zh-CN"/>
              </w:rPr>
            </w:pPr>
            <w:r>
              <w:rPr>
                <w:rFonts w:hint="eastAsia" w:ascii="宋体" w:hAnsi="宋体" w:eastAsia="宋体" w:cs="宋体"/>
                <w:sz w:val="24"/>
                <w:szCs w:val="24"/>
              </w:rPr>
              <w:t>折叠</w:t>
            </w:r>
            <w:r>
              <w:rPr>
                <w:rFonts w:hint="eastAsia" w:ascii="宋体" w:hAnsi="宋体" w:eastAsia="宋体" w:cs="宋体"/>
                <w:sz w:val="24"/>
                <w:szCs w:val="24"/>
                <w:lang w:val="en-US" w:eastAsia="zh-CN"/>
              </w:rPr>
              <w:t>,</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3，尺寸</w:t>
            </w:r>
            <w:r>
              <w:rPr>
                <w:rFonts w:hint="eastAsia" w:ascii="宋体" w:hAnsi="宋体" w:eastAsia="宋体" w:cs="宋体"/>
                <w:sz w:val="24"/>
                <w:szCs w:val="24"/>
              </w:rPr>
              <w:t>185*65*30</w:t>
            </w:r>
            <w:r>
              <w:rPr>
                <w:rFonts w:hint="eastAsia" w:ascii="宋体" w:hAnsi="宋体" w:eastAsia="宋体" w:cs="宋体"/>
                <w:sz w:val="24"/>
                <w:szCs w:val="24"/>
                <w:lang w:val="en-US" w:eastAsia="zh-CN"/>
              </w:rPr>
              <w:t>cm</w:t>
            </w:r>
          </w:p>
          <w:p>
            <w:pPr>
              <w:pStyle w:val="2"/>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4，承重300kg</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大号收纳箱</w:t>
            </w:r>
          </w:p>
        </w:tc>
        <w:tc>
          <w:tcPr>
            <w:tcW w:w="8070" w:type="dxa"/>
            <w:noWrap w:val="0"/>
            <w:vAlign w:val="center"/>
          </w:tcPr>
          <w:p>
            <w:pPr>
              <w:numPr>
                <w:ilvl w:val="0"/>
                <w:numId w:val="14"/>
              </w:numPr>
              <w:rPr>
                <w:rFonts w:hint="eastAsia" w:ascii="宋体" w:hAnsi="宋体" w:eastAsia="宋体" w:cs="宋体"/>
                <w:sz w:val="24"/>
                <w:szCs w:val="24"/>
                <w:lang w:val="en-US" w:eastAsia="zh-CN"/>
              </w:rPr>
            </w:pPr>
            <w:r>
              <w:rPr>
                <w:rFonts w:hint="eastAsia" w:ascii="宋体" w:hAnsi="宋体" w:eastAsia="宋体" w:cs="宋体"/>
                <w:sz w:val="24"/>
                <w:szCs w:val="24"/>
                <w:lang w:eastAsia="zh-CN"/>
              </w:rPr>
              <w:t>材质：</w:t>
            </w:r>
            <w:r>
              <w:rPr>
                <w:rFonts w:hint="eastAsia" w:ascii="宋体" w:hAnsi="宋体" w:eastAsia="宋体" w:cs="宋体"/>
                <w:sz w:val="24"/>
                <w:szCs w:val="24"/>
              </w:rPr>
              <w:t>塑料</w:t>
            </w:r>
            <w:r>
              <w:rPr>
                <w:rFonts w:hint="eastAsia" w:ascii="宋体" w:hAnsi="宋体" w:eastAsia="宋体" w:cs="宋体"/>
                <w:sz w:val="24"/>
                <w:szCs w:val="24"/>
                <w:lang w:val="en-US" w:eastAsia="zh-CN"/>
              </w:rPr>
              <w:t>,</w:t>
            </w:r>
          </w:p>
          <w:p>
            <w:pPr>
              <w:numPr>
                <w:ilvl w:val="0"/>
                <w:numId w:val="0"/>
              </w:num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尺寸</w:t>
            </w:r>
            <w:r>
              <w:rPr>
                <w:rFonts w:hint="eastAsia" w:ascii="宋体" w:hAnsi="宋体" w:eastAsia="宋体" w:cs="宋体"/>
                <w:sz w:val="24"/>
                <w:szCs w:val="24"/>
              </w:rPr>
              <w:t>60*30*30cm</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43"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1291" w:type="dxa"/>
            <w:noWrap w:val="0"/>
            <w:vAlign w:val="center"/>
          </w:tcPr>
          <w:p>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床上用品（褥子+被子+枕头+床单+被套+枕套）</w:t>
            </w:r>
          </w:p>
        </w:tc>
        <w:tc>
          <w:tcPr>
            <w:tcW w:w="8070" w:type="dxa"/>
            <w:noWrap w:val="0"/>
            <w:vAlign w:val="center"/>
          </w:tcPr>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材质：纯棉</w:t>
            </w:r>
          </w:p>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规格：单人（依照部队单人宿营标准）</w:t>
            </w:r>
          </w:p>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颜色：橄榄绿</w:t>
            </w:r>
          </w:p>
          <w:p>
            <w:pPr>
              <w:rPr>
                <w:rFonts w:hint="eastAsia" w:ascii="宋体" w:hAnsi="宋体" w:eastAsia="宋体" w:cs="宋体"/>
                <w:sz w:val="24"/>
                <w:szCs w:val="24"/>
              </w:rPr>
            </w:pPr>
            <w:r>
              <w:rPr>
                <w:rFonts w:hint="eastAsia" w:ascii="宋体" w:hAnsi="宋体" w:eastAsia="宋体" w:cs="宋体"/>
                <w:sz w:val="24"/>
                <w:szCs w:val="24"/>
                <w:lang w:eastAsia="zh-CN"/>
              </w:rPr>
              <w:t>整体包含：</w:t>
            </w:r>
            <w:r>
              <w:rPr>
                <w:rFonts w:hint="eastAsia" w:ascii="宋体" w:hAnsi="宋体" w:eastAsia="宋体" w:cs="宋体"/>
                <w:sz w:val="24"/>
                <w:szCs w:val="24"/>
              </w:rPr>
              <w:t>单人褥子、单人被子、单人床单、单人被套，枕头、枕巾</w:t>
            </w:r>
          </w:p>
        </w:tc>
        <w:tc>
          <w:tcPr>
            <w:tcW w:w="825"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04" w:type="dxa"/>
            <w:gridSpan w:val="3"/>
            <w:noWrap w:val="0"/>
            <w:vAlign w:val="center"/>
          </w:tcPr>
          <w:p>
            <w:pPr>
              <w:rPr>
                <w:rFonts w:hint="eastAsia" w:ascii="宋体" w:hAnsi="宋体" w:eastAsia="宋体" w:cs="宋体"/>
                <w:sz w:val="24"/>
                <w:szCs w:val="24"/>
                <w:lang w:eastAsia="zh-CN"/>
              </w:rPr>
            </w:pPr>
            <w:r>
              <w:rPr>
                <w:rFonts w:hint="eastAsia" w:ascii="宋体" w:hAnsi="宋体" w:cs="宋体"/>
                <w:sz w:val="24"/>
                <w:szCs w:val="24"/>
                <w:lang w:eastAsia="zh-CN"/>
              </w:rPr>
              <w:t>注：</w:t>
            </w:r>
            <w:r>
              <w:rPr>
                <w:rFonts w:hint="eastAsia" w:hAnsi="宋体" w:cs="宋体"/>
                <w:sz w:val="24"/>
                <w:lang w:val="en-US" w:eastAsia="zh-CN"/>
              </w:rPr>
              <w:t>开标时带相应产品或材料的样品</w:t>
            </w:r>
          </w:p>
        </w:tc>
        <w:tc>
          <w:tcPr>
            <w:tcW w:w="825" w:type="dxa"/>
            <w:noWrap w:val="0"/>
            <w:vAlign w:val="center"/>
          </w:tcPr>
          <w:p>
            <w:pPr>
              <w:jc w:val="center"/>
              <w:rPr>
                <w:rFonts w:hint="eastAsia" w:ascii="宋体" w:hAnsi="宋体" w:eastAsia="宋体" w:cs="宋体"/>
                <w:sz w:val="24"/>
                <w:szCs w:val="24"/>
              </w:rPr>
            </w:pPr>
          </w:p>
        </w:tc>
      </w:tr>
    </w:tbl>
    <w:p>
      <w:pPr>
        <w:pStyle w:val="4"/>
        <w:jc w:val="both"/>
        <w:rPr>
          <w:rFonts w:hint="eastAsia" w:ascii="宋体" w:hAnsi="宋体" w:cs="宋体"/>
          <w:sz w:val="32"/>
          <w:szCs w:val="32"/>
          <w:lang w:eastAsia="zh-CN"/>
        </w:rPr>
      </w:pPr>
    </w:p>
    <w:p>
      <w:pPr>
        <w:pStyle w:val="4"/>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color w:val="auto"/>
          <w:kern w:val="2"/>
          <w:sz w:val="24"/>
          <w:szCs w:val="24"/>
          <w:highlight w:val="none"/>
          <w:lang w:val="en-US" w:eastAsia="zh-CN" w:bidi="ar-SA"/>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八、</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九</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9"/>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9"/>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9"/>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9"/>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9"/>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9"/>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9747"/>
      <w:bookmarkStart w:id="182" w:name="_Toc25803"/>
      <w:bookmarkStart w:id="183" w:name="_Toc2055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rPr>
      </w:pPr>
    </w:p>
    <w:p>
      <w:pPr>
        <w:pStyle w:val="4"/>
        <w:jc w:val="both"/>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pStyle w:val="29"/>
        <w:rPr>
          <w:rFonts w:hint="eastAsia"/>
        </w:rPr>
      </w:pPr>
    </w:p>
    <w:p>
      <w:pPr>
        <w:pStyle w:val="4"/>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5"/>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9"/>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5"/>
        <w:spacing w:line="360" w:lineRule="auto"/>
        <w:jc w:val="left"/>
        <w:rPr>
          <w:rFonts w:hint="eastAsia" w:ascii="宋体" w:hAnsi="宋体" w:cs="宋体"/>
          <w:sz w:val="24"/>
        </w:rPr>
      </w:pPr>
      <w:bookmarkStart w:id="187" w:name="_Toc31035"/>
      <w:bookmarkStart w:id="188" w:name="_Toc11058"/>
      <w:bookmarkStart w:id="189" w:name="_Toc21744609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9"/>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6"/>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6"/>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技术部分（50）</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0分）：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eastAsia="宋体" w:cs="宋体"/>
                <w:sz w:val="24"/>
                <w:szCs w:val="24"/>
                <w:highlight w:val="none"/>
                <w:lang w:val="en-US" w:eastAsia="zh-CN"/>
              </w:rPr>
              <w:t>40</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6"/>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cs="Arial"/>
                <w:color w:val="auto"/>
                <w:sz w:val="24"/>
                <w:highlight w:val="none"/>
              </w:rPr>
              <w:t>投标货物选型合理、应标方案完整且配置齐全情况，专家</w:t>
            </w:r>
            <w:r>
              <w:rPr>
                <w:rFonts w:hint="eastAsia" w:cs="Arial"/>
                <w:color w:val="auto"/>
                <w:sz w:val="24"/>
                <w:highlight w:val="none"/>
                <w:lang w:eastAsia="zh-CN"/>
              </w:rPr>
              <w:t>综合</w:t>
            </w:r>
            <w:r>
              <w:rPr>
                <w:rFonts w:hint="eastAsia" w:cs="Arial"/>
                <w:color w:val="auto"/>
                <w:sz w:val="24"/>
                <w:highlight w:val="none"/>
              </w:rPr>
              <w:t>打</w:t>
            </w:r>
            <w:r>
              <w:rPr>
                <w:rFonts w:hint="eastAsia" w:cs="Arial"/>
                <w:color w:val="auto"/>
                <w:sz w:val="24"/>
                <w:highlight w:val="none"/>
                <w:lang w:eastAsia="zh-CN"/>
              </w:rPr>
              <w:t>分，得</w:t>
            </w:r>
            <w:r>
              <w:rPr>
                <w:rFonts w:hint="eastAsia" w:cs="Arial"/>
                <w:color w:val="auto"/>
                <w:sz w:val="24"/>
                <w:highlight w:val="none"/>
                <w:lang w:val="en-US" w:eastAsia="zh-CN"/>
              </w:rPr>
              <w:t>0-5</w:t>
            </w:r>
            <w:r>
              <w:rPr>
                <w:rFonts w:hint="eastAsia" w:cs="Arial"/>
                <w:color w:val="auto"/>
                <w:sz w:val="24"/>
                <w:highlight w:val="none"/>
              </w:rPr>
              <w:t>分</w:t>
            </w:r>
            <w:r>
              <w:rPr>
                <w:rFonts w:hint="eastAsia" w:cs="Arial"/>
                <w:color w:val="auto"/>
                <w:sz w:val="24"/>
                <w:highlight w:val="none"/>
                <w:lang w:eastAsia="zh-CN"/>
              </w:rPr>
              <w:t>。（</w:t>
            </w:r>
            <w:r>
              <w:rPr>
                <w:rFonts w:hint="eastAsia" w:cs="Arial"/>
                <w:color w:val="auto"/>
                <w:sz w:val="24"/>
                <w:highlight w:val="none"/>
              </w:rPr>
              <w:t>满分5分</w:t>
            </w:r>
            <w:r>
              <w:rPr>
                <w:rFonts w:hint="eastAsia" w:cs="Arial"/>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cs="Arial"/>
                <w:color w:val="auto"/>
                <w:sz w:val="24"/>
                <w:highlight w:val="none"/>
              </w:rPr>
              <w:t>投标产品技术的先进性、合理性、系统性和可靠性</w:t>
            </w:r>
            <w:r>
              <w:rPr>
                <w:rFonts w:hint="eastAsia" w:cs="Arial"/>
                <w:color w:val="auto"/>
                <w:sz w:val="24"/>
                <w:highlight w:val="none"/>
                <w:lang w:eastAsia="zh-CN"/>
              </w:rPr>
              <w:t>，专家综合打分，得</w:t>
            </w:r>
            <w:r>
              <w:rPr>
                <w:rFonts w:hint="eastAsia" w:cs="Arial"/>
                <w:color w:val="auto"/>
                <w:sz w:val="24"/>
                <w:highlight w:val="none"/>
                <w:lang w:val="en-US" w:eastAsia="zh-CN"/>
              </w:rPr>
              <w:t>0-5</w:t>
            </w:r>
            <w:r>
              <w:rPr>
                <w:rFonts w:hint="eastAsia" w:cs="Arial"/>
                <w:color w:val="auto"/>
                <w:sz w:val="24"/>
                <w:highlight w:val="none"/>
                <w:lang w:eastAsia="zh-CN"/>
              </w:rPr>
              <w:t>分</w:t>
            </w:r>
            <w:r>
              <w:rPr>
                <w:rFonts w:hint="eastAsia" w:cs="Arial"/>
                <w:color w:val="auto"/>
                <w:sz w:val="24"/>
                <w:highlight w:val="none"/>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商务部分（20分）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2.销售业绩（提供近三年同类业绩，附合同复印件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3.在项目所在地有售后服务机构及备件库的得3分（提供相关证明材料）；（满分3分）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售后服务承诺</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服务响应时间快，处理故障及时，零部件的储备齐全，应急方案完善，售后服务机构配备完善的得</w:t>
            </w:r>
            <w:r>
              <w:rPr>
                <w:rFonts w:hint="eastAsia" w:ascii="宋体" w:hAnsi="宋体" w:eastAsia="宋体" w:cs="宋体"/>
                <w:color w:val="auto"/>
                <w:sz w:val="24"/>
                <w:szCs w:val="24"/>
                <w:highlight w:val="none"/>
                <w:lang w:val="en-US" w:eastAsia="zh-CN"/>
              </w:rPr>
              <w:t>8分，其他视情况酌情扣分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8分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5"/>
        <w:jc w:val="left"/>
        <w:rPr>
          <w:rFonts w:ascii="宋体" w:hAnsi="宋体" w:cs="宋体"/>
          <w:sz w:val="24"/>
          <w:szCs w:val="24"/>
        </w:rPr>
      </w:pPr>
      <w:bookmarkStart w:id="190" w:name="_Toc183682432"/>
      <w:bookmarkStart w:id="191" w:name="_Toc217446105"/>
      <w:bookmarkStart w:id="192" w:name="_Toc208849022"/>
      <w:bookmarkStart w:id="193" w:name="_Toc183582297"/>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5"/>
        <w:jc w:val="left"/>
        <w:rPr>
          <w:rFonts w:ascii="宋体" w:hAnsi="宋体" w:cs="宋体"/>
          <w:sz w:val="24"/>
          <w:szCs w:val="24"/>
        </w:rPr>
      </w:pPr>
      <w:bookmarkStart w:id="196" w:name="_Toc25902"/>
      <w:bookmarkStart w:id="197"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4"/>
        <w:jc w:val="both"/>
        <w:rPr>
          <w:rFonts w:hint="eastAsia" w:ascii="宋体" w:hAnsi="宋体" w:cs="宋体"/>
          <w:b w:val="0"/>
          <w:bCs w:val="0"/>
          <w:sz w:val="32"/>
          <w:szCs w:val="32"/>
        </w:rPr>
      </w:pPr>
      <w:bookmarkStart w:id="198" w:name="_Toc23996"/>
      <w:bookmarkStart w:id="199" w:name="_Toc12937"/>
      <w:bookmarkStart w:id="200" w:name="_Toc1180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rPr>
      </w:pPr>
    </w:p>
    <w:p>
      <w:pPr>
        <w:pStyle w:val="29"/>
        <w:ind w:left="0" w:leftChars="0" w:firstLine="0" w:firstLineChars="0"/>
        <w:rPr>
          <w:rFonts w:hint="eastAsia"/>
        </w:rPr>
      </w:pPr>
    </w:p>
    <w:bookmarkEnd w:id="178"/>
    <w:p>
      <w:pPr>
        <w:pStyle w:val="4"/>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5"/>
        <w:spacing w:before="0" w:after="0"/>
      </w:pPr>
      <w:bookmarkStart w:id="203" w:name="_Toc22178"/>
      <w:bookmarkStart w:id="204" w:name="_Toc13676"/>
      <w:bookmarkStart w:id="205" w:name="_Toc23429"/>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9"/>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5"/>
        <w:numPr>
          <w:numId w:val="0"/>
        </w:numPr>
        <w:tabs>
          <w:tab w:val="left" w:pos="894"/>
        </w:tabs>
        <w:spacing w:before="0" w:after="0"/>
        <w:jc w:val="center"/>
        <w:rPr>
          <w:rFonts w:hint="eastAsia" w:ascii="宋体" w:hAnsi="宋体" w:cs="宋体"/>
          <w:sz w:val="28"/>
          <w:szCs w:val="28"/>
        </w:rPr>
      </w:pPr>
      <w:bookmarkStart w:id="208" w:name="_Toc16816"/>
      <w:bookmarkStart w:id="209" w:name="_Toc10904"/>
      <w:bookmarkStart w:id="210" w:name="_Toc314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5"/>
        <w:numPr>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(法定代表人参加投标时单独提供一份并同时装订入标书)</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5783"/>
      <w:bookmarkStart w:id="213" w:name="_Toc19965"/>
      <w:bookmarkStart w:id="214" w:name="_Toc10366"/>
      <w:bookmarkStart w:id="215" w:name="_Toc3177"/>
      <w:bookmarkStart w:id="216" w:name="_Toc19360"/>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5"/>
        <w:spacing w:before="0" w:after="0"/>
        <w:jc w:val="left"/>
        <w:rPr>
          <w:rFonts w:ascii="宋体" w:hAnsi="宋体" w:cs="宋体"/>
          <w:b w:val="0"/>
          <w:sz w:val="24"/>
          <w:szCs w:val="24"/>
        </w:rPr>
      </w:pPr>
      <w:bookmarkStart w:id="217" w:name="_Toc6475"/>
      <w:bookmarkStart w:id="218" w:name="_Toc12383"/>
      <w:bookmarkStart w:id="219" w:name="_Toc19163"/>
      <w:bookmarkStart w:id="220" w:name="_Toc22060"/>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6"/>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6"/>
        <w:rPr>
          <w:rFonts w:ascii="宋体" w:hAnsi="宋体" w:cs="宋体"/>
          <w:szCs w:val="24"/>
        </w:rPr>
      </w:pPr>
    </w:p>
    <w:p>
      <w:pPr>
        <w:pStyle w:val="6"/>
        <w:ind w:firstLine="0"/>
        <w:rPr>
          <w:rFonts w:ascii="宋体" w:hAnsi="宋体" w:cs="宋体"/>
          <w:szCs w:val="24"/>
        </w:rPr>
      </w:pPr>
    </w:p>
    <w:p>
      <w:pPr>
        <w:pStyle w:val="6"/>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5"/>
        <w:spacing w:before="0" w:after="0"/>
        <w:rPr>
          <w:rFonts w:ascii="宋体" w:hAnsi="宋体" w:cs="宋体"/>
          <w:sz w:val="28"/>
          <w:szCs w:val="28"/>
        </w:rPr>
      </w:pPr>
      <w:bookmarkStart w:id="221" w:name="_Toc1230"/>
    </w:p>
    <w:p>
      <w:pPr>
        <w:rPr>
          <w:rFonts w:ascii="宋体" w:hAnsi="宋体" w:cs="宋体"/>
          <w:sz w:val="28"/>
          <w:szCs w:val="28"/>
        </w:rPr>
      </w:pPr>
    </w:p>
    <w:p>
      <w:pPr>
        <w:pStyle w:val="6"/>
      </w:pPr>
    </w:p>
    <w:p>
      <w:pPr>
        <w:pStyle w:val="29"/>
        <w:rPr>
          <w:rFonts w:ascii="宋体" w:hAnsi="宋体" w:cs="宋体"/>
        </w:rPr>
      </w:pPr>
    </w:p>
    <w:p>
      <w:pPr>
        <w:pStyle w:val="5"/>
        <w:numPr>
          <w:ilvl w:val="0"/>
          <w:numId w:val="15"/>
        </w:numPr>
        <w:spacing w:before="0" w:after="0"/>
        <w:rPr>
          <w:rFonts w:hint="eastAsia" w:ascii="宋体" w:hAnsi="宋体" w:cs="宋体"/>
          <w:sz w:val="28"/>
          <w:szCs w:val="28"/>
        </w:rPr>
      </w:pPr>
      <w:bookmarkStart w:id="222" w:name="_Toc16103"/>
      <w:bookmarkStart w:id="223" w:name="_Toc20910"/>
      <w:r>
        <w:rPr>
          <w:rFonts w:hint="eastAsia" w:ascii="宋体" w:hAnsi="宋体" w:cs="宋体"/>
          <w:sz w:val="28"/>
          <w:szCs w:val="28"/>
        </w:rPr>
        <w:t>法人授权函</w:t>
      </w:r>
      <w:bookmarkEnd w:id="221"/>
      <w:bookmarkEnd w:id="222"/>
      <w:bookmarkEnd w:id="223"/>
    </w:p>
    <w:p>
      <w:pPr>
        <w:pStyle w:val="6"/>
        <w:numPr>
          <w:numId w:val="0"/>
        </w:numPr>
        <w:ind w:firstLine="1687" w:firstLineChars="700"/>
        <w:rPr>
          <w:rFonts w:hint="eastAsia" w:ascii="宋体" w:hAnsi="宋体" w:eastAsia="宋体" w:cs="宋体"/>
          <w:b/>
          <w:bCs/>
        </w:rPr>
      </w:pPr>
      <w:r>
        <w:rPr>
          <w:rFonts w:hint="eastAsia" w:ascii="宋体" w:hAnsi="宋体" w:eastAsia="宋体" w:cs="宋体"/>
          <w:b/>
          <w:bCs/>
        </w:rPr>
        <w:t>(</w:t>
      </w:r>
      <w:r>
        <w:rPr>
          <w:rFonts w:hint="eastAsia" w:ascii="宋体" w:hAnsi="宋体" w:eastAsia="宋体" w:cs="宋体"/>
          <w:b/>
          <w:bCs/>
          <w:lang w:eastAsia="zh-CN"/>
        </w:rPr>
        <w:t>委托代理人</w:t>
      </w:r>
      <w:bookmarkStart w:id="284" w:name="_GoBack"/>
      <w:bookmarkEnd w:id="284"/>
      <w:r>
        <w:rPr>
          <w:rFonts w:hint="eastAsia" w:ascii="宋体" w:hAnsi="宋体" w:eastAsia="宋体" w:cs="宋体"/>
          <w:b/>
          <w:bCs/>
        </w:rPr>
        <w:t>参加投标时单独提供一份并同时装订入标书)</w:t>
      </w:r>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6"/>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8"/>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5"/>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18"/>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6"/>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18"/>
        <w:spacing w:before="0" w:line="241" w:lineRule="exact"/>
        <w:ind w:left="137" w:right="0"/>
        <w:jc w:val="left"/>
      </w:pPr>
    </w:p>
    <w:p>
      <w:pPr>
        <w:pStyle w:val="18"/>
        <w:spacing w:before="0" w:line="360" w:lineRule="auto"/>
        <w:ind w:right="0"/>
        <w:jc w:val="left"/>
      </w:pPr>
      <w:r>
        <w:t>投标人（签字、盖章）：</w:t>
      </w:r>
    </w:p>
    <w:p>
      <w:pPr>
        <w:pStyle w:val="18"/>
        <w:spacing w:before="0" w:line="360" w:lineRule="auto"/>
        <w:ind w:right="0"/>
        <w:jc w:val="left"/>
        <w:rPr>
          <w:rFonts w:hint="eastAsia"/>
          <w:u w:val="single"/>
          <w:lang w:val="en-US" w:eastAsia="zh-CN"/>
        </w:rPr>
      </w:pPr>
      <w:r>
        <w:t>日期：</w:t>
      </w:r>
    </w:p>
    <w:p>
      <w:pPr>
        <w:pStyle w:val="18"/>
        <w:spacing w:before="0" w:line="360" w:lineRule="auto"/>
        <w:ind w:left="137" w:right="0" w:firstLine="480" w:firstLineChars="200"/>
        <w:jc w:val="left"/>
        <w:rPr>
          <w:rFonts w:hint="eastAsia"/>
          <w:u w:val="single"/>
          <w:lang w:val="en-US" w:eastAsia="zh-CN"/>
        </w:rPr>
      </w:pPr>
    </w:p>
    <w:p>
      <w:pPr>
        <w:pStyle w:val="18"/>
        <w:spacing w:before="0" w:line="360" w:lineRule="auto"/>
        <w:ind w:left="137" w:right="0" w:firstLine="480" w:firstLineChars="200"/>
        <w:jc w:val="left"/>
        <w:rPr>
          <w:rFonts w:hint="eastAsia"/>
          <w:u w:val="single"/>
          <w:lang w:val="en-US" w:eastAsia="zh-CN"/>
        </w:rPr>
      </w:pPr>
    </w:p>
    <w:p>
      <w:pPr>
        <w:pStyle w:val="5"/>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6"/>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9"/>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9"/>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5"/>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9"/>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0" w:name="_Toc26432"/>
      <w:bookmarkStart w:id="231" w:name="_Toc27827"/>
      <w:bookmarkStart w:id="232" w:name="_Toc26303"/>
      <w:bookmarkStart w:id="233" w:name="_Toc16887"/>
      <w:bookmarkStart w:id="234" w:name="_Toc3392"/>
      <w:bookmarkStart w:id="235" w:name="_Toc7146"/>
      <w:bookmarkStart w:id="236" w:name="_Toc12836"/>
      <w:bookmarkStart w:id="237" w:name="_Toc6233"/>
      <w:bookmarkStart w:id="238" w:name="_Toc27676"/>
      <w:bookmarkStart w:id="239" w:name="_Toc10205"/>
      <w:bookmarkStart w:id="240" w:name="_Toc8733"/>
      <w:bookmarkStart w:id="241" w:name="_Toc4270"/>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5"/>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5"/>
        <w:spacing w:before="0" w:after="100" w:afterAutospacing="1"/>
        <w:rPr>
          <w:rFonts w:ascii="宋体" w:hAnsi="宋体" w:cs="宋体"/>
          <w:spacing w:val="10"/>
        </w:rPr>
      </w:pPr>
      <w:bookmarkStart w:id="242" w:name="_Toc13401"/>
      <w:bookmarkStart w:id="243" w:name="_Toc258923307"/>
      <w:bookmarkStart w:id="244" w:name="_Toc24708"/>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6"/>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9"/>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9"/>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9"/>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5"/>
        <w:spacing w:before="0" w:after="100" w:afterAutospacing="1"/>
        <w:rPr>
          <w:rFonts w:ascii="宋体" w:hAnsi="宋体" w:cs="宋体"/>
          <w:spacing w:val="10"/>
        </w:rPr>
      </w:pPr>
      <w:bookmarkStart w:id="245" w:name="_Toc9716"/>
      <w:bookmarkStart w:id="246" w:name="_Toc11092"/>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6"/>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5"/>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5"/>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6"/>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5"/>
        <w:spacing w:before="0" w:after="100" w:afterAutospacing="1"/>
        <w:rPr>
          <w:rFonts w:ascii="宋体" w:hAnsi="宋体" w:cs="宋体"/>
          <w:spacing w:val="10"/>
        </w:rPr>
      </w:pPr>
      <w:bookmarkStart w:id="249" w:name="_Toc13727"/>
      <w:bookmarkStart w:id="250"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6"/>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5"/>
        <w:spacing w:before="0" w:after="100" w:afterAutospacing="1"/>
        <w:rPr>
          <w:rFonts w:ascii="宋体" w:hAnsi="宋体" w:cs="宋体"/>
          <w:spacing w:val="10"/>
        </w:rPr>
      </w:pPr>
      <w:bookmarkStart w:id="251" w:name="_Toc258923313"/>
      <w:bookmarkStart w:id="252" w:name="_Toc25387"/>
      <w:bookmarkStart w:id="253" w:name="_Toc530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5"/>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6"/>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20"/>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9"/>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9"/>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5"/>
        <w:spacing w:before="0" w:after="100" w:afterAutospacing="1"/>
        <w:rPr>
          <w:rFonts w:ascii="宋体" w:hAnsi="宋体" w:cs="宋体"/>
          <w:spacing w:val="10"/>
        </w:rPr>
      </w:pPr>
      <w:bookmarkStart w:id="258" w:name="_Toc433806381"/>
      <w:bookmarkStart w:id="259" w:name="_Toc456166280"/>
      <w:bookmarkStart w:id="260" w:name="_Toc11978"/>
      <w:bookmarkStart w:id="261" w:name="_Toc32144"/>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9735"/>
      <w:bookmarkStart w:id="263" w:name="_Toc20408"/>
      <w:bookmarkStart w:id="264" w:name="_Toc15095"/>
      <w:bookmarkStart w:id="265" w:name="_Toc15673"/>
      <w:bookmarkStart w:id="266" w:name="_Toc16308"/>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5"/>
        <w:spacing w:before="0" w:after="100" w:afterAutospacing="1"/>
        <w:ind w:firstLine="480"/>
        <w:jc w:val="left"/>
        <w:rPr>
          <w:rFonts w:hint="eastAsia" w:ascii="宋体" w:hAnsi="宋体" w:eastAsia="宋体" w:cs="宋体"/>
          <w:b w:val="0"/>
          <w:sz w:val="24"/>
          <w:szCs w:val="24"/>
          <w:lang w:eastAsia="zh-CN"/>
        </w:rPr>
      </w:pPr>
      <w:bookmarkStart w:id="267" w:name="_Toc1997"/>
      <w:bookmarkStart w:id="268" w:name="_Toc19846"/>
      <w:bookmarkStart w:id="269" w:name="_Toc408"/>
      <w:bookmarkStart w:id="270" w:name="_Toc9385"/>
      <w:bookmarkStart w:id="271" w:name="_Toc7530"/>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5"/>
        <w:spacing w:before="0" w:after="100" w:afterAutospacing="1"/>
        <w:ind w:firstLine="480"/>
        <w:jc w:val="left"/>
        <w:rPr>
          <w:rFonts w:ascii="宋体" w:hAnsi="宋体" w:cs="宋体"/>
          <w:b w:val="0"/>
          <w:sz w:val="24"/>
          <w:szCs w:val="24"/>
        </w:rPr>
      </w:pPr>
    </w:p>
    <w:p>
      <w:pPr>
        <w:pStyle w:val="20"/>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4"/>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18"/>
      </w:pPr>
    </w:p>
    <w:p>
      <w:pPr>
        <w:pStyle w:val="4"/>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both"/>
        <w:rPr>
          <w:rFonts w:hint="eastAsia" w:ascii="宋体" w:hAnsi="宋体" w:eastAsia="宋体" w:cs="宋体"/>
          <w:sz w:val="32"/>
          <w:szCs w:val="32"/>
          <w:lang w:val="en-US" w:eastAsia="zh-CN"/>
        </w:rPr>
      </w:pPr>
    </w:p>
    <w:p>
      <w:pPr>
        <w:pStyle w:val="4"/>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4"/>
        <w:jc w:val="left"/>
        <w:rPr>
          <w:rFonts w:ascii="宋体" w:hAnsi="宋体" w:cs="宋体"/>
        </w:rPr>
      </w:pPr>
    </w:p>
    <w:p>
      <w:pPr>
        <w:pStyle w:val="4"/>
        <w:jc w:val="left"/>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Pr>
        <w:pStyle w:val="4"/>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6"/>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20"/>
              <w:snapToGrid w:val="0"/>
              <w:jc w:val="center"/>
              <w:rPr>
                <w:rFonts w:hint="eastAsia" w:hAnsi="宋体" w:cs="Courier New"/>
                <w:sz w:val="24"/>
                <w:szCs w:val="24"/>
                <w:highlight w:val="none"/>
                <w:lang w:val="en-US" w:eastAsia="zh-CN"/>
              </w:rPr>
            </w:pPr>
          </w:p>
        </w:tc>
        <w:tc>
          <w:tcPr>
            <w:tcW w:w="1984" w:type="dxa"/>
            <w:noWrap w:val="0"/>
            <w:vAlign w:val="center"/>
          </w:tcPr>
          <w:p>
            <w:pPr>
              <w:pStyle w:val="20"/>
              <w:snapToGrid w:val="0"/>
              <w:jc w:val="center"/>
              <w:rPr>
                <w:rFonts w:hint="eastAsia" w:hAnsi="宋体" w:cs="Courier New"/>
                <w:sz w:val="24"/>
                <w:szCs w:val="24"/>
                <w:highlight w:val="none"/>
                <w:lang w:val="en-US" w:eastAsia="zh-CN"/>
              </w:rPr>
            </w:pPr>
          </w:p>
        </w:tc>
        <w:tc>
          <w:tcPr>
            <w:tcW w:w="1698" w:type="dxa"/>
            <w:noWrap w:val="0"/>
            <w:vAlign w:val="center"/>
          </w:tcPr>
          <w:p>
            <w:pPr>
              <w:pStyle w:val="20"/>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20"/>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20"/>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9"/>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4"/>
        <w:rPr>
          <w:rFonts w:hint="eastAsia" w:ascii="宋体" w:hAnsi="宋体" w:cs="宋体"/>
          <w:sz w:val="32"/>
          <w:szCs w:val="32"/>
        </w:rPr>
      </w:pPr>
    </w:p>
    <w:p>
      <w:pPr>
        <w:pStyle w:val="4"/>
        <w:rPr>
          <w:rFonts w:hint="eastAsia" w:ascii="宋体" w:hAnsi="宋体" w:cs="宋体"/>
          <w:sz w:val="32"/>
          <w:szCs w:val="32"/>
        </w:rPr>
      </w:pPr>
    </w:p>
    <w:p>
      <w:pPr>
        <w:pStyle w:val="4"/>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rPr>
          <w:rFonts w:hint="eastAsia" w:ascii="宋体" w:hAnsi="宋体" w:cs="宋体"/>
          <w:sz w:val="32"/>
          <w:szCs w:val="32"/>
        </w:rPr>
      </w:pPr>
    </w:p>
    <w:p>
      <w:pPr>
        <w:pStyle w:val="29"/>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29"/>
        <w:rPr>
          <w:rFonts w:hint="eastAsia"/>
        </w:rPr>
      </w:pPr>
    </w:p>
    <w:p>
      <w:pPr>
        <w:rPr>
          <w:rFonts w:hint="eastAsia"/>
        </w:rPr>
      </w:pPr>
    </w:p>
    <w:p>
      <w:pPr>
        <w:pStyle w:val="4"/>
        <w:rPr>
          <w:rFonts w:ascii="宋体" w:hAnsi="宋体" w:cs="宋体"/>
          <w:sz w:val="32"/>
          <w:szCs w:val="32"/>
          <w:lang w:val="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p>
    <w:p>
      <w:pPr>
        <w:pStyle w:val="5"/>
        <w:rPr>
          <w:rFonts w:ascii="宋体" w:hAnsi="宋体" w:cs="宋体"/>
          <w:sz w:val="28"/>
          <w:szCs w:val="20"/>
        </w:rPr>
      </w:pPr>
      <w:bookmarkStart w:id="278" w:name="_Toc27396"/>
      <w:bookmarkStart w:id="279" w:name="_Toc31613"/>
      <w:bookmarkStart w:id="280" w:name="_Toc23341"/>
      <w:r>
        <w:rPr>
          <w:rFonts w:hint="eastAsia" w:ascii="宋体" w:hAnsi="宋体" w:cs="宋体"/>
          <w:sz w:val="28"/>
          <w:szCs w:val="20"/>
        </w:rPr>
        <w:t>合同条款前附表</w:t>
      </w:r>
      <w:bookmarkEnd w:id="278"/>
      <w:bookmarkEnd w:id="279"/>
      <w:bookmarkEnd w:id="280"/>
    </w:p>
    <w:p>
      <w:pPr>
        <w:pStyle w:val="208"/>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6"/>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vAlign w:val="center"/>
          </w:tcPr>
          <w:p>
            <w:pPr>
              <w:pStyle w:val="209"/>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vAlign w:val="center"/>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spacing w:line="360" w:lineRule="auto"/>
              <w:jc w:val="left"/>
              <w:rPr>
                <w:rFonts w:ascii="宋体" w:hAnsi="宋体" w:cs="宋体"/>
                <w:sz w:val="24"/>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vAlign w:val="center"/>
          </w:tcPr>
          <w:p>
            <w:pPr>
              <w:pStyle w:val="18"/>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18"/>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cs="宋体"/>
                <w:color w:val="auto"/>
                <w:highlight w:val="none"/>
                <w:lang w:val="en-US" w:eastAsia="zh-CN"/>
              </w:rPr>
              <w:t>货物到达交货地点，卖方安装、调试、试运行、培训，经买方（使用单位）验收合格后，凭验收合格证明及按合同总价开具的发票（完税价），由买方支付合同总价款的90％，剩余的 10%作为质量保证金待设备正常运行两年（24 个月）无任何质量问题后，买方支付剩余的合同货款。</w:t>
            </w:r>
          </w:p>
        </w:tc>
      </w:tr>
    </w:tbl>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jc w:val="both"/>
        <w:rPr>
          <w:rFonts w:hint="eastAsia" w:ascii="宋体" w:hAnsi="宋体" w:cs="宋体"/>
          <w:b/>
          <w:bCs/>
          <w:sz w:val="48"/>
          <w:szCs w:val="48"/>
        </w:rPr>
      </w:pPr>
    </w:p>
    <w:p>
      <w:pPr>
        <w:pStyle w:val="18"/>
        <w:rPr>
          <w:rFonts w:hint="eastAsia" w:ascii="宋体" w:hAnsi="宋体" w:cs="宋体"/>
          <w:b/>
          <w:bCs/>
          <w:sz w:val="48"/>
          <w:szCs w:val="48"/>
        </w:rPr>
      </w:pPr>
    </w:p>
    <w:p>
      <w:pPr>
        <w:pStyle w:val="18"/>
        <w:rPr>
          <w:rFonts w:hint="eastAsia" w:ascii="宋体" w:hAnsi="宋体" w:cs="宋体"/>
          <w:b/>
          <w:bCs/>
          <w:sz w:val="48"/>
          <w:szCs w:val="48"/>
        </w:rPr>
      </w:pPr>
    </w:p>
    <w:p>
      <w:pPr>
        <w:jc w:val="center"/>
        <w:rPr>
          <w:b/>
          <w:bCs/>
          <w:sz w:val="48"/>
          <w:szCs w:val="48"/>
        </w:rPr>
      </w:pPr>
      <w:r>
        <w:rPr>
          <w:rFonts w:hint="eastAsia" w:ascii="宋体" w:hAnsi="宋体" w:cs="宋体"/>
          <w:b/>
          <w:bCs/>
          <w:sz w:val="48"/>
          <w:szCs w:val="48"/>
        </w:rPr>
        <w:t>甘肃</w:t>
      </w:r>
      <w:r>
        <w:rPr>
          <w:rFonts w:hint="eastAsia" w:ascii="宋体" w:hAnsi="宋体" w:cs="宋体"/>
          <w:b/>
          <w:bCs/>
          <w:sz w:val="48"/>
          <w:szCs w:val="48"/>
          <w:lang w:eastAsia="zh-CN"/>
        </w:rPr>
        <w:t>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甘肃省第二人民医院</w:t>
      </w:r>
      <w:r>
        <w:rPr>
          <w:rFonts w:hint="eastAsia" w:ascii="宋体" w:hAnsi="宋体" w:cs="宋体"/>
          <w:b/>
          <w:sz w:val="32"/>
          <w:szCs w:val="32"/>
          <w:u w:val="single"/>
          <w:lang w:val="en-US" w:eastAsia="zh-CN"/>
        </w:rPr>
        <w:t xml:space="preserve">      </w:t>
      </w:r>
      <w:r>
        <w:rPr>
          <w:rFonts w:hint="eastAsia" w:ascii="宋体" w:hAnsi="宋体" w:cs="宋体"/>
          <w:b/>
          <w:sz w:val="32"/>
          <w:szCs w:val="32"/>
          <w:lang w:val="en-US" w:eastAsia="zh-CN"/>
        </w:rPr>
        <w:t>采购</w:t>
      </w:r>
      <w:r>
        <w:rPr>
          <w:rFonts w:hint="eastAsia" w:ascii="宋体" w:hAnsi="宋体" w:cs="宋体"/>
          <w:b/>
          <w:sz w:val="32"/>
          <w:szCs w:val="32"/>
        </w:rPr>
        <w:t>项目</w:t>
      </w:r>
    </w:p>
    <w:p>
      <w:pPr>
        <w:spacing w:line="360" w:lineRule="auto"/>
        <w:ind w:firstLine="643" w:firstLineChars="200"/>
        <w:jc w:val="left"/>
        <w:rPr>
          <w:rFonts w:hint="default" w:ascii="宋体" w:hAnsi="宋体" w:eastAsia="宋体" w:cs="宋体"/>
          <w:b/>
          <w:bCs/>
          <w:sz w:val="32"/>
          <w:szCs w:val="32"/>
          <w:u w:val="single"/>
          <w:lang w:val="en-US" w:eastAsia="zh-CN"/>
        </w:rPr>
      </w:pPr>
      <w:r>
        <w:rPr>
          <w:rFonts w:hint="eastAsia" w:ascii="宋体" w:hAnsi="宋体" w:cs="宋体"/>
          <w:b/>
          <w:sz w:val="32"/>
          <w:szCs w:val="32"/>
        </w:rPr>
        <w:t>招标编号</w:t>
      </w:r>
      <w:r>
        <w:rPr>
          <w:rFonts w:hint="eastAsia" w:ascii="宋体" w:hAnsi="宋体" w:cs="宋体"/>
          <w:sz w:val="32"/>
          <w:szCs w:val="32"/>
        </w:rPr>
        <w:t>：</w:t>
      </w:r>
      <w:r>
        <w:rPr>
          <w:rFonts w:hint="eastAsia" w:ascii="宋体" w:hAnsi="宋体" w:cs="宋体"/>
          <w:sz w:val="32"/>
          <w:szCs w:val="32"/>
          <w:u w:val="single"/>
          <w:lang w:val="en-US" w:eastAsia="zh-CN"/>
        </w:rPr>
        <w:t xml:space="preserve">          </w:t>
      </w:r>
    </w:p>
    <w:p>
      <w:pPr>
        <w:spacing w:line="360" w:lineRule="auto"/>
        <w:ind w:firstLine="643" w:firstLineChars="200"/>
        <w:jc w:val="left"/>
        <w:rPr>
          <w:rFonts w:hint="eastAsia" w:ascii="宋体" w:hAnsi="宋体" w:eastAsia="宋体" w:cs="宋体"/>
          <w:b/>
          <w:sz w:val="32"/>
          <w:szCs w:val="32"/>
          <w:lang w:eastAsia="zh-CN"/>
        </w:rPr>
      </w:pPr>
    </w:p>
    <w:p>
      <w:pPr>
        <w:spacing w:line="360" w:lineRule="auto"/>
        <w:ind w:firstLine="643" w:firstLineChars="200"/>
        <w:jc w:val="left"/>
        <w:rPr>
          <w:rFonts w:hint="eastAsia" w:ascii="宋体" w:hAnsi="宋体" w:eastAsia="宋体" w:cs="宋体"/>
          <w:b/>
          <w:sz w:val="32"/>
          <w:szCs w:val="32"/>
          <w:lang w:eastAsia="zh-CN"/>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hint="eastAsia" w:ascii="宋体" w:hAnsi="宋体" w:eastAsia="宋体" w:cs="宋体"/>
          <w:b/>
          <w:sz w:val="32"/>
          <w:szCs w:val="32"/>
          <w:lang w:eastAsia="zh-CN"/>
        </w:rPr>
      </w:pPr>
    </w:p>
    <w:p>
      <w:pPr>
        <w:pStyle w:val="18"/>
        <w:rPr>
          <w:rFonts w:hint="eastAsia"/>
          <w:lang w:eastAsia="zh-CN"/>
        </w:rPr>
      </w:pPr>
    </w:p>
    <w:p>
      <w:pPr>
        <w:spacing w:line="360" w:lineRule="auto"/>
        <w:ind w:firstLine="643" w:firstLineChars="200"/>
        <w:jc w:val="left"/>
        <w:rPr>
          <w:rFonts w:hint="eastAsia" w:ascii="宋体" w:hAnsi="宋体" w:eastAsia="宋体" w:cs="宋体"/>
          <w:b/>
          <w:sz w:val="32"/>
          <w:szCs w:val="32"/>
          <w:lang w:eastAsia="zh-CN"/>
        </w:rPr>
      </w:pPr>
      <w:r>
        <w:rPr>
          <w:rFonts w:hint="eastAsia" w:ascii="宋体" w:hAnsi="宋体" w:cs="宋体"/>
          <w:b/>
          <w:sz w:val="32"/>
          <w:szCs w:val="32"/>
        </w:rPr>
        <w:t>甲方：</w:t>
      </w:r>
      <w:r>
        <w:rPr>
          <w:rFonts w:hint="eastAsia" w:ascii="宋体" w:hAnsi="宋体" w:cs="宋体"/>
          <w:b/>
          <w:sz w:val="32"/>
          <w:szCs w:val="32"/>
          <w:lang w:eastAsia="zh-CN"/>
        </w:rPr>
        <w:t>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5"/>
        <w:rPr>
          <w:rFonts w:ascii="宋体" w:hAnsi="宋体" w:cs="宋体"/>
          <w:sz w:val="24"/>
          <w:szCs w:val="24"/>
        </w:rPr>
      </w:pPr>
      <w:r>
        <w:rPr>
          <w:rFonts w:hint="eastAsia" w:ascii="宋体" w:hAnsi="宋体" w:cs="宋体"/>
          <w:sz w:val="24"/>
          <w:szCs w:val="24"/>
        </w:rPr>
        <w:br w:type="page"/>
      </w:r>
      <w:bookmarkStart w:id="281" w:name="_Toc20683"/>
      <w:bookmarkStart w:id="282" w:name="_Toc19734"/>
      <w:bookmarkStart w:id="283" w:name="_Toc3292"/>
      <w:r>
        <w:rPr>
          <w:rFonts w:hint="eastAsia" w:ascii="宋体" w:hAnsi="宋体" w:cs="宋体"/>
          <w:sz w:val="36"/>
          <w:szCs w:val="36"/>
        </w:rPr>
        <w:t>合同</w:t>
      </w:r>
      <w:bookmarkEnd w:id="281"/>
      <w:bookmarkEnd w:id="282"/>
      <w:bookmarkEnd w:id="283"/>
    </w:p>
    <w:p>
      <w:pPr>
        <w:spacing w:line="360" w:lineRule="auto"/>
        <w:ind w:firstLine="482" w:firstLineChars="200"/>
        <w:jc w:val="left"/>
        <w:rPr>
          <w:rFonts w:hint="eastAsia" w:ascii="宋体" w:hAnsi="宋体" w:eastAsia="宋体" w:cs="宋体"/>
          <w:b/>
          <w:sz w:val="24"/>
          <w:u w:val="single"/>
          <w:lang w:eastAsia="zh-CN"/>
        </w:rPr>
      </w:pPr>
      <w:r>
        <w:rPr>
          <w:rFonts w:hint="eastAsia" w:ascii="宋体" w:hAnsi="宋体" w:cs="宋体"/>
          <w:b/>
          <w:sz w:val="24"/>
        </w:rPr>
        <w:t>甲方：</w:t>
      </w:r>
      <w:r>
        <w:rPr>
          <w:rFonts w:hint="eastAsia" w:ascii="宋体" w:hAnsi="宋体" w:cs="宋体"/>
          <w:b/>
          <w:sz w:val="24"/>
          <w:lang w:eastAsia="zh-CN"/>
        </w:rPr>
        <w:t>甘肃省第二人民医院</w:t>
      </w:r>
    </w:p>
    <w:p>
      <w:pPr>
        <w:spacing w:line="360" w:lineRule="auto"/>
        <w:ind w:firstLine="482" w:firstLineChars="200"/>
        <w:jc w:val="left"/>
        <w:rPr>
          <w:rFonts w:hint="eastAsia" w:ascii="宋体" w:hAnsi="宋体" w:eastAsia="宋体" w:cs="宋体"/>
          <w:b/>
          <w:sz w:val="24"/>
          <w:u w:val="single"/>
          <w:lang w:eastAsia="zh-CN"/>
        </w:rPr>
      </w:pPr>
      <w:r>
        <w:rPr>
          <w:rFonts w:hint="eastAsia" w:ascii="宋体" w:hAnsi="宋体" w:cs="宋体"/>
          <w:b/>
          <w:sz w:val="24"/>
        </w:rPr>
        <w:t>乙方：</w:t>
      </w:r>
    </w:p>
    <w:p>
      <w:pPr>
        <w:spacing w:line="360" w:lineRule="auto"/>
        <w:ind w:firstLine="480" w:firstLineChars="200"/>
        <w:jc w:val="left"/>
        <w:rPr>
          <w:rFonts w:ascii="宋体" w:hAnsi="宋体" w:cs="宋体"/>
          <w:sz w:val="24"/>
        </w:rPr>
      </w:pPr>
      <w:r>
        <w:rPr>
          <w:rFonts w:hint="eastAsia" w:ascii="宋体" w:hAnsi="宋体" w:cs="宋体"/>
          <w:sz w:val="24"/>
        </w:rPr>
        <w:t>（以下简称甲方和乙方）</w:t>
      </w:r>
    </w:p>
    <w:p>
      <w:pPr>
        <w:spacing w:line="360" w:lineRule="auto"/>
        <w:ind w:firstLine="480" w:firstLineChars="200"/>
        <w:jc w:val="left"/>
        <w:rPr>
          <w:rFonts w:ascii="宋体" w:hAnsi="宋体" w:cs="宋体"/>
          <w:sz w:val="24"/>
        </w:rPr>
      </w:pPr>
      <w:r>
        <w:rPr>
          <w:rFonts w:hint="eastAsia" w:ascii="宋体" w:hAnsi="宋体" w:cs="宋体"/>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sz w:val="24"/>
        </w:rPr>
      </w:pPr>
      <w:r>
        <w:rPr>
          <w:rFonts w:hint="eastAsia" w:ascii="宋体" w:hAnsi="宋体" w:cs="宋体"/>
          <w:sz w:val="24"/>
        </w:rPr>
        <w:t>一、项目名称</w:t>
      </w:r>
    </w:p>
    <w:p>
      <w:pPr>
        <w:spacing w:line="360" w:lineRule="auto"/>
        <w:ind w:firstLine="480" w:firstLineChars="200"/>
        <w:jc w:val="left"/>
        <w:rPr>
          <w:rFonts w:hint="default" w:ascii="宋体" w:hAnsi="宋体" w:eastAsia="宋体" w:cs="宋体"/>
          <w:sz w:val="24"/>
          <w:u w:val="single"/>
          <w:lang w:val="en-US" w:eastAsia="zh-CN"/>
        </w:rPr>
      </w:pPr>
      <w:r>
        <w:rPr>
          <w:rFonts w:hint="eastAsia" w:ascii="宋体" w:hAnsi="宋体" w:cs="宋体"/>
          <w:sz w:val="24"/>
        </w:rPr>
        <w:t>项目名称：</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w:t>
      </w:r>
    </w:p>
    <w:p>
      <w:pPr>
        <w:numPr>
          <w:ilvl w:val="0"/>
          <w:numId w:val="16"/>
        </w:numPr>
        <w:spacing w:line="360" w:lineRule="auto"/>
        <w:ind w:firstLine="480" w:firstLineChars="200"/>
        <w:jc w:val="left"/>
        <w:rPr>
          <w:rFonts w:ascii="宋体" w:hAnsi="宋体" w:cs="宋体"/>
          <w:sz w:val="24"/>
        </w:rPr>
      </w:pPr>
      <w:r>
        <w:rPr>
          <w:rFonts w:hint="eastAsia" w:ascii="宋体" w:hAnsi="宋体" w:cs="宋体"/>
          <w:sz w:val="24"/>
        </w:rPr>
        <w:t>货物清单</w:t>
      </w:r>
    </w:p>
    <w:tbl>
      <w:tblPr>
        <w:tblStyle w:val="36"/>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合计(RMB)</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rPr>
                <w:rFonts w:ascii="宋体" w:hAnsi="宋体" w:cs="宋体"/>
                <w:b/>
                <w:sz w:val="24"/>
              </w:rPr>
            </w:pPr>
            <w:r>
              <w:rPr>
                <w:rFonts w:hint="eastAsia" w:ascii="宋体" w:hAnsi="宋体" w:cs="宋体"/>
                <w:b/>
                <w:sz w:val="24"/>
              </w:rPr>
              <w:t>合计</w:t>
            </w:r>
          </w:p>
        </w:tc>
        <w:tc>
          <w:tcPr>
            <w:tcW w:w="6243" w:type="dxa"/>
            <w:gridSpan w:val="6"/>
            <w:tcBorders>
              <w:top w:val="single" w:color="auto" w:sz="6" w:space="0"/>
              <w:left w:val="single" w:color="auto" w:sz="4" w:space="0"/>
              <w:bottom w:val="single" w:color="auto" w:sz="6" w:space="0"/>
              <w:right w:val="single" w:color="auto" w:sz="4" w:space="0"/>
            </w:tcBorders>
            <w:vAlign w:val="center"/>
          </w:tcPr>
          <w:p>
            <w:pPr>
              <w:spacing w:line="360" w:lineRule="auto"/>
              <w:ind w:left="3124"/>
              <w:rPr>
                <w:rFonts w:ascii="宋体" w:hAnsi="宋体" w:cs="宋体"/>
                <w:b/>
                <w:sz w:val="24"/>
              </w:rPr>
            </w:pPr>
            <w:r>
              <w:rPr>
                <w:rFonts w:hint="eastAsia" w:ascii="宋体" w:hAnsi="宋体" w:cs="宋体"/>
                <w:b/>
                <w:sz w:val="24"/>
              </w:rPr>
              <w:t>（大写）</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r>
              <w:rPr>
                <w:rFonts w:hint="eastAsia" w:ascii="宋体" w:hAnsi="宋体" w:cs="宋体"/>
                <w:b/>
                <w:sz w:val="24"/>
              </w:rPr>
              <w:t>（小写）</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bl>
    <w:p>
      <w:pPr>
        <w:numPr>
          <w:ilvl w:val="0"/>
          <w:numId w:val="16"/>
        </w:numPr>
        <w:spacing w:line="360" w:lineRule="auto"/>
        <w:ind w:firstLine="480" w:firstLineChars="200"/>
        <w:jc w:val="left"/>
        <w:rPr>
          <w:rFonts w:ascii="宋体" w:hAnsi="宋体" w:cs="宋体"/>
          <w:sz w:val="24"/>
        </w:rPr>
      </w:pPr>
      <w:r>
        <w:rPr>
          <w:rFonts w:hint="eastAsia" w:ascii="宋体" w:hAnsi="宋体" w:cs="宋体"/>
          <w:sz w:val="24"/>
        </w:rPr>
        <w:t>合同金额</w:t>
      </w:r>
    </w:p>
    <w:p>
      <w:pPr>
        <w:pStyle w:val="29"/>
        <w:spacing w:line="360" w:lineRule="auto"/>
        <w:ind w:left="0" w:leftChars="0" w:firstLine="480" w:firstLineChars="200"/>
        <w:rPr>
          <w:rFonts w:hint="eastAsia" w:ascii="宋体" w:hAnsi="宋体" w:eastAsia="宋体" w:cs="宋体"/>
          <w:sz w:val="24"/>
          <w:u w:val="single"/>
          <w:lang w:eastAsia="zh-CN"/>
        </w:rPr>
      </w:pPr>
      <w:r>
        <w:rPr>
          <w:rFonts w:hint="eastAsia" w:ascii="宋体" w:hAnsi="宋体" w:cs="宋体"/>
          <w:sz w:val="24"/>
        </w:rPr>
        <w:t>1.合同金额：大写：小写：</w:t>
      </w:r>
    </w:p>
    <w:p>
      <w:pPr>
        <w:spacing w:line="360" w:lineRule="auto"/>
        <w:ind w:firstLine="465"/>
        <w:jc w:val="left"/>
        <w:rPr>
          <w:rFonts w:ascii="宋体" w:hAnsi="宋体" w:cs="宋体"/>
          <w:sz w:val="24"/>
        </w:rPr>
      </w:pPr>
      <w:r>
        <w:rPr>
          <w:rFonts w:hint="eastAsia" w:ascii="宋体" w:hAnsi="宋体" w:cs="宋体"/>
          <w:sz w:val="24"/>
        </w:rPr>
        <w:t>2.合同总额以合同有效期内发生的实际交易金额为准，合同有效期为签订合同之日起一年内。</w:t>
      </w:r>
    </w:p>
    <w:p>
      <w:pPr>
        <w:spacing w:line="360" w:lineRule="auto"/>
        <w:ind w:firstLine="465"/>
        <w:jc w:val="left"/>
        <w:rPr>
          <w:rFonts w:ascii="宋体" w:hAnsi="宋体" w:cs="宋体"/>
          <w:sz w:val="24"/>
        </w:rPr>
      </w:pPr>
      <w:r>
        <w:rPr>
          <w:rFonts w:hint="eastAsia" w:ascii="宋体" w:hAnsi="宋体" w:cs="宋体"/>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sz w:val="24"/>
        </w:rPr>
      </w:pPr>
      <w:r>
        <w:rPr>
          <w:rFonts w:hint="eastAsia" w:ascii="宋体" w:hAnsi="宋体" w:cs="宋体"/>
          <w:sz w:val="24"/>
        </w:rPr>
        <w:t>4.合同签订的货物单价为固定不变价，天数为日历日。</w:t>
      </w:r>
    </w:p>
    <w:p>
      <w:pPr>
        <w:spacing w:line="360" w:lineRule="auto"/>
        <w:ind w:firstLine="480" w:firstLineChars="200"/>
        <w:jc w:val="left"/>
        <w:rPr>
          <w:rFonts w:ascii="宋体" w:hAnsi="宋体" w:cs="宋体"/>
          <w:bCs/>
          <w:sz w:val="24"/>
        </w:rPr>
      </w:pPr>
      <w:r>
        <w:rPr>
          <w:rFonts w:hint="eastAsia" w:ascii="宋体" w:hAnsi="宋体" w:cs="宋体"/>
          <w:bCs/>
          <w:sz w:val="24"/>
        </w:rPr>
        <w:t>四、货物产地及验收标准</w:t>
      </w:r>
    </w:p>
    <w:p>
      <w:pPr>
        <w:spacing w:line="360" w:lineRule="auto"/>
        <w:ind w:firstLine="480" w:firstLineChars="200"/>
        <w:jc w:val="left"/>
        <w:rPr>
          <w:rFonts w:ascii="宋体" w:hAnsi="宋体" w:cs="宋体"/>
          <w:sz w:val="24"/>
        </w:rPr>
      </w:pPr>
      <w:r>
        <w:rPr>
          <w:rFonts w:hint="eastAsia" w:ascii="宋体" w:hAnsi="宋体" w:cs="宋体"/>
          <w:sz w:val="24"/>
        </w:rPr>
        <w:t>1.乙方按照合同规定将货物送达甲方指定地点后，由供需双方现场核查。</w:t>
      </w:r>
    </w:p>
    <w:p>
      <w:pPr>
        <w:spacing w:line="360" w:lineRule="auto"/>
        <w:ind w:firstLine="480" w:firstLineChars="200"/>
        <w:jc w:val="left"/>
        <w:rPr>
          <w:rFonts w:ascii="宋体" w:hAnsi="宋体" w:cs="宋体"/>
          <w:sz w:val="24"/>
        </w:rPr>
      </w:pPr>
      <w:r>
        <w:rPr>
          <w:rFonts w:hint="eastAsia" w:ascii="宋体" w:hAnsi="宋体" w:cs="宋体"/>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sz w:val="24"/>
        </w:rPr>
      </w:pPr>
      <w:r>
        <w:rPr>
          <w:rFonts w:hint="eastAsia" w:ascii="宋体" w:hAnsi="宋体" w:cs="宋体"/>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sz w:val="24"/>
        </w:rPr>
      </w:pPr>
      <w:r>
        <w:rPr>
          <w:rFonts w:hint="eastAsia" w:ascii="宋体" w:hAnsi="宋体" w:cs="宋体"/>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sz w:val="24"/>
        </w:rPr>
      </w:pPr>
      <w:r>
        <w:rPr>
          <w:rFonts w:hint="eastAsia" w:ascii="宋体" w:hAnsi="宋体" w:cs="宋体"/>
          <w:sz w:val="24"/>
        </w:rPr>
        <w:t>5.国内制造的产品必须具备出厂合格证。</w:t>
      </w:r>
    </w:p>
    <w:p>
      <w:pPr>
        <w:spacing w:line="360" w:lineRule="auto"/>
        <w:ind w:firstLine="480" w:firstLineChars="200"/>
        <w:jc w:val="left"/>
        <w:rPr>
          <w:rFonts w:ascii="宋体" w:hAnsi="宋体" w:cs="宋体"/>
          <w:sz w:val="24"/>
        </w:rPr>
      </w:pPr>
      <w:r>
        <w:rPr>
          <w:rFonts w:hint="eastAsia" w:ascii="宋体" w:hAnsi="宋体" w:cs="宋体"/>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sz w:val="24"/>
        </w:rPr>
      </w:pPr>
      <w:r>
        <w:rPr>
          <w:rFonts w:hint="eastAsia" w:ascii="宋体" w:hAnsi="宋体" w:cs="宋体"/>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pPr>
      <w:r>
        <w:rPr>
          <w:rFonts w:hint="eastAsia" w:ascii="宋体" w:hAnsi="宋体" w:cs="宋体"/>
          <w:color w:val="000000"/>
          <w:sz w:val="24"/>
        </w:rPr>
        <w:t>8.完成交货及验收后，乙方须全权处理包装垃圾。</w:t>
      </w:r>
    </w:p>
    <w:p>
      <w:pPr>
        <w:spacing w:line="360" w:lineRule="auto"/>
        <w:ind w:firstLine="480" w:firstLineChars="200"/>
        <w:rPr>
          <w:rFonts w:ascii="宋体" w:hAnsi="宋体" w:cs="宋体"/>
          <w:sz w:val="24"/>
        </w:rPr>
      </w:pPr>
      <w:r>
        <w:rPr>
          <w:rFonts w:hint="eastAsia" w:ascii="宋体" w:hAnsi="宋体" w:cs="宋体"/>
          <w:sz w:val="24"/>
        </w:rPr>
        <w:t>五、付款方式：</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rPr>
        <w:t>1）货物到达交货地点，</w:t>
      </w:r>
      <w:r>
        <w:rPr>
          <w:rFonts w:hint="eastAsia" w:ascii="宋体" w:hAnsi="宋体" w:cs="宋体"/>
          <w:color w:val="auto"/>
          <w:sz w:val="24"/>
          <w:lang w:eastAsia="zh-CN"/>
        </w:rPr>
        <w:t>卖方</w:t>
      </w:r>
      <w:r>
        <w:rPr>
          <w:rFonts w:hint="eastAsia" w:ascii="宋体" w:hAnsi="宋体" w:cs="宋体"/>
          <w:color w:val="auto"/>
          <w:sz w:val="24"/>
        </w:rPr>
        <w:t>安装、调试、试运行、培训，经买方（使用单位）验收合格后，凭验收合</w:t>
      </w:r>
      <w:r>
        <w:rPr>
          <w:rFonts w:hint="eastAsia" w:ascii="宋体" w:hAnsi="宋体" w:cs="宋体"/>
          <w:color w:val="auto"/>
          <w:sz w:val="24"/>
          <w:szCs w:val="24"/>
        </w:rPr>
        <w:t>格证明及按合同总价开具的发票（完税价）</w:t>
      </w:r>
      <w:r>
        <w:rPr>
          <w:rFonts w:hint="eastAsia" w:ascii="宋体" w:hAnsi="宋体" w:cs="宋体"/>
          <w:color w:val="auto"/>
          <w:sz w:val="24"/>
          <w:szCs w:val="24"/>
          <w:highlight w:val="none"/>
          <w:lang w:val="en-US" w:eastAsia="zh-CN"/>
        </w:rPr>
        <w:t>由买方支付合同总价款的90％，剩余的 10%作为质量保证金待设备正常运行两年（24 个月）无任何质量问题后，买方支付剩余的合同货款。</w:t>
      </w:r>
    </w:p>
    <w:p>
      <w:pPr>
        <w:spacing w:line="360" w:lineRule="auto"/>
        <w:ind w:firstLine="480"/>
        <w:jc w:val="left"/>
        <w:rPr>
          <w:rFonts w:ascii="宋体" w:hAnsi="宋体" w:cs="宋体"/>
          <w:bCs/>
          <w:color w:val="auto"/>
          <w:sz w:val="24"/>
          <w:highlight w:val="none"/>
        </w:rPr>
      </w:pPr>
      <w:r>
        <w:rPr>
          <w:rFonts w:hint="eastAsia" w:ascii="宋体" w:hAnsi="宋体" w:cs="宋体"/>
          <w:bCs/>
          <w:color w:val="auto"/>
          <w:sz w:val="24"/>
        </w:rPr>
        <w:t>六、质</w:t>
      </w:r>
      <w:r>
        <w:rPr>
          <w:rFonts w:hint="eastAsia" w:ascii="宋体" w:hAnsi="宋体" w:cs="宋体"/>
          <w:bCs/>
          <w:color w:val="auto"/>
          <w:sz w:val="24"/>
          <w:highlight w:val="none"/>
        </w:rPr>
        <w:t>保期及售后服务要求</w:t>
      </w:r>
    </w:p>
    <w:p>
      <w:pPr>
        <w:spacing w:line="360" w:lineRule="auto"/>
        <w:ind w:firstLine="480"/>
        <w:jc w:val="left"/>
        <w:rPr>
          <w:rFonts w:ascii="宋体" w:hAnsi="宋体" w:cs="宋体"/>
          <w:sz w:val="24"/>
        </w:rPr>
      </w:pPr>
      <w:r>
        <w:rPr>
          <w:rFonts w:hint="eastAsia" w:ascii="宋体" w:hAnsi="宋体" w:cs="宋体"/>
          <w:sz w:val="24"/>
          <w:highlight w:val="none"/>
        </w:rPr>
        <w:t>（1）</w:t>
      </w:r>
      <w:r>
        <w:rPr>
          <w:rFonts w:hint="eastAsia" w:ascii="宋体" w:hAnsi="宋体" w:cs="宋体"/>
          <w:color w:val="auto"/>
          <w:sz w:val="24"/>
          <w:highlight w:val="none"/>
        </w:rPr>
        <w:t>本合同的质量保证期除特殊要求的设备外，其余设备的质保期自甲方验收合格之日起</w:t>
      </w:r>
      <w:r>
        <w:rPr>
          <w:rFonts w:hint="eastAsia" w:ascii="宋体" w:hAnsi="宋体" w:cs="宋体"/>
          <w:color w:val="auto"/>
          <w:sz w:val="24"/>
          <w:highlight w:val="none"/>
          <w:lang w:eastAsia="zh-CN"/>
        </w:rPr>
        <w:t>两</w:t>
      </w:r>
      <w:r>
        <w:rPr>
          <w:rFonts w:hint="eastAsia" w:ascii="宋体" w:hAnsi="宋体" w:cs="宋体"/>
          <w:color w:val="000000" w:themeColor="text1"/>
          <w:sz w:val="24"/>
          <w:highlight w:val="none"/>
        </w:rPr>
        <w:t>年（</w:t>
      </w:r>
      <w:r>
        <w:rPr>
          <w:rFonts w:hint="eastAsia" w:ascii="宋体" w:hAnsi="宋体" w:cs="宋体"/>
          <w:color w:val="000000" w:themeColor="text1"/>
          <w:sz w:val="24"/>
          <w:highlight w:val="none"/>
          <w:lang w:val="en-US" w:eastAsia="zh-CN"/>
        </w:rPr>
        <w:t>24</w:t>
      </w:r>
      <w:r>
        <w:rPr>
          <w:rFonts w:hint="eastAsia" w:ascii="宋体" w:hAnsi="宋体" w:cs="宋体"/>
          <w:color w:val="000000" w:themeColor="text1"/>
          <w:sz w:val="24"/>
          <w:highlight w:val="none"/>
        </w:rPr>
        <w:t>个月），按</w:t>
      </w:r>
      <w:r>
        <w:rPr>
          <w:rFonts w:hint="eastAsia" w:ascii="宋体" w:hAnsi="宋体" w:cs="宋体"/>
          <w:sz w:val="24"/>
        </w:rPr>
        <w:t>厂家承诺执行，质保期内乙方对所供货物实行包换、包退、期满后可同时提其它承诺服务。</w:t>
      </w:r>
    </w:p>
    <w:p>
      <w:pPr>
        <w:spacing w:line="360" w:lineRule="auto"/>
        <w:ind w:firstLine="480" w:firstLineChars="200"/>
        <w:jc w:val="left"/>
        <w:rPr>
          <w:rFonts w:ascii="宋体" w:hAnsi="宋体" w:cs="宋体"/>
          <w:sz w:val="24"/>
        </w:rPr>
      </w:pPr>
      <w:r>
        <w:rPr>
          <w:rFonts w:hint="eastAsia" w:ascii="宋体" w:hAnsi="宋体" w:cs="宋体"/>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sz w:val="24"/>
        </w:rPr>
      </w:pPr>
      <w:r>
        <w:rPr>
          <w:rFonts w:hint="eastAsia" w:ascii="宋体" w:hAnsi="宋体" w:cs="宋体"/>
          <w:sz w:val="24"/>
        </w:rPr>
        <w:t>（3）在质保期内有任何质量问题，乙方在接报后必须无条件予以退换。</w:t>
      </w:r>
    </w:p>
    <w:p>
      <w:pPr>
        <w:spacing w:line="360" w:lineRule="auto"/>
        <w:ind w:firstLine="480" w:firstLineChars="200"/>
        <w:jc w:val="left"/>
        <w:rPr>
          <w:rFonts w:ascii="宋体" w:hAnsi="宋体" w:cs="宋体"/>
          <w:sz w:val="24"/>
        </w:rPr>
      </w:pPr>
      <w:r>
        <w:rPr>
          <w:rFonts w:hint="eastAsia" w:ascii="宋体" w:hAnsi="宋体" w:cs="宋体"/>
          <w:sz w:val="24"/>
        </w:rPr>
        <w:t>（4）维修更换之零部件的质保期自维修验收之日起</w:t>
      </w:r>
      <w:r>
        <w:rPr>
          <w:rFonts w:hint="eastAsia" w:ascii="宋体" w:hAnsi="宋体" w:cs="宋体"/>
          <w:sz w:val="24"/>
          <w:lang w:val="en-US" w:eastAsia="zh-CN"/>
        </w:rPr>
        <w:t>2</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sz w:val="24"/>
        </w:rPr>
      </w:pPr>
      <w:r>
        <w:rPr>
          <w:rFonts w:hint="eastAsia" w:ascii="宋体" w:hAnsi="宋体" w:cs="宋体"/>
          <w:sz w:val="24"/>
        </w:rPr>
        <w:t>（6）设备安装现场乙方须对使用人员进行培训，培训人数不限。生产厂家应用实验室提供免费培训，培训人数不少于2人。</w:t>
      </w:r>
    </w:p>
    <w:p>
      <w:pPr>
        <w:spacing w:line="360" w:lineRule="auto"/>
        <w:ind w:firstLine="480" w:firstLineChars="200"/>
        <w:textAlignment w:val="baseline"/>
        <w:rPr>
          <w:rFonts w:ascii="宋体" w:hAnsi="宋体" w:cs="宋体"/>
          <w:sz w:val="24"/>
        </w:rPr>
      </w:pPr>
      <w:r>
        <w:rPr>
          <w:rFonts w:hint="eastAsia" w:ascii="宋体" w:hAnsi="宋体" w:cs="宋体"/>
          <w:sz w:val="24"/>
        </w:rPr>
        <w:t>七、交货时间、交货地点和验收单位：</w:t>
      </w:r>
    </w:p>
    <w:p>
      <w:pPr>
        <w:spacing w:line="360" w:lineRule="auto"/>
        <w:ind w:firstLine="480"/>
        <w:rPr>
          <w:rFonts w:ascii="宋体" w:hAnsi="宋体" w:cs="宋体"/>
          <w:color w:val="FF0000"/>
          <w:sz w:val="24"/>
          <w:highlight w:val="none"/>
        </w:rPr>
      </w:pPr>
      <w:r>
        <w:rPr>
          <w:rFonts w:hint="eastAsia" w:ascii="宋体" w:hAnsi="宋体" w:cs="宋体"/>
          <w:sz w:val="24"/>
        </w:rPr>
        <w:t>1</w:t>
      </w:r>
      <w:r>
        <w:rPr>
          <w:rFonts w:hint="eastAsia" w:ascii="宋体" w:hAnsi="宋体" w:cs="宋体"/>
          <w:sz w:val="24"/>
          <w:highlight w:val="none"/>
        </w:rPr>
        <w:t>.</w:t>
      </w:r>
      <w:r>
        <w:rPr>
          <w:rFonts w:hint="eastAsia" w:ascii="宋体" w:hAnsi="宋体" w:cs="宋体"/>
          <w:color w:val="auto"/>
          <w:sz w:val="24"/>
          <w:highlight w:val="none"/>
        </w:rPr>
        <w:t>交付时间：合同签订之日起</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0天内</w:t>
      </w:r>
    </w:p>
    <w:p>
      <w:pPr>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2.交货地点：</w:t>
      </w:r>
      <w:r>
        <w:rPr>
          <w:rFonts w:hint="eastAsia" w:ascii="宋体" w:hAnsi="宋体" w:cs="宋体"/>
          <w:color w:val="auto"/>
          <w:sz w:val="24"/>
          <w:highlight w:val="none"/>
          <w:lang w:eastAsia="zh-CN"/>
        </w:rPr>
        <w:t>甲方</w:t>
      </w:r>
      <w:r>
        <w:rPr>
          <w:rFonts w:hint="eastAsia" w:ascii="宋体" w:hAnsi="宋体" w:cs="宋体"/>
          <w:color w:val="auto"/>
          <w:sz w:val="24"/>
          <w:highlight w:val="none"/>
        </w:rPr>
        <w:t>指定地点</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3.验收单位：</w:t>
      </w:r>
      <w:r>
        <w:rPr>
          <w:rFonts w:hint="eastAsia" w:ascii="宋体" w:hAnsi="宋体" w:cs="宋体"/>
          <w:sz w:val="24"/>
          <w:lang w:eastAsia="zh-CN"/>
        </w:rPr>
        <w:t>甘肃省第二人民医院</w:t>
      </w:r>
    </w:p>
    <w:p>
      <w:pPr>
        <w:spacing w:line="360" w:lineRule="auto"/>
        <w:ind w:firstLine="480" w:firstLineChars="200"/>
        <w:textAlignment w:val="baseline"/>
        <w:rPr>
          <w:rFonts w:ascii="宋体" w:hAnsi="宋体" w:cs="宋体"/>
          <w:sz w:val="24"/>
        </w:rPr>
      </w:pPr>
      <w:r>
        <w:rPr>
          <w:rFonts w:hint="eastAsia" w:ascii="宋体" w:hAnsi="宋体" w:cs="宋体"/>
          <w:sz w:val="24"/>
        </w:rPr>
        <w:t>八、经济责任：</w:t>
      </w:r>
    </w:p>
    <w:p>
      <w:pPr>
        <w:spacing w:line="360" w:lineRule="auto"/>
        <w:ind w:firstLine="480" w:firstLineChars="200"/>
        <w:textAlignment w:val="baseline"/>
        <w:rPr>
          <w:rFonts w:ascii="宋体" w:hAnsi="宋体" w:cs="宋体"/>
          <w:sz w:val="24"/>
        </w:rPr>
      </w:pPr>
      <w:r>
        <w:rPr>
          <w:rFonts w:hint="eastAsia" w:ascii="宋体" w:hAnsi="宋体" w:cs="宋体"/>
          <w:sz w:val="24"/>
        </w:rPr>
        <w:t>（一）乙方责任</w:t>
      </w:r>
    </w:p>
    <w:p>
      <w:pPr>
        <w:spacing w:line="360" w:lineRule="auto"/>
        <w:ind w:firstLine="480" w:firstLineChars="200"/>
        <w:textAlignment w:val="baseline"/>
        <w:rPr>
          <w:rFonts w:ascii="宋体" w:hAnsi="宋体" w:cs="宋体"/>
          <w:sz w:val="24"/>
        </w:rPr>
      </w:pPr>
      <w:r>
        <w:rPr>
          <w:rFonts w:hint="eastAsia" w:ascii="宋体" w:hAnsi="宋体" w:cs="宋体"/>
          <w:sz w:val="24"/>
        </w:rPr>
        <w:t>（1）乙方不履行合同或交付的货物全部或部分不符合合同要求的，甲方有权拒收不符合质量要求的全部或部分货物，乙方须向甲方支付拒收货物价款总额10%的违约金。</w:t>
      </w:r>
    </w:p>
    <w:p>
      <w:pPr>
        <w:spacing w:line="360" w:lineRule="auto"/>
        <w:ind w:firstLine="480" w:firstLineChars="200"/>
        <w:textAlignment w:val="baseline"/>
        <w:rPr>
          <w:rFonts w:ascii="宋体" w:hAnsi="宋体" w:cs="宋体"/>
          <w:sz w:val="24"/>
        </w:rPr>
      </w:pPr>
      <w:r>
        <w:rPr>
          <w:rFonts w:hint="eastAsia" w:ascii="宋体" w:hAnsi="宋体" w:cs="宋体"/>
          <w:sz w:val="24"/>
        </w:rPr>
        <w:t>（2）货物质量不符合合同规定时，甲方同意利用的按质论价，不能利用的，乙方负责包退包换。由于上述原因导致延误交货时间的，每延误一日，乙应方应按逾期交货部分货物价款总值的5‰向甲方偿付违约金。</w:t>
      </w:r>
    </w:p>
    <w:p>
      <w:pPr>
        <w:spacing w:line="360" w:lineRule="auto"/>
        <w:ind w:firstLine="480" w:firstLineChars="200"/>
        <w:textAlignment w:val="baseline"/>
        <w:rPr>
          <w:rFonts w:ascii="宋体" w:hAnsi="宋体" w:cs="宋体"/>
          <w:sz w:val="24"/>
        </w:rPr>
      </w:pPr>
      <w:r>
        <w:rPr>
          <w:rFonts w:hint="eastAsia" w:ascii="宋体" w:hAnsi="宋体" w:cs="宋体"/>
          <w:sz w:val="24"/>
        </w:rPr>
        <w:t>（3）乙方每次按照甲方的订货通知单发货，在接到通知单后7日内交货，每逾期一日，中标人必须向甲方支付逾期交货部分货物总额5‰的违约金。逾期交货超过30日，采购方有权解除合同，且履约保证金不予退还。</w:t>
      </w:r>
    </w:p>
    <w:p>
      <w:pPr>
        <w:spacing w:line="360" w:lineRule="auto"/>
        <w:ind w:firstLine="480" w:firstLineChars="200"/>
        <w:textAlignment w:val="baseline"/>
        <w:rPr>
          <w:rFonts w:ascii="宋体" w:hAnsi="宋体" w:cs="宋体"/>
          <w:sz w:val="24"/>
        </w:rPr>
      </w:pPr>
      <w:r>
        <w:rPr>
          <w:rFonts w:hint="eastAsia" w:ascii="宋体" w:hAnsi="宋体" w:cs="宋体"/>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sz w:val="24"/>
        </w:rPr>
      </w:pPr>
      <w:r>
        <w:rPr>
          <w:rFonts w:hint="eastAsia" w:ascii="宋体" w:hAnsi="宋体" w:cs="宋体"/>
          <w:sz w:val="24"/>
        </w:rPr>
        <w:t>（二）甲方责任</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甲方无正当理由，中途退货或拒绝收货，应向乙方支付退货部分货款总额10%的违约金，并承担因此造成的经济损失及运输费用。</w:t>
      </w:r>
    </w:p>
    <w:p>
      <w:pPr>
        <w:spacing w:line="360" w:lineRule="auto"/>
        <w:ind w:firstLine="480" w:firstLineChars="200"/>
        <w:textAlignment w:val="baseline"/>
        <w:rPr>
          <w:rFonts w:ascii="宋体" w:hAnsi="宋体" w:cs="宋体"/>
          <w:sz w:val="24"/>
        </w:rPr>
      </w:pPr>
      <w:r>
        <w:rPr>
          <w:rFonts w:hint="eastAsia" w:ascii="宋体" w:hAnsi="宋体" w:cs="宋体"/>
          <w:sz w:val="24"/>
        </w:rPr>
        <w:t>九、合同解释：</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sz w:val="24"/>
        </w:rPr>
      </w:pPr>
      <w:r>
        <w:rPr>
          <w:rFonts w:hint="eastAsia" w:ascii="宋体" w:hAnsi="宋体" w:cs="宋体"/>
          <w:sz w:val="24"/>
        </w:rPr>
        <w:t>十、合同执行过程中发生的一切争议，双方应通过友好协商解决，如协商不能解决，应按《中华人民共和国合同法》有关规定解决。</w:t>
      </w:r>
    </w:p>
    <w:p>
      <w:pPr>
        <w:spacing w:line="360" w:lineRule="auto"/>
        <w:ind w:firstLine="480" w:firstLineChars="200"/>
        <w:jc w:val="left"/>
        <w:rPr>
          <w:rFonts w:ascii="宋体" w:hAnsi="宋体" w:cs="宋体"/>
          <w:sz w:val="24"/>
        </w:rPr>
      </w:pPr>
      <w:r>
        <w:rPr>
          <w:rFonts w:hint="eastAsia" w:ascii="宋体" w:hAnsi="宋体" w:cs="宋体"/>
          <w:sz w:val="24"/>
        </w:rPr>
        <w:t>十一、其它未尽事宜由甲乙双方协商约定。</w:t>
      </w:r>
    </w:p>
    <w:p>
      <w:pPr>
        <w:spacing w:line="360" w:lineRule="auto"/>
        <w:ind w:firstLine="480" w:firstLineChars="200"/>
        <w:jc w:val="left"/>
        <w:rPr>
          <w:rFonts w:ascii="宋体" w:hAnsi="宋体" w:cs="宋体"/>
          <w:sz w:val="24"/>
        </w:rPr>
      </w:pPr>
      <w:r>
        <w:rPr>
          <w:rFonts w:hint="eastAsia" w:ascii="宋体" w:hAnsi="宋体" w:cs="宋体"/>
          <w:sz w:val="24"/>
        </w:rPr>
        <w:t>十二、本合同一式</w:t>
      </w:r>
      <w:r>
        <w:rPr>
          <w:rFonts w:hint="eastAsia" w:ascii="宋体" w:hAnsi="宋体" w:cs="宋体"/>
          <w:sz w:val="24"/>
          <w:lang w:eastAsia="zh-CN"/>
        </w:rPr>
        <w:t>肆</w:t>
      </w:r>
      <w:r>
        <w:rPr>
          <w:rFonts w:hint="eastAsia" w:ascii="宋体" w:hAnsi="宋体" w:cs="宋体"/>
          <w:sz w:val="24"/>
        </w:rPr>
        <w:t>份，甲方、乙方各执二份。</w:t>
      </w:r>
    </w:p>
    <w:p>
      <w:pPr>
        <w:pStyle w:val="29"/>
        <w:rPr>
          <w:rFonts w:ascii="宋体" w:hAnsi="宋体" w:cs="宋体"/>
          <w:sz w:val="24"/>
        </w:rPr>
      </w:pPr>
    </w:p>
    <w:p>
      <w:pPr>
        <w:rPr>
          <w:rFonts w:ascii="宋体" w:hAnsi="宋体" w:cs="宋体"/>
          <w:sz w:val="24"/>
        </w:rPr>
      </w:pPr>
    </w:p>
    <w:p>
      <w:pPr>
        <w:pStyle w:val="29"/>
        <w:rPr>
          <w:rFonts w:ascii="宋体" w:hAnsi="宋体" w:cs="宋体"/>
          <w:sz w:val="24"/>
        </w:rPr>
      </w:pPr>
    </w:p>
    <w:p/>
    <w:p>
      <w:pPr>
        <w:rPr>
          <w:rFonts w:ascii="宋体" w:hAnsi="宋体" w:cs="宋体"/>
          <w:sz w:val="24"/>
        </w:rPr>
      </w:pPr>
    </w:p>
    <w:p>
      <w:pPr>
        <w:pStyle w:val="29"/>
        <w:spacing w:line="360" w:lineRule="auto"/>
        <w:ind w:left="0" w:leftChars="0"/>
        <w:jc w:val="both"/>
        <w:rPr>
          <w:rFonts w:hint="eastAsia" w:ascii="宋体" w:hAnsi="宋体" w:cs="宋体"/>
          <w:sz w:val="28"/>
          <w:szCs w:val="36"/>
        </w:rPr>
      </w:pPr>
    </w:p>
    <w:p>
      <w:pPr>
        <w:pStyle w:val="29"/>
        <w:spacing w:line="360" w:lineRule="auto"/>
        <w:ind w:left="0" w:leftChars="0"/>
        <w:jc w:val="both"/>
        <w:rPr>
          <w:rFonts w:hint="eastAsia" w:ascii="宋体" w:hAnsi="宋体" w:cs="宋体"/>
          <w:sz w:val="28"/>
          <w:szCs w:val="36"/>
        </w:rPr>
      </w:pPr>
    </w:p>
    <w:p>
      <w:pPr>
        <w:pStyle w:val="29"/>
        <w:spacing w:line="360" w:lineRule="auto"/>
        <w:ind w:left="0" w:leftChars="0"/>
        <w:jc w:val="both"/>
        <w:rPr>
          <w:rFonts w:hint="eastAsia" w:ascii="宋体" w:hAnsi="宋体" w:cs="宋体"/>
          <w:sz w:val="28"/>
          <w:szCs w:val="36"/>
        </w:rPr>
      </w:pPr>
    </w:p>
    <w:p>
      <w:pPr>
        <w:pStyle w:val="29"/>
        <w:spacing w:line="360" w:lineRule="auto"/>
        <w:ind w:left="0" w:leftChars="0"/>
        <w:jc w:val="both"/>
        <w:rPr>
          <w:rFonts w:ascii="宋体" w:hAnsi="宋体" w:cs="宋体"/>
          <w:sz w:val="22"/>
          <w:szCs w:val="28"/>
        </w:rPr>
      </w:pPr>
      <w:r>
        <w:rPr>
          <w:rFonts w:hint="eastAsia" w:ascii="宋体" w:hAnsi="宋体" w:cs="宋体"/>
          <w:sz w:val="28"/>
          <w:szCs w:val="36"/>
        </w:rPr>
        <w:t>本页无正文</w:t>
      </w:r>
    </w:p>
    <w:tbl>
      <w:tblPr>
        <w:tblStyle w:val="3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hint="eastAsia" w:ascii="宋体" w:hAnsi="宋体" w:eastAsia="宋体" w:cs="宋体"/>
                <w:sz w:val="24"/>
                <w:lang w:eastAsia="zh-CN"/>
              </w:rPr>
            </w:pPr>
            <w:r>
              <w:rPr>
                <w:rFonts w:hint="eastAsia" w:ascii="宋体" w:hAnsi="宋体" w:cs="宋体"/>
                <w:sz w:val="24"/>
              </w:rPr>
              <w:t>甲方（公章）：</w:t>
            </w:r>
          </w:p>
          <w:p>
            <w:pPr>
              <w:spacing w:line="360" w:lineRule="auto"/>
              <w:rPr>
                <w:rFonts w:hint="default" w:ascii="宋体" w:hAnsi="宋体" w:eastAsia="宋体" w:cs="宋体"/>
                <w:sz w:val="24"/>
                <w:lang w:val="en-US" w:eastAsia="zh-CN"/>
              </w:rPr>
            </w:pPr>
            <w:r>
              <w:rPr>
                <w:rFonts w:hint="eastAsia" w:ascii="宋体" w:hAnsi="宋体" w:cs="宋体"/>
                <w:sz w:val="24"/>
              </w:rPr>
              <w:t>地址：</w:t>
            </w:r>
            <w:r>
              <w:rPr>
                <w:rFonts w:hint="eastAsia" w:ascii="宋体" w:hAnsi="宋体" w:cs="宋体"/>
                <w:sz w:val="24"/>
                <w:lang w:eastAsia="zh-CN"/>
              </w:rPr>
              <w:t>兰州市城关区和政西街</w:t>
            </w:r>
            <w:r>
              <w:rPr>
                <w:rFonts w:hint="eastAsia" w:ascii="宋体" w:hAnsi="宋体" w:cs="宋体"/>
                <w:sz w:val="24"/>
                <w:lang w:val="en-US" w:eastAsia="zh-CN"/>
              </w:rPr>
              <w:t>1号</w:t>
            </w:r>
          </w:p>
          <w:p>
            <w:pPr>
              <w:spacing w:line="360" w:lineRule="auto"/>
              <w:rPr>
                <w:rFonts w:hint="default" w:ascii="宋体" w:hAnsi="宋体" w:eastAsia="宋体" w:cs="宋体"/>
                <w:sz w:val="24"/>
                <w:lang w:val="en-US" w:eastAsia="zh-CN"/>
              </w:rPr>
            </w:pPr>
            <w:r>
              <w:rPr>
                <w:rFonts w:hint="eastAsia" w:ascii="宋体" w:hAnsi="宋体" w:cs="宋体"/>
                <w:sz w:val="24"/>
              </w:rPr>
              <w:t>电话:</w:t>
            </w:r>
            <w:r>
              <w:rPr>
                <w:rFonts w:hint="eastAsia" w:ascii="宋体" w:hAnsi="宋体" w:cs="宋体"/>
                <w:sz w:val="24"/>
                <w:lang w:val="en-US" w:eastAsia="zh-CN"/>
              </w:rPr>
              <w:t>0931-4923487</w:t>
            </w:r>
          </w:p>
          <w:p>
            <w:pPr>
              <w:spacing w:line="360" w:lineRule="auto"/>
              <w:rPr>
                <w:rFonts w:hint="default" w:ascii="宋体" w:hAnsi="宋体" w:eastAsia="宋体" w:cs="宋体"/>
                <w:sz w:val="24"/>
                <w:lang w:val="en-US" w:eastAsia="zh-CN"/>
              </w:rPr>
            </w:pPr>
            <w:r>
              <w:rPr>
                <w:rFonts w:hint="eastAsia" w:ascii="宋体" w:hAnsi="宋体" w:cs="宋体"/>
                <w:sz w:val="24"/>
              </w:rPr>
              <w:t>邮编:</w:t>
            </w:r>
            <w:r>
              <w:rPr>
                <w:rFonts w:hint="eastAsia" w:ascii="宋体" w:hAnsi="宋体" w:cs="宋体"/>
                <w:sz w:val="24"/>
                <w:lang w:val="en-US" w:eastAsia="zh-CN"/>
              </w:rPr>
              <w:t>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lang w:eastAsia="zh-CN"/>
              </w:rPr>
              <w:t>甲方法定代表人</w:t>
            </w:r>
            <w:r>
              <w:rPr>
                <w:rFonts w:hint="eastAsia" w:ascii="宋体" w:hAnsi="宋体" w:cs="宋体"/>
                <w:sz w:val="24"/>
              </w:rPr>
              <w:t>：</w:t>
            </w:r>
          </w:p>
          <w:p>
            <w:pPr>
              <w:spacing w:line="72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lang w:eastAsia="zh-CN"/>
              </w:rPr>
              <w:t>乙方法定代表人</w:t>
            </w:r>
            <w:r>
              <w:rPr>
                <w:rFonts w:hint="eastAsia" w:ascii="宋体" w:hAnsi="宋体" w:cs="宋体"/>
                <w:sz w:val="24"/>
              </w:rPr>
              <w:t>：</w:t>
            </w:r>
          </w:p>
          <w:p>
            <w:pPr>
              <w:spacing w:line="72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lang w:eastAsia="zh-CN"/>
              </w:rPr>
              <w:t>委托授权人</w:t>
            </w:r>
            <w:r>
              <w:rPr>
                <w:rFonts w:hint="eastAsia" w:ascii="宋体" w:hAnsi="宋体" w:cs="宋体"/>
                <w:sz w:val="24"/>
              </w:rPr>
              <w:t>:</w:t>
            </w:r>
          </w:p>
          <w:p>
            <w:pPr>
              <w:spacing w:line="60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lang w:eastAsia="zh-CN"/>
              </w:rPr>
              <w:t>委托授权人</w:t>
            </w:r>
            <w:r>
              <w:rPr>
                <w:rFonts w:hint="eastAsia" w:ascii="宋体" w:hAnsi="宋体" w:cs="宋体"/>
                <w:sz w:val="24"/>
              </w:rPr>
              <w:t>:</w:t>
            </w:r>
          </w:p>
          <w:p>
            <w:pPr>
              <w:spacing w:line="60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hint="eastAsia" w:ascii="宋体" w:hAnsi="宋体" w:eastAsia="宋体" w:cs="宋体"/>
                <w:sz w:val="24"/>
                <w:lang w:eastAsia="zh-CN"/>
              </w:rPr>
            </w:pPr>
            <w:r>
              <w:rPr>
                <w:rFonts w:hint="eastAsia" w:ascii="宋体" w:hAnsi="宋体" w:cs="宋体"/>
                <w:sz w:val="24"/>
              </w:rPr>
              <w:t>开户行：</w:t>
            </w:r>
          </w:p>
          <w:p>
            <w:pPr>
              <w:spacing w:line="600" w:lineRule="auto"/>
              <w:rPr>
                <w:rFonts w:hint="eastAsia"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hint="eastAsia" w:ascii="宋体" w:hAnsi="宋体" w:eastAsia="宋体" w:cs="宋体"/>
                <w:sz w:val="24"/>
                <w:lang w:eastAsia="zh-CN"/>
              </w:rPr>
            </w:pPr>
            <w:r>
              <w:rPr>
                <w:rFonts w:hint="eastAsia" w:ascii="宋体" w:hAnsi="宋体" w:cs="宋体"/>
                <w:sz w:val="24"/>
              </w:rPr>
              <w:t>开户行：</w:t>
            </w:r>
          </w:p>
          <w:p>
            <w:pPr>
              <w:spacing w:line="600" w:lineRule="auto"/>
              <w:rPr>
                <w:rFonts w:hint="eastAsia" w:ascii="宋体" w:hAnsi="宋体" w:cs="宋体"/>
                <w:sz w:val="24"/>
              </w:rPr>
            </w:pPr>
            <w:r>
              <w:rPr>
                <w:rFonts w:hint="eastAsia" w:ascii="宋体" w:hAnsi="宋体" w:cs="宋体"/>
                <w:sz w:val="24"/>
              </w:rPr>
              <w:t>账号：</w:t>
            </w:r>
          </w:p>
        </w:tc>
      </w:tr>
    </w:tbl>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352554"/>
    <w:multiLevelType w:val="singleLevel"/>
    <w:tmpl w:val="A2352554"/>
    <w:lvl w:ilvl="0" w:tentative="0">
      <w:start w:val="2"/>
      <w:numFmt w:val="decimal"/>
      <w:suff w:val="nothing"/>
      <w:lvlText w:val="%1）"/>
      <w:lvlJc w:val="left"/>
    </w:lvl>
  </w:abstractNum>
  <w:abstractNum w:abstractNumId="1">
    <w:nsid w:val="A36EE3D6"/>
    <w:multiLevelType w:val="singleLevel"/>
    <w:tmpl w:val="A36EE3D6"/>
    <w:lvl w:ilvl="0" w:tentative="0">
      <w:start w:val="1"/>
      <w:numFmt w:val="decimal"/>
      <w:suff w:val="nothing"/>
      <w:lvlText w:val="（%1）"/>
      <w:lvlJc w:val="left"/>
    </w:lvl>
  </w:abstractNum>
  <w:abstractNum w:abstractNumId="2">
    <w:nsid w:val="F22FAF16"/>
    <w:multiLevelType w:val="singleLevel"/>
    <w:tmpl w:val="F22FAF16"/>
    <w:lvl w:ilvl="0" w:tentative="0">
      <w:start w:val="1"/>
      <w:numFmt w:val="decimal"/>
      <w:suff w:val="nothing"/>
      <w:lvlText w:val="%1，"/>
      <w:lvlJc w:val="left"/>
    </w:lvl>
  </w:abstractNum>
  <w:abstractNum w:abstractNumId="3">
    <w:nsid w:val="F2D61057"/>
    <w:multiLevelType w:val="singleLevel"/>
    <w:tmpl w:val="F2D61057"/>
    <w:lvl w:ilvl="0" w:tentative="0">
      <w:start w:val="1"/>
      <w:numFmt w:val="decimal"/>
      <w:suff w:val="nothing"/>
      <w:lvlText w:val="%1，"/>
      <w:lvlJc w:val="left"/>
    </w:lvl>
  </w:abstractNum>
  <w:abstractNum w:abstractNumId="4">
    <w:nsid w:val="F4047D1B"/>
    <w:multiLevelType w:val="singleLevel"/>
    <w:tmpl w:val="F4047D1B"/>
    <w:lvl w:ilvl="0" w:tentative="0">
      <w:start w:val="1"/>
      <w:numFmt w:val="decimal"/>
      <w:suff w:val="nothing"/>
      <w:lvlText w:val="%1，"/>
      <w:lvlJc w:val="left"/>
    </w:lvl>
  </w:abstractNum>
  <w:abstractNum w:abstractNumId="5">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0E609D78"/>
    <w:multiLevelType w:val="singleLevel"/>
    <w:tmpl w:val="0E609D78"/>
    <w:lvl w:ilvl="0" w:tentative="0">
      <w:start w:val="1"/>
      <w:numFmt w:val="decimal"/>
      <w:suff w:val="nothing"/>
      <w:lvlText w:val="%1，"/>
      <w:lvlJc w:val="left"/>
    </w:lvl>
  </w:abstractNum>
  <w:abstractNum w:abstractNumId="7">
    <w:nsid w:val="18F5CFFC"/>
    <w:multiLevelType w:val="singleLevel"/>
    <w:tmpl w:val="18F5CFFC"/>
    <w:lvl w:ilvl="0" w:tentative="0">
      <w:start w:val="2"/>
      <w:numFmt w:val="chineseCounting"/>
      <w:suff w:val="nothing"/>
      <w:lvlText w:val="%1，"/>
      <w:lvlJc w:val="left"/>
      <w:rPr>
        <w:rFonts w:hint="eastAsia"/>
      </w:rPr>
    </w:lvl>
  </w:abstractNum>
  <w:abstractNum w:abstractNumId="8">
    <w:nsid w:val="3D63E875"/>
    <w:multiLevelType w:val="singleLevel"/>
    <w:tmpl w:val="3D63E875"/>
    <w:lvl w:ilvl="0" w:tentative="0">
      <w:start w:val="1"/>
      <w:numFmt w:val="decimal"/>
      <w:suff w:val="nothing"/>
      <w:lvlText w:val="%1，"/>
      <w:lvlJc w:val="left"/>
    </w:lvl>
  </w:abstractNum>
  <w:abstractNum w:abstractNumId="9">
    <w:nsid w:val="4FA3994B"/>
    <w:multiLevelType w:val="singleLevel"/>
    <w:tmpl w:val="4FA3994B"/>
    <w:lvl w:ilvl="0" w:tentative="0">
      <w:start w:val="1"/>
      <w:numFmt w:val="decimal"/>
      <w:suff w:val="nothing"/>
      <w:lvlText w:val="%1，"/>
      <w:lvlJc w:val="left"/>
    </w:lvl>
  </w:abstractNum>
  <w:abstractNum w:abstractNumId="10">
    <w:nsid w:val="58EEE2A9"/>
    <w:multiLevelType w:val="singleLevel"/>
    <w:tmpl w:val="58EEE2A9"/>
    <w:lvl w:ilvl="0" w:tentative="0">
      <w:start w:val="1"/>
      <w:numFmt w:val="decimal"/>
      <w:suff w:val="space"/>
      <w:lvlText w:val="%1)"/>
      <w:lvlJc w:val="left"/>
    </w:lvl>
  </w:abstractNum>
  <w:abstractNum w:abstractNumId="11">
    <w:nsid w:val="5983EC99"/>
    <w:multiLevelType w:val="singleLevel"/>
    <w:tmpl w:val="5983EC99"/>
    <w:lvl w:ilvl="0" w:tentative="0">
      <w:start w:val="3"/>
      <w:numFmt w:val="chineseCounting"/>
      <w:suff w:val="space"/>
      <w:lvlText w:val="第%1章"/>
      <w:lvlJc w:val="left"/>
    </w:lvl>
  </w:abstractNum>
  <w:abstractNum w:abstractNumId="12">
    <w:nsid w:val="59DF3391"/>
    <w:multiLevelType w:val="singleLevel"/>
    <w:tmpl w:val="59DF3391"/>
    <w:lvl w:ilvl="0" w:tentative="0">
      <w:start w:val="7"/>
      <w:numFmt w:val="decimal"/>
      <w:suff w:val="space"/>
      <w:lvlText w:val="%1."/>
      <w:lvlJc w:val="left"/>
    </w:lvl>
  </w:abstractNum>
  <w:abstractNum w:abstractNumId="13">
    <w:nsid w:val="59E00BC4"/>
    <w:multiLevelType w:val="singleLevel"/>
    <w:tmpl w:val="59E00BC4"/>
    <w:lvl w:ilvl="0" w:tentative="0">
      <w:start w:val="2"/>
      <w:numFmt w:val="chineseCounting"/>
      <w:suff w:val="nothing"/>
      <w:lvlText w:val="%1、"/>
      <w:lvlJc w:val="left"/>
    </w:lvl>
  </w:abstractNum>
  <w:abstractNum w:abstractNumId="14">
    <w:nsid w:val="711304B6"/>
    <w:multiLevelType w:val="singleLevel"/>
    <w:tmpl w:val="711304B6"/>
    <w:lvl w:ilvl="0" w:tentative="0">
      <w:start w:val="3"/>
      <w:numFmt w:val="decimal"/>
      <w:lvlText w:val="%1."/>
      <w:lvlJc w:val="left"/>
      <w:pPr>
        <w:tabs>
          <w:tab w:val="left" w:pos="312"/>
        </w:tabs>
      </w:pPr>
    </w:lvl>
  </w:abstractNum>
  <w:abstractNum w:abstractNumId="15">
    <w:nsid w:val="7DB1AA8B"/>
    <w:multiLevelType w:val="singleLevel"/>
    <w:tmpl w:val="7DB1AA8B"/>
    <w:lvl w:ilvl="0" w:tentative="0">
      <w:start w:val="3"/>
      <w:numFmt w:val="decimal"/>
      <w:suff w:val="nothing"/>
      <w:lvlText w:val="%1）"/>
      <w:lvlJc w:val="left"/>
    </w:lvl>
  </w:abstractNum>
  <w:num w:numId="1">
    <w:abstractNumId w:val="0"/>
  </w:num>
  <w:num w:numId="2">
    <w:abstractNumId w:val="5"/>
  </w:num>
  <w:num w:numId="3">
    <w:abstractNumId w:val="10"/>
  </w:num>
  <w:num w:numId="4">
    <w:abstractNumId w:val="15"/>
  </w:num>
  <w:num w:numId="5">
    <w:abstractNumId w:val="12"/>
  </w:num>
  <w:num w:numId="6">
    <w:abstractNumId w:val="1"/>
  </w:num>
  <w:num w:numId="7">
    <w:abstractNumId w:val="11"/>
  </w:num>
  <w:num w:numId="8">
    <w:abstractNumId w:val="8"/>
  </w:num>
  <w:num w:numId="9">
    <w:abstractNumId w:val="3"/>
  </w:num>
  <w:num w:numId="10">
    <w:abstractNumId w:val="9"/>
  </w:num>
  <w:num w:numId="11">
    <w:abstractNumId w:val="6"/>
  </w:num>
  <w:num w:numId="12">
    <w:abstractNumId w:val="7"/>
  </w:num>
  <w:num w:numId="13">
    <w:abstractNumId w:val="2"/>
  </w:num>
  <w:num w:numId="14">
    <w:abstractNumId w:val="4"/>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8E5DD2"/>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717C3"/>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35F93"/>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4937FC"/>
    <w:rsid w:val="08556BD2"/>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E0E68"/>
    <w:rsid w:val="08EF1882"/>
    <w:rsid w:val="08EF32AA"/>
    <w:rsid w:val="08FD6050"/>
    <w:rsid w:val="09056A19"/>
    <w:rsid w:val="09066D87"/>
    <w:rsid w:val="090D67A4"/>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657B3"/>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638E5"/>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52272"/>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8744B"/>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3A1857"/>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8F2E90"/>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0F082A"/>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A4531"/>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030779"/>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54C8B"/>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5700F"/>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DD2B8F"/>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052FAD"/>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23244"/>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501ED"/>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859E7"/>
    <w:rsid w:val="2A997220"/>
    <w:rsid w:val="2AA07070"/>
    <w:rsid w:val="2AA3228C"/>
    <w:rsid w:val="2AA62AF5"/>
    <w:rsid w:val="2AAD0B4D"/>
    <w:rsid w:val="2AB25EC7"/>
    <w:rsid w:val="2AB55453"/>
    <w:rsid w:val="2AB8475F"/>
    <w:rsid w:val="2AB95B4B"/>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3116"/>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1131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E2F9D"/>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4168D"/>
    <w:rsid w:val="318B7925"/>
    <w:rsid w:val="318E5740"/>
    <w:rsid w:val="31940711"/>
    <w:rsid w:val="31950279"/>
    <w:rsid w:val="31967E81"/>
    <w:rsid w:val="31973D54"/>
    <w:rsid w:val="31986E19"/>
    <w:rsid w:val="319A6452"/>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2D113C"/>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66A8C"/>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279F3"/>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5F50C6"/>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4C022C"/>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DE45FD"/>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36F8F"/>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1331"/>
    <w:rsid w:val="467F6C27"/>
    <w:rsid w:val="46831E68"/>
    <w:rsid w:val="468B1DC9"/>
    <w:rsid w:val="469274F3"/>
    <w:rsid w:val="46927504"/>
    <w:rsid w:val="469E4F41"/>
    <w:rsid w:val="46A0058F"/>
    <w:rsid w:val="46A56DC0"/>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0909"/>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77FE3"/>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9F4703"/>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2845"/>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0B1D4F"/>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367D"/>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0246C"/>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45B6F"/>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810A4"/>
    <w:rsid w:val="60DA271E"/>
    <w:rsid w:val="60DB6EEF"/>
    <w:rsid w:val="60DB766B"/>
    <w:rsid w:val="60E679AA"/>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42CDB"/>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45AA2"/>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D04BE"/>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66BF1"/>
    <w:rsid w:val="67BB4606"/>
    <w:rsid w:val="67BE0124"/>
    <w:rsid w:val="67C10364"/>
    <w:rsid w:val="67C344DC"/>
    <w:rsid w:val="67C51F57"/>
    <w:rsid w:val="67C87FAF"/>
    <w:rsid w:val="67C926CA"/>
    <w:rsid w:val="67CC5732"/>
    <w:rsid w:val="67CD6E09"/>
    <w:rsid w:val="67CF7D96"/>
    <w:rsid w:val="67E74106"/>
    <w:rsid w:val="67E9564C"/>
    <w:rsid w:val="67EB3877"/>
    <w:rsid w:val="67EC55C6"/>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16EBF"/>
    <w:rsid w:val="68667FEA"/>
    <w:rsid w:val="686E2BE5"/>
    <w:rsid w:val="68703F96"/>
    <w:rsid w:val="687243E7"/>
    <w:rsid w:val="687651B1"/>
    <w:rsid w:val="68781158"/>
    <w:rsid w:val="68795D67"/>
    <w:rsid w:val="687C736B"/>
    <w:rsid w:val="68802102"/>
    <w:rsid w:val="688736DE"/>
    <w:rsid w:val="68887624"/>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ED154E"/>
    <w:rsid w:val="69F4096E"/>
    <w:rsid w:val="69F87D57"/>
    <w:rsid w:val="6A0800EF"/>
    <w:rsid w:val="6A0C2F9C"/>
    <w:rsid w:val="6A132858"/>
    <w:rsid w:val="6A194EA0"/>
    <w:rsid w:val="6A215C4D"/>
    <w:rsid w:val="6A260FFA"/>
    <w:rsid w:val="6A262A50"/>
    <w:rsid w:val="6A2D2907"/>
    <w:rsid w:val="6A312AD4"/>
    <w:rsid w:val="6A34322D"/>
    <w:rsid w:val="6A350201"/>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9F128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464A7"/>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1528D"/>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6F66C4"/>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3FF3CCA"/>
    <w:rsid w:val="74022EED"/>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4A8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CF5A03"/>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9469B"/>
    <w:rsid w:val="766B11C6"/>
    <w:rsid w:val="766D627F"/>
    <w:rsid w:val="76775905"/>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B4C00"/>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85CA0"/>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6C55C4"/>
    <w:rsid w:val="7D70231F"/>
    <w:rsid w:val="7D736905"/>
    <w:rsid w:val="7D741F16"/>
    <w:rsid w:val="7D747288"/>
    <w:rsid w:val="7D797A50"/>
    <w:rsid w:val="7D7B0DB7"/>
    <w:rsid w:val="7D8F6AFF"/>
    <w:rsid w:val="7D9517AB"/>
    <w:rsid w:val="7D9C3EF1"/>
    <w:rsid w:val="7D9D489A"/>
    <w:rsid w:val="7DA04785"/>
    <w:rsid w:val="7DA500A7"/>
    <w:rsid w:val="7DA9635F"/>
    <w:rsid w:val="7DBD2F6E"/>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87AEA"/>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qFormat="1" w:unhideWhenUsed="0" w:uiPriority="99" w:semiHidden="0"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49"/>
    <w:qFormat/>
    <w:uiPriority w:val="99"/>
    <w:pPr>
      <w:spacing w:line="360" w:lineRule="auto"/>
      <w:jc w:val="center"/>
      <w:outlineLvl w:val="0"/>
    </w:pPr>
    <w:rPr>
      <w:b/>
      <w:bCs/>
      <w:kern w:val="44"/>
      <w:sz w:val="44"/>
      <w:szCs w:val="44"/>
    </w:rPr>
  </w:style>
  <w:style w:type="paragraph" w:styleId="5">
    <w:name w:val="heading 2"/>
    <w:basedOn w:val="1"/>
    <w:next w:val="6"/>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7">
    <w:name w:val="heading 3"/>
    <w:basedOn w:val="1"/>
    <w:next w:val="1"/>
    <w:link w:val="51"/>
    <w:qFormat/>
    <w:uiPriority w:val="99"/>
    <w:pPr>
      <w:spacing w:line="360" w:lineRule="auto"/>
      <w:ind w:firstLine="482" w:firstLineChars="200"/>
      <w:outlineLvl w:val="2"/>
    </w:pPr>
    <w:rPr>
      <w:b/>
      <w:bCs/>
      <w:kern w:val="0"/>
      <w:sz w:val="32"/>
      <w:szCs w:val="32"/>
    </w:rPr>
  </w:style>
  <w:style w:type="paragraph" w:styleId="8">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9">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10">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1">
    <w:name w:val="heading 7"/>
    <w:basedOn w:val="1"/>
    <w:next w:val="1"/>
    <w:link w:val="55"/>
    <w:qFormat/>
    <w:uiPriority w:val="99"/>
    <w:pPr>
      <w:keepNext/>
      <w:keepLines/>
      <w:spacing w:before="240" w:after="64" w:line="320" w:lineRule="auto"/>
      <w:outlineLvl w:val="6"/>
    </w:pPr>
    <w:rPr>
      <w:b/>
      <w:bCs/>
      <w:kern w:val="0"/>
      <w:sz w:val="24"/>
    </w:rPr>
  </w:style>
  <w:style w:type="paragraph" w:styleId="12">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3">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locked/>
    <w:uiPriority w:val="99"/>
    <w:pPr>
      <w:tabs>
        <w:tab w:val="left" w:pos="720"/>
        <w:tab w:val="left" w:pos="9240"/>
      </w:tabs>
      <w:spacing w:after="120"/>
      <w:ind w:left="420" w:leftChars="200" w:firstLine="420"/>
    </w:pPr>
  </w:style>
  <w:style w:type="paragraph" w:styleId="3">
    <w:name w:val="Body Text Indent"/>
    <w:basedOn w:val="1"/>
    <w:link w:val="61"/>
    <w:qFormat/>
    <w:uiPriority w:val="99"/>
    <w:pPr>
      <w:spacing w:line="460" w:lineRule="exact"/>
      <w:ind w:firstLine="570"/>
    </w:pPr>
    <w:rPr>
      <w:kern w:val="0"/>
      <w:sz w:val="24"/>
    </w:rPr>
  </w:style>
  <w:style w:type="paragraph" w:styleId="6">
    <w:name w:val="Normal Indent"/>
    <w:basedOn w:val="1"/>
    <w:qFormat/>
    <w:uiPriority w:val="99"/>
    <w:pPr>
      <w:spacing w:after="120" w:line="360" w:lineRule="auto"/>
      <w:ind w:firstLine="420"/>
    </w:pPr>
    <w:rPr>
      <w:sz w:val="24"/>
      <w:szCs w:val="20"/>
    </w:rPr>
  </w:style>
  <w:style w:type="paragraph" w:styleId="14">
    <w:name w:val="Note Heading"/>
    <w:basedOn w:val="1"/>
    <w:next w:val="1"/>
    <w:link w:val="58"/>
    <w:qFormat/>
    <w:uiPriority w:val="99"/>
    <w:pPr>
      <w:jc w:val="center"/>
    </w:pPr>
    <w:rPr>
      <w:kern w:val="0"/>
      <w:sz w:val="24"/>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Document Map"/>
    <w:basedOn w:val="1"/>
    <w:link w:val="59"/>
    <w:semiHidden/>
    <w:qFormat/>
    <w:locked/>
    <w:uiPriority w:val="99"/>
    <w:rPr>
      <w:rFonts w:ascii="宋体"/>
      <w:sz w:val="18"/>
      <w:szCs w:val="18"/>
    </w:rPr>
  </w:style>
  <w:style w:type="paragraph" w:styleId="17">
    <w:name w:val="annotation text"/>
    <w:basedOn w:val="1"/>
    <w:unhideWhenUsed/>
    <w:qFormat/>
    <w:locked/>
    <w:uiPriority w:val="99"/>
    <w:pPr>
      <w:jc w:val="left"/>
    </w:pPr>
  </w:style>
  <w:style w:type="paragraph" w:styleId="18">
    <w:name w:val="Body Text"/>
    <w:basedOn w:val="1"/>
    <w:link w:val="60"/>
    <w:qFormat/>
    <w:uiPriority w:val="99"/>
    <w:pPr>
      <w:snapToGrid w:val="0"/>
      <w:spacing w:line="300" w:lineRule="auto"/>
    </w:pPr>
    <w:rPr>
      <w:kern w:val="0"/>
      <w:sz w:val="24"/>
    </w:rPr>
  </w:style>
  <w:style w:type="paragraph" w:styleId="19">
    <w:name w:val="toc 3"/>
    <w:basedOn w:val="1"/>
    <w:next w:val="1"/>
    <w:qFormat/>
    <w:uiPriority w:val="99"/>
    <w:pPr>
      <w:ind w:left="840" w:leftChars="400"/>
    </w:pPr>
  </w:style>
  <w:style w:type="paragraph" w:styleId="20">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3"/>
    <w:qFormat/>
    <w:uiPriority w:val="99"/>
    <w:pPr>
      <w:ind w:left="100" w:leftChars="2500"/>
    </w:pPr>
    <w:rPr>
      <w:kern w:val="0"/>
      <w:sz w:val="24"/>
    </w:rPr>
  </w:style>
  <w:style w:type="paragraph" w:styleId="22">
    <w:name w:val="Body Text Indent 2"/>
    <w:basedOn w:val="1"/>
    <w:link w:val="64"/>
    <w:qFormat/>
    <w:uiPriority w:val="99"/>
    <w:pPr>
      <w:spacing w:line="460" w:lineRule="exact"/>
      <w:ind w:firstLine="570"/>
    </w:pPr>
    <w:rPr>
      <w:kern w:val="0"/>
      <w:sz w:val="24"/>
    </w:rPr>
  </w:style>
  <w:style w:type="paragraph" w:styleId="23">
    <w:name w:val="Balloon Text"/>
    <w:basedOn w:val="1"/>
    <w:link w:val="65"/>
    <w:qFormat/>
    <w:uiPriority w:val="99"/>
    <w:rPr>
      <w:kern w:val="0"/>
      <w:sz w:val="16"/>
      <w:szCs w:val="16"/>
    </w:rPr>
  </w:style>
  <w:style w:type="paragraph" w:styleId="24">
    <w:name w:val="footer"/>
    <w:basedOn w:val="1"/>
    <w:link w:val="66"/>
    <w:qFormat/>
    <w:uiPriority w:val="99"/>
    <w:pPr>
      <w:tabs>
        <w:tab w:val="center" w:pos="4153"/>
        <w:tab w:val="right" w:pos="8306"/>
      </w:tabs>
      <w:snapToGrid w:val="0"/>
      <w:jc w:val="left"/>
    </w:pPr>
    <w:rPr>
      <w:kern w:val="0"/>
      <w:sz w:val="18"/>
      <w:szCs w:val="18"/>
    </w:rPr>
  </w:style>
  <w:style w:type="paragraph" w:styleId="25">
    <w:name w:val="header"/>
    <w:basedOn w:val="1"/>
    <w:link w:val="67"/>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8"/>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2">
    <w:name w:val="index 1"/>
    <w:basedOn w:val="1"/>
    <w:next w:val="1"/>
    <w:qFormat/>
    <w:uiPriority w:val="99"/>
  </w:style>
  <w:style w:type="paragraph" w:styleId="33">
    <w:name w:val="index 2"/>
    <w:basedOn w:val="1"/>
    <w:next w:val="1"/>
    <w:qFormat/>
    <w:uiPriority w:val="99"/>
    <w:pPr>
      <w:ind w:left="200" w:leftChars="200"/>
    </w:pPr>
  </w:style>
  <w:style w:type="paragraph" w:styleId="34">
    <w:name w:val="Title"/>
    <w:basedOn w:val="1"/>
    <w:next w:val="1"/>
    <w:link w:val="69"/>
    <w:qFormat/>
    <w:uiPriority w:val="99"/>
    <w:pPr>
      <w:spacing w:before="240" w:after="60"/>
      <w:jc w:val="center"/>
      <w:outlineLvl w:val="0"/>
    </w:pPr>
    <w:rPr>
      <w:rFonts w:ascii="Cambria" w:hAnsi="Cambria"/>
      <w:b/>
      <w:bCs/>
      <w:sz w:val="32"/>
      <w:szCs w:val="32"/>
    </w:rPr>
  </w:style>
  <w:style w:type="paragraph" w:styleId="35">
    <w:name w:val="Body Text First Indent"/>
    <w:basedOn w:val="18"/>
    <w:qFormat/>
    <w:locked/>
    <w:uiPriority w:val="0"/>
    <w:pPr>
      <w:autoSpaceDE w:val="0"/>
      <w:autoSpaceDN w:val="0"/>
      <w:adjustRightInd w:val="0"/>
      <w:ind w:firstLine="420"/>
      <w:jc w:val="left"/>
    </w:pPr>
    <w:rPr>
      <w:rFonts w:ascii="宋体"/>
      <w:kern w:val="0"/>
      <w:sz w:val="20"/>
      <w:szCs w:val="20"/>
    </w:rPr>
  </w:style>
  <w:style w:type="table" w:styleId="37">
    <w:name w:val="Table Grid"/>
    <w:basedOn w:val="36"/>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qFormat/>
    <w:uiPriority w:val="99"/>
    <w:rPr>
      <w:rFonts w:cs="Times New Roman"/>
      <w:b/>
      <w:bCs/>
    </w:rPr>
  </w:style>
  <w:style w:type="character" w:styleId="40">
    <w:name w:val="page number"/>
    <w:qFormat/>
    <w:uiPriority w:val="99"/>
    <w:rPr>
      <w:rFonts w:cs="Times New Roman"/>
    </w:rPr>
  </w:style>
  <w:style w:type="character" w:styleId="41">
    <w:name w:val="FollowedHyperlink"/>
    <w:qFormat/>
    <w:uiPriority w:val="99"/>
    <w:rPr>
      <w:rFonts w:cs="Times New Roman"/>
      <w:color w:val="800080"/>
      <w:u w:val="single"/>
    </w:rPr>
  </w:style>
  <w:style w:type="character" w:styleId="42">
    <w:name w:val="Emphasis"/>
    <w:basedOn w:val="38"/>
    <w:qFormat/>
    <w:locked/>
    <w:uiPriority w:val="20"/>
  </w:style>
  <w:style w:type="character" w:styleId="43">
    <w:name w:val="HTML Definition"/>
    <w:basedOn w:val="38"/>
    <w:unhideWhenUsed/>
    <w:qFormat/>
    <w:locked/>
    <w:uiPriority w:val="99"/>
  </w:style>
  <w:style w:type="character" w:styleId="44">
    <w:name w:val="HTML Acronym"/>
    <w:basedOn w:val="38"/>
    <w:unhideWhenUsed/>
    <w:qFormat/>
    <w:locked/>
    <w:uiPriority w:val="99"/>
  </w:style>
  <w:style w:type="character" w:styleId="45">
    <w:name w:val="HTML Variable"/>
    <w:basedOn w:val="38"/>
    <w:unhideWhenUsed/>
    <w:qFormat/>
    <w:locked/>
    <w:uiPriority w:val="99"/>
  </w:style>
  <w:style w:type="character" w:styleId="46">
    <w:name w:val="Hyperlink"/>
    <w:qFormat/>
    <w:uiPriority w:val="99"/>
    <w:rPr>
      <w:rFonts w:ascii="Times New Roman" w:cs="Times New Roman"/>
      <w:color w:val="0000FF"/>
      <w:u w:val="single"/>
    </w:rPr>
  </w:style>
  <w:style w:type="character" w:styleId="47">
    <w:name w:val="HTML Code"/>
    <w:unhideWhenUsed/>
    <w:qFormat/>
    <w:locked/>
    <w:uiPriority w:val="99"/>
    <w:rPr>
      <w:rFonts w:ascii="Courier New" w:hAnsi="Courier New"/>
      <w:sz w:val="20"/>
    </w:rPr>
  </w:style>
  <w:style w:type="character" w:styleId="48">
    <w:name w:val="HTML Cite"/>
    <w:basedOn w:val="38"/>
    <w:unhideWhenUsed/>
    <w:qFormat/>
    <w:locked/>
    <w:uiPriority w:val="99"/>
  </w:style>
  <w:style w:type="character" w:customStyle="1" w:styleId="49">
    <w:name w:val="标题 1 Char"/>
    <w:link w:val="4"/>
    <w:qFormat/>
    <w:locked/>
    <w:uiPriority w:val="99"/>
    <w:rPr>
      <w:rFonts w:cs="Times New Roman"/>
      <w:b/>
      <w:bCs/>
      <w:kern w:val="44"/>
      <w:sz w:val="44"/>
      <w:szCs w:val="44"/>
    </w:rPr>
  </w:style>
  <w:style w:type="character" w:customStyle="1" w:styleId="50">
    <w:name w:val="标题 2 Char"/>
    <w:link w:val="5"/>
    <w:semiHidden/>
    <w:qFormat/>
    <w:locked/>
    <w:uiPriority w:val="99"/>
    <w:rPr>
      <w:rFonts w:ascii="Cambria" w:hAnsi="Cambria" w:eastAsia="宋体" w:cs="黑体"/>
      <w:b/>
      <w:bCs/>
      <w:sz w:val="32"/>
      <w:szCs w:val="32"/>
    </w:rPr>
  </w:style>
  <w:style w:type="character" w:customStyle="1" w:styleId="51">
    <w:name w:val="标题 3 Char"/>
    <w:link w:val="7"/>
    <w:semiHidden/>
    <w:qFormat/>
    <w:locked/>
    <w:uiPriority w:val="99"/>
    <w:rPr>
      <w:rFonts w:cs="Times New Roman"/>
      <w:b/>
      <w:bCs/>
      <w:sz w:val="32"/>
      <w:szCs w:val="32"/>
    </w:rPr>
  </w:style>
  <w:style w:type="character" w:customStyle="1" w:styleId="52">
    <w:name w:val="标题 4 Char"/>
    <w:link w:val="8"/>
    <w:semiHidden/>
    <w:qFormat/>
    <w:locked/>
    <w:uiPriority w:val="99"/>
    <w:rPr>
      <w:rFonts w:ascii="Cambria" w:hAnsi="Cambria" w:eastAsia="宋体" w:cs="黑体"/>
      <w:b/>
      <w:bCs/>
      <w:sz w:val="28"/>
      <w:szCs w:val="28"/>
    </w:rPr>
  </w:style>
  <w:style w:type="character" w:customStyle="1" w:styleId="53">
    <w:name w:val="标题 5 Char"/>
    <w:link w:val="9"/>
    <w:semiHidden/>
    <w:qFormat/>
    <w:locked/>
    <w:uiPriority w:val="99"/>
    <w:rPr>
      <w:rFonts w:cs="Times New Roman"/>
      <w:b/>
      <w:bCs/>
      <w:sz w:val="28"/>
      <w:szCs w:val="28"/>
    </w:rPr>
  </w:style>
  <w:style w:type="character" w:customStyle="1" w:styleId="54">
    <w:name w:val="标题 6 Char"/>
    <w:link w:val="10"/>
    <w:semiHidden/>
    <w:qFormat/>
    <w:locked/>
    <w:uiPriority w:val="99"/>
    <w:rPr>
      <w:rFonts w:ascii="Cambria" w:hAnsi="Cambria" w:eastAsia="宋体" w:cs="黑体"/>
      <w:b/>
      <w:bCs/>
      <w:sz w:val="24"/>
      <w:szCs w:val="24"/>
    </w:rPr>
  </w:style>
  <w:style w:type="character" w:customStyle="1" w:styleId="55">
    <w:name w:val="标题 7 Char"/>
    <w:link w:val="11"/>
    <w:semiHidden/>
    <w:qFormat/>
    <w:locked/>
    <w:uiPriority w:val="99"/>
    <w:rPr>
      <w:rFonts w:cs="Times New Roman"/>
      <w:b/>
      <w:bCs/>
      <w:sz w:val="24"/>
      <w:szCs w:val="24"/>
    </w:rPr>
  </w:style>
  <w:style w:type="character" w:customStyle="1" w:styleId="56">
    <w:name w:val="标题 8 Char"/>
    <w:link w:val="12"/>
    <w:semiHidden/>
    <w:qFormat/>
    <w:locked/>
    <w:uiPriority w:val="99"/>
    <w:rPr>
      <w:rFonts w:ascii="Cambria" w:hAnsi="Cambria" w:eastAsia="宋体" w:cs="黑体"/>
      <w:sz w:val="24"/>
      <w:szCs w:val="24"/>
    </w:rPr>
  </w:style>
  <w:style w:type="character" w:customStyle="1" w:styleId="57">
    <w:name w:val="标题 9 Char"/>
    <w:link w:val="13"/>
    <w:semiHidden/>
    <w:qFormat/>
    <w:locked/>
    <w:uiPriority w:val="99"/>
    <w:rPr>
      <w:rFonts w:ascii="Cambria" w:hAnsi="Cambria" w:eastAsia="宋体" w:cs="黑体"/>
      <w:sz w:val="21"/>
      <w:szCs w:val="21"/>
    </w:rPr>
  </w:style>
  <w:style w:type="character" w:customStyle="1" w:styleId="58">
    <w:name w:val="注释标题 Char"/>
    <w:link w:val="14"/>
    <w:semiHidden/>
    <w:qFormat/>
    <w:locked/>
    <w:uiPriority w:val="99"/>
    <w:rPr>
      <w:rFonts w:cs="Times New Roman"/>
      <w:sz w:val="24"/>
      <w:szCs w:val="24"/>
    </w:rPr>
  </w:style>
  <w:style w:type="character" w:customStyle="1" w:styleId="59">
    <w:name w:val="文档结构图 Char"/>
    <w:link w:val="16"/>
    <w:semiHidden/>
    <w:qFormat/>
    <w:locked/>
    <w:uiPriority w:val="99"/>
    <w:rPr>
      <w:rFonts w:ascii="宋体" w:cs="Times New Roman"/>
      <w:kern w:val="2"/>
      <w:sz w:val="18"/>
      <w:szCs w:val="18"/>
    </w:rPr>
  </w:style>
  <w:style w:type="character" w:customStyle="1" w:styleId="60">
    <w:name w:val="正文文本 Char"/>
    <w:link w:val="18"/>
    <w:semiHidden/>
    <w:qFormat/>
    <w:locked/>
    <w:uiPriority w:val="99"/>
    <w:rPr>
      <w:rFonts w:cs="Times New Roman"/>
      <w:sz w:val="24"/>
      <w:szCs w:val="24"/>
    </w:rPr>
  </w:style>
  <w:style w:type="character" w:customStyle="1" w:styleId="61">
    <w:name w:val="正文文本缩进 Char"/>
    <w:link w:val="3"/>
    <w:semiHidden/>
    <w:qFormat/>
    <w:locked/>
    <w:uiPriority w:val="99"/>
    <w:rPr>
      <w:rFonts w:cs="Times New Roman"/>
      <w:sz w:val="24"/>
      <w:szCs w:val="24"/>
    </w:rPr>
  </w:style>
  <w:style w:type="character" w:customStyle="1" w:styleId="62">
    <w:name w:val="纯文本 Char"/>
    <w:link w:val="20"/>
    <w:semiHidden/>
    <w:qFormat/>
    <w:locked/>
    <w:uiPriority w:val="99"/>
    <w:rPr>
      <w:rFonts w:ascii="宋体" w:hAnsi="Courier New" w:cs="Courier New"/>
      <w:sz w:val="21"/>
      <w:szCs w:val="21"/>
    </w:rPr>
  </w:style>
  <w:style w:type="character" w:customStyle="1" w:styleId="63">
    <w:name w:val="日期 Char"/>
    <w:link w:val="21"/>
    <w:semiHidden/>
    <w:qFormat/>
    <w:locked/>
    <w:uiPriority w:val="99"/>
    <w:rPr>
      <w:rFonts w:cs="Times New Roman"/>
      <w:sz w:val="24"/>
      <w:szCs w:val="24"/>
    </w:rPr>
  </w:style>
  <w:style w:type="character" w:customStyle="1" w:styleId="64">
    <w:name w:val="正文文本缩进 2 Char"/>
    <w:link w:val="22"/>
    <w:semiHidden/>
    <w:qFormat/>
    <w:locked/>
    <w:uiPriority w:val="99"/>
    <w:rPr>
      <w:rFonts w:cs="Times New Roman"/>
      <w:sz w:val="24"/>
      <w:szCs w:val="24"/>
    </w:rPr>
  </w:style>
  <w:style w:type="character" w:customStyle="1" w:styleId="65">
    <w:name w:val="批注框文本 Char"/>
    <w:link w:val="23"/>
    <w:semiHidden/>
    <w:qFormat/>
    <w:locked/>
    <w:uiPriority w:val="99"/>
    <w:rPr>
      <w:rFonts w:cs="Times New Roman"/>
      <w:sz w:val="16"/>
      <w:szCs w:val="16"/>
    </w:rPr>
  </w:style>
  <w:style w:type="character" w:customStyle="1" w:styleId="66">
    <w:name w:val="页脚 Char"/>
    <w:link w:val="24"/>
    <w:semiHidden/>
    <w:qFormat/>
    <w:locked/>
    <w:uiPriority w:val="99"/>
    <w:rPr>
      <w:rFonts w:cs="Times New Roman"/>
      <w:sz w:val="18"/>
      <w:szCs w:val="18"/>
    </w:rPr>
  </w:style>
  <w:style w:type="character" w:customStyle="1" w:styleId="67">
    <w:name w:val="页眉 Char"/>
    <w:link w:val="25"/>
    <w:semiHidden/>
    <w:qFormat/>
    <w:locked/>
    <w:uiPriority w:val="99"/>
    <w:rPr>
      <w:rFonts w:cs="Times New Roman"/>
      <w:sz w:val="18"/>
      <w:szCs w:val="18"/>
    </w:rPr>
  </w:style>
  <w:style w:type="character" w:customStyle="1" w:styleId="68">
    <w:name w:val="正文文本缩进 3 Char"/>
    <w:link w:val="28"/>
    <w:semiHidden/>
    <w:qFormat/>
    <w:locked/>
    <w:uiPriority w:val="99"/>
    <w:rPr>
      <w:rFonts w:cs="Times New Roman"/>
      <w:sz w:val="16"/>
      <w:szCs w:val="16"/>
    </w:rPr>
  </w:style>
  <w:style w:type="character" w:customStyle="1" w:styleId="69">
    <w:name w:val="标题 Char"/>
    <w:link w:val="34"/>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18"/>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8"/>
    <w:qFormat/>
    <w:uiPriority w:val="0"/>
  </w:style>
  <w:style w:type="character" w:customStyle="1" w:styleId="197">
    <w:name w:val="l-btn-left2"/>
    <w:basedOn w:val="38"/>
    <w:qFormat/>
    <w:uiPriority w:val="0"/>
  </w:style>
  <w:style w:type="character" w:customStyle="1" w:styleId="198">
    <w:name w:val="l-btn-left3"/>
    <w:basedOn w:val="38"/>
    <w:qFormat/>
    <w:uiPriority w:val="0"/>
  </w:style>
  <w:style w:type="character" w:customStyle="1" w:styleId="199">
    <w:name w:val="l-btn-left4"/>
    <w:basedOn w:val="38"/>
    <w:qFormat/>
    <w:uiPriority w:val="0"/>
  </w:style>
  <w:style w:type="character" w:customStyle="1" w:styleId="200">
    <w:name w:val="l-btn-left5"/>
    <w:basedOn w:val="38"/>
    <w:qFormat/>
    <w:uiPriority w:val="0"/>
  </w:style>
  <w:style w:type="character" w:customStyle="1" w:styleId="201">
    <w:name w:val="l-btn-text"/>
    <w:basedOn w:val="38"/>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8"/>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8"/>
    <w:qFormat/>
    <w:uiPriority w:val="0"/>
  </w:style>
  <w:style w:type="character" w:customStyle="1" w:styleId="207">
    <w:name w:val="l-btn-left1"/>
    <w:basedOn w:val="38"/>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20"/>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8"/>
    <w:qFormat/>
    <w:uiPriority w:val="0"/>
  </w:style>
  <w:style w:type="character" w:customStyle="1" w:styleId="224">
    <w:name w:val="hover9"/>
    <w:basedOn w:val="38"/>
    <w:qFormat/>
    <w:uiPriority w:val="0"/>
    <w:rPr>
      <w:color w:val="FF0000"/>
    </w:rPr>
  </w:style>
  <w:style w:type="character" w:customStyle="1" w:styleId="225">
    <w:name w:val="orange"/>
    <w:basedOn w:val="38"/>
    <w:qFormat/>
    <w:uiPriority w:val="0"/>
    <w:rPr>
      <w:color w:val="FF851A"/>
    </w:rPr>
  </w:style>
  <w:style w:type="character" w:customStyle="1" w:styleId="226">
    <w:name w:val="tradclose"/>
    <w:basedOn w:val="38"/>
    <w:qFormat/>
    <w:uiPriority w:val="0"/>
    <w:rPr>
      <w:sz w:val="30"/>
      <w:szCs w:val="30"/>
    </w:rPr>
  </w:style>
  <w:style w:type="character" w:customStyle="1" w:styleId="227">
    <w:name w:val="hover7"/>
    <w:basedOn w:val="38"/>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35</TotalTime>
  <ScaleCrop>false</ScaleCrop>
  <LinksUpToDate>false</LinksUpToDate>
  <CharactersWithSpaces>36057</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2020-03-02T03:10:58Z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