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第二人民医院住院医师规范化培训基地临床技能模拟训练中心</w:t>
      </w:r>
      <w:r>
        <w:rPr>
          <w:rFonts w:hint="eastAsia" w:ascii="宋体" w:hAnsi="宋体" w:cs="宋体"/>
          <w:b/>
          <w:bCs w:val="0"/>
          <w:color w:val="000000" w:themeColor="text1"/>
          <w:kern w:val="0"/>
          <w:sz w:val="72"/>
          <w:szCs w:val="72"/>
          <w:lang w:val="en-US" w:eastAsia="zh-CN"/>
        </w:rPr>
        <w:t>装修改造工程设计公司采购</w:t>
      </w:r>
      <w:r>
        <w:rPr>
          <w:rFonts w:hint="eastAsia" w:ascii="宋体" w:hAnsi="宋体" w:cs="宋体"/>
          <w:b/>
          <w:bCs w:val="0"/>
          <w:color w:val="000000" w:themeColor="text1"/>
          <w:kern w:val="0"/>
          <w:sz w:val="72"/>
          <w:szCs w:val="72"/>
        </w:rPr>
        <w:t>项目</w:t>
      </w:r>
    </w:p>
    <w:p>
      <w:pPr>
        <w:spacing w:line="360" w:lineRule="auto"/>
        <w:rPr>
          <w:rFonts w:ascii="宋体" w:hAnsi="宋体" w:cs="宋体"/>
          <w:b/>
          <w:kern w:val="0"/>
          <w:sz w:val="52"/>
          <w:szCs w:val="52"/>
        </w:rPr>
      </w:pPr>
    </w:p>
    <w:p>
      <w:pPr>
        <w:pStyle w:val="2"/>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SEY-2020YNCG-028</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二0</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lang w:val="en-US" w:eastAsia="zh-CN"/>
        </w:rPr>
        <w:t>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28372051"/>
      <w:bookmarkStart w:id="4" w:name="_Toc139965325"/>
      <w:bookmarkStart w:id="5" w:name="_Toc327439434"/>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13"/>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val="en-US" w:eastAsia="zh-CN"/>
        </w:rPr>
        <w:t>竞争性谈判</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w:t>
      </w:r>
      <w:r>
        <w:rPr>
          <w:rFonts w:hint="eastAsia" w:ascii="宋体" w:hAnsi="宋体" w:cs="宋体"/>
          <w:b w:val="0"/>
          <w:bCs/>
          <w:kern w:val="0"/>
          <w:sz w:val="24"/>
          <w:szCs w:val="24"/>
          <w:lang w:eastAsia="zh-CN"/>
        </w:rPr>
        <w:t>住院医师规范化培训基地临床技能模拟训练中心</w:t>
      </w:r>
      <w:r>
        <w:rPr>
          <w:rFonts w:hint="eastAsia" w:ascii="宋体" w:hAnsi="宋体" w:cs="宋体"/>
          <w:b w:val="0"/>
          <w:bCs/>
          <w:color w:val="000000" w:themeColor="text1"/>
          <w:kern w:val="0"/>
          <w:sz w:val="24"/>
          <w:szCs w:val="24"/>
          <w:lang w:val="en-US" w:eastAsia="zh-CN"/>
        </w:rPr>
        <w:t>装修改造工程设计公司</w:t>
      </w:r>
      <w:r>
        <w:rPr>
          <w:rFonts w:hint="eastAsia" w:ascii="宋体" w:hAnsi="宋体" w:cs="宋体"/>
          <w:bCs/>
          <w:sz w:val="24"/>
          <w:lang w:val="en-US" w:eastAsia="zh-CN"/>
        </w:rPr>
        <w:t>采购</w:t>
      </w:r>
      <w:r>
        <w:rPr>
          <w:rFonts w:hint="eastAsia" w:ascii="宋体" w:hAnsi="宋体" w:cs="宋体"/>
          <w:bCs/>
          <w:sz w:val="24"/>
        </w:rPr>
        <w:t>项目</w:t>
      </w:r>
      <w:r>
        <w:rPr>
          <w:rFonts w:hint="eastAsia" w:ascii="宋体" w:hAnsi="宋体" w:cs="宋体"/>
          <w:sz w:val="24"/>
        </w:rPr>
        <w:t>以</w:t>
      </w:r>
      <w:r>
        <w:rPr>
          <w:rFonts w:hint="eastAsia" w:ascii="宋体" w:hAnsi="宋体" w:cs="宋体"/>
          <w:sz w:val="24"/>
          <w:lang w:eastAsia="zh-CN"/>
        </w:rPr>
        <w:t>竞争性谈判的</w:t>
      </w:r>
      <w:r>
        <w:rPr>
          <w:rFonts w:hint="eastAsia" w:ascii="宋体" w:hAnsi="宋体" w:cs="宋体"/>
          <w:sz w:val="24"/>
        </w:rPr>
        <w:t>形式进行采购，欢迎符合资格条件的投标人前来参加。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000000" w:themeColor="text1"/>
          <w:sz w:val="24"/>
          <w:lang w:eastAsia="zh-CN"/>
        </w:rPr>
        <w:t>SEY-2020YNCG-028</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sz w:val="24"/>
        </w:rPr>
      </w:pPr>
      <w:r>
        <w:rPr>
          <w:rFonts w:hint="eastAsia" w:ascii="宋体" w:hAnsi="宋体" w:cs="宋体"/>
          <w:b/>
          <w:bCs/>
          <w:sz w:val="24"/>
        </w:rPr>
        <w:t>2.招标内容：</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000000" w:themeColor="text1"/>
          <w:sz w:val="24"/>
          <w:szCs w:val="24"/>
          <w:highlight w:val="none"/>
          <w:lang w:eastAsia="zh-CN"/>
        </w:rPr>
      </w:pPr>
      <w:r>
        <w:rPr>
          <w:rFonts w:hint="eastAsia" w:hAnsi="宋体" w:cs="宋体"/>
          <w:b w:val="0"/>
          <w:bCs w:val="0"/>
          <w:sz w:val="24"/>
          <w:lang w:eastAsia="zh-CN"/>
        </w:rPr>
        <w:t>第一包</w:t>
      </w:r>
      <w:r>
        <w:rPr>
          <w:rFonts w:hint="eastAsia" w:hAnsi="宋体" w:cs="宋体"/>
          <w:b w:val="0"/>
          <w:bCs w:val="0"/>
          <w:sz w:val="24"/>
          <w:highlight w:val="none"/>
          <w:lang w:eastAsia="zh-CN"/>
        </w:rPr>
        <w:t>：</w:t>
      </w:r>
      <w:r>
        <w:rPr>
          <w:rFonts w:hint="eastAsia" w:ascii="宋体" w:hAnsi="宋体" w:cs="宋体"/>
          <w:b w:val="0"/>
          <w:bCs/>
          <w:kern w:val="0"/>
          <w:sz w:val="24"/>
          <w:szCs w:val="24"/>
          <w:lang w:eastAsia="zh-CN"/>
        </w:rPr>
        <w:t>住院医师规范化培训基地临床技能模拟训练中心</w:t>
      </w:r>
      <w:r>
        <w:rPr>
          <w:rFonts w:hint="eastAsia" w:ascii="宋体" w:hAnsi="宋体" w:cs="宋体"/>
          <w:b w:val="0"/>
          <w:bCs/>
          <w:color w:val="000000" w:themeColor="text1"/>
          <w:kern w:val="0"/>
          <w:sz w:val="24"/>
          <w:szCs w:val="24"/>
          <w:lang w:val="en-US" w:eastAsia="zh-CN"/>
        </w:rPr>
        <w:t>装修改造工程设计公司</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sz w:val="24"/>
        </w:rPr>
      </w:pPr>
      <w:r>
        <w:rPr>
          <w:rFonts w:hint="eastAsia" w:ascii="宋体" w:hAnsi="宋体" w:cs="宋体"/>
          <w:color w:val="auto"/>
          <w:sz w:val="24"/>
        </w:rPr>
        <w:t>(</w:t>
      </w:r>
      <w:r>
        <w:rPr>
          <w:rFonts w:hint="eastAsia" w:ascii="宋体" w:hAnsi="宋体" w:cs="宋体"/>
          <w:sz w:val="24"/>
        </w:rPr>
        <w:t>具体招标要求详见招标文件)</w:t>
      </w: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2）设计公司需具有工程设计建筑装饰工程专项乙级及以上资质（复印件加盖公章）；</w:t>
      </w:r>
    </w:p>
    <w:p>
      <w:pPr>
        <w:spacing w:line="360" w:lineRule="auto"/>
        <w:ind w:firstLine="480" w:firstLineChars="200"/>
        <w:rPr>
          <w:rFonts w:ascii="宋体" w:hAnsi="宋体" w:cs="宋体"/>
          <w:sz w:val="24"/>
        </w:rPr>
      </w:pPr>
      <w:r>
        <w:rPr>
          <w:rFonts w:hint="eastAsia" w:ascii="宋体" w:hAnsi="宋体" w:cs="宋体"/>
          <w:sz w:val="24"/>
          <w:lang w:val="en-US" w:eastAsia="zh-CN"/>
        </w:rPr>
        <w:t>3</w:t>
      </w:r>
      <w:r>
        <w:rPr>
          <w:rFonts w:hint="eastAsia" w:ascii="宋体" w:hAnsi="宋体" w:cs="宋体"/>
          <w:sz w:val="24"/>
        </w:rPr>
        <w:t>）本项目不接受联合体投标。</w:t>
      </w:r>
    </w:p>
    <w:p>
      <w:pPr>
        <w:spacing w:line="360" w:lineRule="auto"/>
        <w:rPr>
          <w:rFonts w:hint="eastAsia" w:ascii="宋体" w:hAnsi="宋体" w:eastAsia="宋体" w:cs="宋体"/>
          <w:sz w:val="24"/>
          <w:lang w:val="en-US" w:eastAsia="zh-CN"/>
        </w:rPr>
      </w:pPr>
      <w:r>
        <w:rPr>
          <w:rFonts w:hint="eastAsia" w:ascii="宋体" w:hAnsi="宋体" w:cs="宋体"/>
          <w:b/>
          <w:bCs/>
          <w:sz w:val="24"/>
          <w:lang w:val="en-US" w:eastAsia="zh-CN"/>
        </w:rPr>
        <w:t>4</w:t>
      </w:r>
      <w:r>
        <w:rPr>
          <w:rFonts w:hint="eastAsia" w:ascii="宋体" w:hAnsi="宋体" w:cs="宋体"/>
          <w:b/>
          <w:bCs/>
          <w:sz w:val="24"/>
        </w:rPr>
        <w:t>.项目预算：</w:t>
      </w:r>
      <w:r>
        <w:rPr>
          <w:rFonts w:hint="eastAsia" w:ascii="宋体" w:hAnsi="宋体" w:cs="宋体"/>
          <w:b w:val="0"/>
          <w:bCs w:val="0"/>
          <w:sz w:val="24"/>
          <w:lang w:val="en-US" w:eastAsia="zh-CN"/>
        </w:rPr>
        <w:t>5万元</w:t>
      </w:r>
    </w:p>
    <w:p>
      <w:pPr>
        <w:pStyle w:val="2"/>
        <w:spacing w:line="360" w:lineRule="auto"/>
        <w:ind w:left="0" w:leftChars="0"/>
        <w:rPr>
          <w:rFonts w:ascii="宋体" w:hAnsi="宋体" w:cs="宋体"/>
          <w:color w:val="auto"/>
          <w:kern w:val="0"/>
          <w:sz w:val="24"/>
        </w:rPr>
      </w:pPr>
      <w:r>
        <w:rPr>
          <w:rFonts w:hint="eastAsia" w:ascii="宋体" w:hAnsi="宋体" w:cs="宋体"/>
          <w:b/>
          <w:bCs/>
          <w:sz w:val="24"/>
          <w:lang w:val="en-US" w:eastAsia="zh-CN"/>
        </w:rPr>
        <w:t>5</w:t>
      </w:r>
      <w:r>
        <w:rPr>
          <w:rFonts w:hint="eastAsia" w:ascii="宋体" w:hAnsi="宋体" w:cs="宋体"/>
          <w:b/>
          <w:bCs/>
          <w:sz w:val="24"/>
        </w:rPr>
        <w:t>.公告期</w:t>
      </w:r>
      <w:r>
        <w:rPr>
          <w:rFonts w:hint="eastAsia" w:ascii="宋体" w:hAnsi="宋体" w:cs="宋体"/>
          <w:b/>
          <w:bCs/>
          <w:color w:val="auto"/>
          <w:sz w:val="24"/>
        </w:rPr>
        <w:t>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11</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年月</w:t>
      </w:r>
      <w:r>
        <w:rPr>
          <w:rFonts w:hint="eastAsia" w:ascii="宋体" w:hAnsi="宋体" w:cs="宋体"/>
          <w:color w:val="auto"/>
          <w:kern w:val="0"/>
          <w:sz w:val="24"/>
          <w:lang w:val="en-US" w:eastAsia="zh-CN"/>
        </w:rPr>
        <w:t>19</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b w:val="0"/>
          <w:bCs w:val="0"/>
          <w:color w:val="auto"/>
          <w:sz w:val="24"/>
          <w:lang w:eastAsia="zh-CN"/>
        </w:rPr>
        <w:t>最低评标价</w:t>
      </w:r>
      <w:r>
        <w:rPr>
          <w:rFonts w:hint="eastAsia" w:ascii="宋体" w:hAnsi="宋体" w:cs="宋体"/>
          <w:color w:val="auto"/>
          <w:sz w:val="24"/>
        </w:rPr>
        <w:t>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12</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19</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4</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2</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w:t>
      </w:r>
      <w:r>
        <w:rPr>
          <w:rFonts w:hint="eastAsia" w:ascii="宋体" w:hAnsi="宋体" w:cs="宋体"/>
          <w:b/>
          <w:bCs/>
          <w:color w:val="auto"/>
          <w:kern w:val="0"/>
          <w:sz w:val="24"/>
          <w:szCs w:val="22"/>
        </w:rPr>
        <w:t>午</w:t>
      </w:r>
      <w:r>
        <w:rPr>
          <w:rFonts w:hint="eastAsia" w:ascii="宋体" w:hAnsi="宋体" w:cs="宋体"/>
          <w:b/>
          <w:bCs/>
          <w:color w:val="auto"/>
          <w:kern w:val="0"/>
          <w:sz w:val="24"/>
          <w:szCs w:val="22"/>
          <w:lang w:val="en-US" w:eastAsia="zh-CN"/>
        </w:rPr>
        <w:t>15</w:t>
      </w:r>
      <w:r>
        <w:rPr>
          <w:rFonts w:hint="eastAsia" w:ascii="宋体" w:hAnsi="宋体" w:cs="宋体"/>
          <w:b/>
          <w:bCs/>
          <w:color w:val="auto"/>
          <w:kern w:val="0"/>
          <w:sz w:val="24"/>
          <w:szCs w:val="22"/>
        </w:rPr>
        <w:t>：00分</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hint="eastAsia" w:ascii="宋体" w:hAnsi="宋体" w:cs="宋体"/>
          <w:kern w:val="0"/>
          <w:sz w:val="24"/>
          <w:szCs w:val="22"/>
          <w:lang w:val="en-US" w:eastAsia="zh-CN"/>
        </w:rPr>
      </w:pPr>
      <w:r>
        <w:rPr>
          <w:rFonts w:hint="eastAsia" w:ascii="宋体" w:hAnsi="宋体" w:cs="宋体"/>
          <w:kern w:val="0"/>
          <w:sz w:val="24"/>
          <w:szCs w:val="22"/>
          <w:lang w:val="en-US" w:eastAsia="zh-CN"/>
        </w:rPr>
        <w:t xml:space="preserve">                                  </w:t>
      </w:r>
      <w:r>
        <w:rPr>
          <w:rFonts w:hint="eastAsia" w:ascii="宋体" w:hAnsi="宋体" w:cs="宋体"/>
          <w:kern w:val="0"/>
          <w:sz w:val="24"/>
          <w:szCs w:val="22"/>
          <w:lang w:eastAsia="zh-CN"/>
        </w:rPr>
        <w:t>甘肃省第二人民医院</w:t>
      </w:r>
      <w:r>
        <w:rPr>
          <w:rFonts w:hint="eastAsia" w:ascii="宋体" w:hAnsi="宋体" w:cs="宋体"/>
          <w:kern w:val="0"/>
          <w:sz w:val="24"/>
          <w:szCs w:val="22"/>
          <w:lang w:val="en-US" w:eastAsia="zh-CN"/>
        </w:rPr>
        <w:t xml:space="preserve">                           </w:t>
      </w: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r>
        <w:rPr>
          <w:rFonts w:hint="eastAsia" w:ascii="宋体" w:hAnsi="宋体" w:cs="宋体"/>
          <w:color w:val="auto"/>
          <w:kern w:val="0"/>
          <w:sz w:val="24"/>
          <w:szCs w:val="22"/>
          <w:lang w:val="en-US" w:eastAsia="zh-CN"/>
        </w:rPr>
        <w:t xml:space="preserve">       </w:t>
      </w:r>
      <w:r>
        <w:rPr>
          <w:rFonts w:hint="eastAsia" w:ascii="宋体" w:hAnsi="宋体" w:cs="宋体"/>
          <w:color w:val="auto"/>
          <w:kern w:val="0"/>
          <w:sz w:val="24"/>
          <w:szCs w:val="22"/>
        </w:rPr>
        <w:t>20</w:t>
      </w:r>
      <w:r>
        <w:rPr>
          <w:rFonts w:hint="eastAsia" w:ascii="宋体" w:hAnsi="宋体" w:cs="宋体"/>
          <w:color w:val="auto"/>
          <w:kern w:val="0"/>
          <w:sz w:val="24"/>
          <w:szCs w:val="22"/>
          <w:lang w:val="en-US" w:eastAsia="zh-CN"/>
        </w:rPr>
        <w:t>20</w:t>
      </w:r>
      <w:r>
        <w:rPr>
          <w:rFonts w:hint="eastAsia" w:ascii="宋体" w:hAnsi="宋体" w:cs="宋体"/>
          <w:color w:val="auto"/>
          <w:kern w:val="0"/>
          <w:sz w:val="24"/>
          <w:szCs w:val="22"/>
        </w:rPr>
        <w:t>年</w:t>
      </w:r>
      <w:r>
        <w:rPr>
          <w:rFonts w:hint="eastAsia" w:ascii="宋体" w:hAnsi="宋体" w:cs="宋体"/>
          <w:color w:val="auto"/>
          <w:kern w:val="0"/>
          <w:sz w:val="24"/>
          <w:szCs w:val="22"/>
          <w:lang w:val="en-US" w:eastAsia="zh-CN"/>
        </w:rPr>
        <w:t>3</w:t>
      </w:r>
      <w:r>
        <w:rPr>
          <w:rFonts w:hint="eastAsia" w:ascii="宋体" w:hAnsi="宋体" w:cs="宋体"/>
          <w:color w:val="auto"/>
          <w:kern w:val="0"/>
          <w:sz w:val="24"/>
          <w:szCs w:val="22"/>
        </w:rPr>
        <w:t>月</w:t>
      </w:r>
      <w:r>
        <w:rPr>
          <w:rFonts w:hint="eastAsia" w:ascii="宋体" w:hAnsi="宋体" w:cs="宋体"/>
          <w:color w:val="auto"/>
          <w:kern w:val="0"/>
          <w:sz w:val="24"/>
          <w:szCs w:val="22"/>
          <w:lang w:val="en-US" w:eastAsia="zh-CN"/>
        </w:rPr>
        <w:t>11</w:t>
      </w:r>
      <w:r>
        <w:rPr>
          <w:rFonts w:hint="eastAsia" w:ascii="宋体" w:hAnsi="宋体" w:cs="宋体"/>
          <w:color w:val="auto"/>
          <w:kern w:val="0"/>
          <w:sz w:val="24"/>
          <w:szCs w:val="22"/>
        </w:rPr>
        <w:t>日</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ind w:left="0" w:leftChars="0" w:firstLine="0" w:firstLineChars="0"/>
        <w:rPr>
          <w:rFonts w:ascii="宋体" w:hAnsi="宋体" w:cs="宋体"/>
        </w:rPr>
      </w:pPr>
    </w:p>
    <w:p>
      <w:pPr>
        <w:pStyle w:val="13"/>
        <w:ind w:left="0" w:leftChars="0" w:firstLine="0" w:firstLineChars="0"/>
        <w:rPr>
          <w:rFonts w:ascii="宋体" w:hAnsi="宋体" w:cs="宋体"/>
        </w:rPr>
      </w:pPr>
    </w:p>
    <w:p>
      <w:pPr>
        <w:pStyle w:val="13"/>
        <w:ind w:left="0" w:leftChars="0" w:firstLine="0" w:firstLineChars="0"/>
        <w:rPr>
          <w:rFonts w:ascii="宋体" w:hAnsi="宋体" w:cs="宋体"/>
        </w:rPr>
      </w:pPr>
    </w:p>
    <w:p/>
    <w:p>
      <w:pPr>
        <w:pStyle w:val="3"/>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4"/>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 w:val="0"/>
                <w:bCs/>
                <w:kern w:val="0"/>
                <w:sz w:val="24"/>
                <w:szCs w:val="24"/>
                <w:lang w:eastAsia="zh-CN"/>
              </w:rPr>
              <w:t>住院医师规范化培训基地临床技能模拟训练中心</w:t>
            </w:r>
            <w:r>
              <w:rPr>
                <w:rFonts w:hint="eastAsia" w:ascii="宋体" w:hAnsi="宋体" w:cs="宋体"/>
                <w:b w:val="0"/>
                <w:bCs/>
                <w:color w:val="000000" w:themeColor="text1"/>
                <w:kern w:val="0"/>
                <w:sz w:val="24"/>
                <w:szCs w:val="24"/>
                <w:lang w:val="en-US" w:eastAsia="zh-CN"/>
              </w:rPr>
              <w:t>装修改造工程设计公司</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Fonts w:hint="eastAsia" w:ascii="宋体" w:hAnsi="宋体" w:cs="宋体"/>
                <w:color w:val="000000" w:themeColor="text1"/>
                <w:sz w:val="24"/>
                <w:lang w:eastAsia="zh-CN"/>
              </w:rPr>
              <w:t>SEY-2020YNCG-028</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2）设计公司需具有工程设计建筑装饰工程专项乙级及以上资质（复印件加盖公章）；</w:t>
            </w:r>
          </w:p>
          <w:p>
            <w:pPr>
              <w:spacing w:line="360" w:lineRule="auto"/>
              <w:ind w:firstLine="480" w:firstLineChars="200"/>
              <w:rPr>
                <w:rFonts w:ascii="宋体" w:hAnsi="宋体" w:cs="宋体"/>
                <w:sz w:val="24"/>
              </w:rPr>
            </w:pPr>
            <w:r>
              <w:rPr>
                <w:rFonts w:hint="eastAsia" w:ascii="宋体" w:hAnsi="宋体" w:cs="宋体"/>
                <w:sz w:val="24"/>
                <w:lang w:val="en-US" w:eastAsia="zh-CN"/>
              </w:rPr>
              <w:t>3</w:t>
            </w:r>
            <w:r>
              <w:rPr>
                <w:rFonts w:hint="eastAsia" w:ascii="宋体" w:hAnsi="宋体" w:cs="宋体"/>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cs="宋体"/>
                <w:color w:val="auto"/>
                <w:sz w:val="24"/>
                <w:szCs w:val="24"/>
                <w:highlight w:val="none"/>
                <w:lang w:val="en-US" w:eastAsia="zh-CN"/>
              </w:rPr>
              <w:t>出具设计蓝图后，经甲乙双方核实无误后，支付合同货款的90%，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lang w:eastAsia="zh-CN"/>
              </w:rPr>
              <w:t>最低评标价</w:t>
            </w:r>
            <w:r>
              <w:rPr>
                <w:rFonts w:hint="eastAsia" w:ascii="宋体" w:hAnsi="宋体" w:cs="宋体"/>
                <w:spacing w:val="10"/>
                <w:sz w:val="24"/>
              </w:rPr>
              <w:t>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bookmarkStart w:id="9" w:name="_Toc139965326"/>
      <w:bookmarkStart w:id="10" w:name="_Toc128372730"/>
      <w:bookmarkStart w:id="11" w:name="_Toc128372052"/>
      <w:bookmarkStart w:id="12" w:name="_Toc327439435"/>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2"/>
        <w:ind w:left="0" w:leftChars="0" w:firstLine="0" w:firstLineChars="0"/>
        <w:rPr>
          <w:rFonts w:hint="eastAsia"/>
        </w:rPr>
      </w:pPr>
    </w:p>
    <w:p>
      <w:pPr>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rPr>
          <w:rFonts w:hint="eastAsia"/>
        </w:rPr>
      </w:pPr>
    </w:p>
    <w:p>
      <w:pPr>
        <w:pStyle w:val="17"/>
        <w:rPr>
          <w:rFonts w:hint="eastAsia"/>
        </w:rPr>
      </w:pPr>
    </w:p>
    <w:p>
      <w:pPr>
        <w:pStyle w:val="3"/>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39965332"/>
      <w:bookmarkStart w:id="23"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FF0000"/>
          <w:sz w:val="24"/>
        </w:rPr>
        <w:t>投标</w:t>
      </w:r>
      <w:r>
        <w:rPr>
          <w:rFonts w:hint="eastAsia" w:ascii="宋体" w:hAnsi="宋体" w:cs="宋体"/>
          <w:color w:val="FF0000"/>
          <w:sz w:val="24"/>
          <w:lang w:eastAsia="zh-CN"/>
        </w:rPr>
        <w:t>公告</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582210"/>
      <w:bookmarkStart w:id="31" w:name="_Toc183682347"/>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FF0000"/>
          <w:lang w:val="zh-CN"/>
        </w:rPr>
        <w:t>招标公告</w:t>
      </w:r>
      <w:r>
        <w:rPr>
          <w:rFonts w:hint="eastAsia"/>
          <w:lang w:val="zh-CN"/>
        </w:rPr>
        <w:t>；</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17446041"/>
      <w:bookmarkStart w:id="41" w:name="_Toc183682350"/>
      <w:bookmarkStart w:id="42" w:name="_Toc208848971"/>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现场踏勘：本项目需要</w:t>
      </w:r>
      <w:bookmarkEnd w:id="43"/>
      <w:bookmarkEnd w:id="44"/>
      <w:r>
        <w:rPr>
          <w:rFonts w:hint="eastAsia" w:ascii="宋体" w:hAnsi="宋体" w:cs="宋体"/>
          <w:color w:val="FF0000"/>
          <w:sz w:val="24"/>
          <w:lang w:val="zh-CN"/>
        </w:rPr>
        <w:t>前往踏勘现场，具体时间另行通知</w:t>
      </w:r>
    </w:p>
    <w:p>
      <w:pPr>
        <w:pStyle w:val="13"/>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582214"/>
      <w:bookmarkStart w:id="46" w:name="_Toc77400780"/>
      <w:bookmarkStart w:id="47" w:name="_Toc89075876"/>
      <w:bookmarkStart w:id="48" w:name="_Toc183682351"/>
      <w:bookmarkStart w:id="49" w:name="_Toc217446042"/>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217446043"/>
      <w:bookmarkStart w:id="53" w:name="_Toc183582215"/>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217446044"/>
      <w:bookmarkStart w:id="59" w:name="_Toc183682353"/>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217446048"/>
      <w:bookmarkStart w:id="72" w:name="_Toc183682354"/>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183682355"/>
      <w:bookmarkStart w:id="76" w:name="_Toc28852"/>
      <w:bookmarkStart w:id="77" w:name="_Toc183582218"/>
      <w:bookmarkStart w:id="78" w:name="_Toc29764"/>
      <w:bookmarkStart w:id="79" w:name="_Toc217446049"/>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183582224"/>
      <w:bookmarkStart w:id="86" w:name="_Toc217446051"/>
      <w:bookmarkStart w:id="87" w:name="_Toc31286"/>
      <w:bookmarkStart w:id="88" w:name="_Toc183682361"/>
      <w:bookmarkStart w:id="89" w:name="_Toc28500"/>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217446052"/>
      <w:bookmarkStart w:id="91" w:name="_Toc183682362"/>
      <w:bookmarkStart w:id="92" w:name="_Toc183582225"/>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582226"/>
      <w:bookmarkStart w:id="96" w:name="_Toc89075877"/>
      <w:bookmarkStart w:id="97" w:name="_Toc77400781"/>
      <w:bookmarkStart w:id="98" w:name="_Toc183682363"/>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217446057"/>
      <w:bookmarkStart w:id="115" w:name="_Toc183582232"/>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并由招标工作人员将投标人单独递交的“开标一览表”拆封，并由唱标人员进行唱标。</w:t>
      </w:r>
      <w:r>
        <w:rPr>
          <w:rFonts w:hint="eastAsia"/>
          <w:lang w:val="zh-CN"/>
        </w:rPr>
        <w:t>投标人不足3家的，不得开标。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000000" w:themeColor="text1"/>
          <w:lang w:val="zh-CN"/>
        </w:rPr>
        <w:t>成员人数应当为5人以上单数，</w:t>
      </w:r>
      <w:r>
        <w:rPr>
          <w:rFonts w:hint="eastAsia"/>
          <w:lang w:val="zh-CN"/>
        </w:rPr>
        <w:t>其中评审专家不得少于成员总数的三分之二。</w:t>
      </w:r>
    </w:p>
    <w:p>
      <w:pPr>
        <w:pStyle w:val="207"/>
        <w:spacing w:line="360" w:lineRule="auto"/>
        <w:jc w:val="both"/>
        <w:rPr>
          <w:rFonts w:hint="eastAsia"/>
        </w:rPr>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7"/>
        <w:spacing w:line="360" w:lineRule="auto"/>
        <w:jc w:val="both"/>
        <w:rPr>
          <w:rFonts w:hint="eastAsia"/>
          <w:lang w:val="en-US" w:eastAsia="zh-CN"/>
        </w:rPr>
      </w:pPr>
      <w:r>
        <w:rPr>
          <w:rFonts w:hint="eastAsia"/>
          <w:lang w:val="en-US" w:eastAsia="zh-CN"/>
        </w:rPr>
        <w:t>22.3评标委员会负责完成全部评标工作，向采购人提出经评标委员会签字的书面评标报告。</w:t>
      </w:r>
    </w:p>
    <w:p>
      <w:pPr>
        <w:pStyle w:val="207"/>
        <w:spacing w:line="360" w:lineRule="auto"/>
        <w:jc w:val="both"/>
        <w:rPr>
          <w:lang w:val="zh-CN"/>
        </w:rPr>
      </w:pPr>
      <w:r>
        <w:rPr>
          <w:rFonts w:hint="eastAsia"/>
          <w:lang w:val="en-US" w:eastAsia="zh-CN"/>
        </w:rPr>
        <w:t>22</w:t>
      </w:r>
      <w:r>
        <w:rPr>
          <w:rFonts w:hint="eastAsia"/>
          <w:color w:val="auto"/>
          <w:lang w:val="en-US" w:eastAsia="zh-CN"/>
        </w:rPr>
        <w:t>.4</w:t>
      </w:r>
      <w:r>
        <w:rPr>
          <w:rFonts w:hint="eastAsia"/>
          <w:color w:val="auto"/>
          <w:lang w:val="zh-CN"/>
        </w:rPr>
        <w:t>评委会严格按照法律规定的程序和招标文件规定的评审办法及标准对投标文件进行评审。</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（本项目采用最低评标价法）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ind w:firstLine="480" w:firstLineChars="200"/>
        <w:jc w:val="both"/>
        <w:rPr>
          <w:rFonts w:hint="eastAsia"/>
          <w:lang w:val="en-US" w:eastAsia="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w:t>
      </w:r>
      <w:bookmarkEnd w:id="125"/>
      <w:bookmarkStart w:id="126" w:name="_Toc183682375"/>
      <w:bookmarkStart w:id="127" w:name="_Toc183582238"/>
      <w:bookmarkStart w:id="128" w:name="_Toc217446063"/>
      <w:r>
        <w:rPr>
          <w:rFonts w:hint="eastAsia"/>
          <w:color w:val="auto"/>
          <w:lang w:val="en-US" w:eastAsia="zh-CN"/>
        </w:rPr>
        <w:t>投标</w:t>
      </w:r>
      <w:r>
        <w:rPr>
          <w:rFonts w:hint="eastAsia"/>
          <w:lang w:val="en-US" w:eastAsia="zh-CN"/>
        </w:rPr>
        <w:t>报价由低到高顺序排列。投标报价相同的并列。投标文件满足招标文件全部实质性要求且投标报价最低的投标人为排名第一的中标候选人。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6977"/>
      <w:bookmarkStart w:id="137" w:name="_Toc26668"/>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19056"/>
      <w:bookmarkStart w:id="140" w:name="_Toc21744606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217446069"/>
      <w:bookmarkStart w:id="147" w:name="_Toc14355"/>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25131"/>
      <w:bookmarkStart w:id="165" w:name="_Toc8012"/>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6168"/>
      <w:bookmarkStart w:id="173" w:name="_Toc9205"/>
      <w:bookmarkStart w:id="174" w:name="_Toc15623"/>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28450"/>
      <w:bookmarkStart w:id="177" w:name="_Toc8333"/>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sz w:val="32"/>
          <w:szCs w:val="32"/>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p>
    <w:p>
      <w:pPr>
        <w:ind w:firstLine="567"/>
        <w:rPr>
          <w:rFonts w:hint="eastAsia" w:ascii="宋体" w:hAnsi="宋体" w:eastAsia="宋体" w:cs="宋体"/>
          <w:sz w:val="24"/>
          <w:szCs w:val="24"/>
        </w:rPr>
      </w:pPr>
      <w:bookmarkStart w:id="180" w:name="_Toc20396"/>
      <w:r>
        <w:rPr>
          <w:rFonts w:hint="eastAsia" w:ascii="宋体" w:hAnsi="宋体" w:eastAsia="宋体" w:cs="宋体"/>
          <w:sz w:val="24"/>
          <w:szCs w:val="24"/>
        </w:rPr>
        <w:t>为有效推进我院住院医师规范化培训基地的建设工作，现将1号楼10楼培训中心依据《住院医师规范化培训基地认定标准》进行改造，筹建标准化的临床技能模拟训练中心，建筑面积约1140㎡，改造后需满足以下使用要求：</w:t>
      </w:r>
    </w:p>
    <w:p>
      <w:pPr>
        <w:ind w:firstLine="567"/>
        <w:rPr>
          <w:rFonts w:hint="eastAsia" w:ascii="宋体" w:hAnsi="宋体" w:eastAsia="宋体" w:cs="宋体"/>
          <w:sz w:val="24"/>
          <w:szCs w:val="24"/>
        </w:rPr>
      </w:pPr>
      <w:r>
        <w:rPr>
          <w:rFonts w:hint="eastAsia" w:ascii="宋体" w:hAnsi="宋体" w:eastAsia="宋体" w:cs="宋体"/>
          <w:sz w:val="24"/>
          <w:szCs w:val="24"/>
        </w:rPr>
        <w:t>一、临床技能模拟训练</w:t>
      </w:r>
    </w:p>
    <w:p>
      <w:pPr>
        <w:ind w:firstLine="567"/>
        <w:rPr>
          <w:rFonts w:hint="eastAsia" w:ascii="宋体" w:hAnsi="宋体" w:eastAsia="宋体" w:cs="宋体"/>
          <w:sz w:val="24"/>
          <w:szCs w:val="24"/>
        </w:rPr>
      </w:pPr>
      <w:r>
        <w:rPr>
          <w:rFonts w:hint="eastAsia" w:ascii="宋体" w:hAnsi="宋体" w:eastAsia="宋体" w:cs="宋体"/>
          <w:sz w:val="24"/>
          <w:szCs w:val="24"/>
        </w:rPr>
        <w:t>按照模拟急救训练室、内科操作训练室、外科操作训练室、妇产科操作训练室、模拟产房、儿科（新生儿）操作训练室、耳鼻喉头颈外科训练室、模拟手术室（更衣室、刷手台、手术操作间≥2间）、中医操作训练室、模拟病房（护理基础操作训练室）、模拟传染病病房、模拟ICU、模拟腔镜训练（基础腔镜训练室、高级腔镜训练室）、临床思维训练平台（DXR）、档案室、办公室等功能区域。</w:t>
      </w:r>
    </w:p>
    <w:p>
      <w:pPr>
        <w:ind w:firstLine="567"/>
        <w:rPr>
          <w:rFonts w:hint="eastAsia" w:ascii="宋体" w:hAnsi="宋体" w:eastAsia="宋体" w:cs="宋体"/>
          <w:sz w:val="24"/>
          <w:szCs w:val="24"/>
        </w:rPr>
      </w:pPr>
      <w:r>
        <w:rPr>
          <w:rFonts w:hint="eastAsia" w:ascii="宋体" w:hAnsi="宋体" w:eastAsia="宋体" w:cs="宋体"/>
          <w:sz w:val="24"/>
          <w:szCs w:val="24"/>
        </w:rPr>
        <w:t>二、电子阅览室</w:t>
      </w:r>
    </w:p>
    <w:p>
      <w:pPr>
        <w:ind w:firstLine="567"/>
        <w:rPr>
          <w:rFonts w:hint="eastAsia" w:ascii="宋体" w:hAnsi="宋体" w:eastAsia="宋体" w:cs="宋体"/>
          <w:sz w:val="24"/>
          <w:szCs w:val="24"/>
        </w:rPr>
      </w:pPr>
      <w:r>
        <w:rPr>
          <w:rFonts w:hint="eastAsia" w:ascii="宋体" w:hAnsi="宋体" w:eastAsia="宋体" w:cs="宋体"/>
          <w:sz w:val="24"/>
          <w:szCs w:val="24"/>
        </w:rPr>
        <w:t>设计容纳不少于50台电脑（单人单桌）的场地、连接内外网络、共享西北民族大学临床医学数据库，能够实现网络化视频教学、考核、文献查阅等功能。</w:t>
      </w:r>
    </w:p>
    <w:p>
      <w:pPr>
        <w:pStyle w:val="3"/>
        <w:rPr>
          <w:rFonts w:hint="eastAsia" w:ascii="宋体" w:hAnsi="宋体" w:cs="宋体"/>
          <w:b w:val="0"/>
          <w:bCs w:val="0"/>
          <w:sz w:val="24"/>
          <w:szCs w:val="13"/>
        </w:rPr>
      </w:pPr>
    </w:p>
    <w:p>
      <w:pPr>
        <w:pStyle w:val="3"/>
        <w:rPr>
          <w:rFonts w:hint="eastAsia" w:ascii="宋体" w:hAnsi="宋体" w:cs="宋体"/>
          <w:b w:val="0"/>
          <w:bCs w:val="0"/>
          <w:sz w:val="24"/>
          <w:szCs w:val="13"/>
        </w:rPr>
      </w:pPr>
    </w:p>
    <w:p>
      <w:pPr>
        <w:pStyle w:val="3"/>
        <w:rPr>
          <w:rFonts w:hint="eastAsia" w:ascii="宋体" w:hAnsi="宋体" w:cs="宋体"/>
          <w:b w:val="0"/>
          <w:bCs w:val="0"/>
          <w:sz w:val="24"/>
          <w:szCs w:val="13"/>
        </w:rPr>
      </w:pPr>
    </w:p>
    <w:p>
      <w:pPr>
        <w:pStyle w:val="3"/>
        <w:rPr>
          <w:rFonts w:hint="eastAsia" w:ascii="宋体" w:hAnsi="宋体" w:cs="宋体"/>
          <w:b w:val="0"/>
          <w:bCs w:val="0"/>
          <w:sz w:val="24"/>
          <w:szCs w:val="13"/>
        </w:rPr>
      </w:pPr>
    </w:p>
    <w:p>
      <w:pPr>
        <w:pStyle w:val="3"/>
        <w:rPr>
          <w:rFonts w:hint="eastAsia" w:ascii="宋体" w:hAnsi="宋体" w:cs="宋体"/>
          <w:b w:val="0"/>
          <w:bCs w:val="0"/>
          <w:sz w:val="24"/>
          <w:szCs w:val="13"/>
        </w:rPr>
      </w:pPr>
    </w:p>
    <w:p>
      <w:pPr>
        <w:pStyle w:val="3"/>
        <w:rPr>
          <w:rFonts w:hint="eastAsia" w:ascii="宋体" w:hAnsi="宋体" w:cs="宋体"/>
          <w:b w:val="0"/>
          <w:bCs w:val="0"/>
          <w:sz w:val="24"/>
          <w:szCs w:val="13"/>
        </w:rPr>
      </w:pPr>
    </w:p>
    <w:p>
      <w:pPr>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
        <w:rPr>
          <w:rFonts w:hint="eastAsia" w:ascii="宋体" w:hAnsi="宋体" w:cs="宋体"/>
          <w:b w:val="0"/>
          <w:bCs w:val="0"/>
          <w:sz w:val="24"/>
          <w:szCs w:val="13"/>
        </w:rPr>
      </w:pPr>
    </w:p>
    <w:p>
      <w:pPr>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4"/>
        <w:rPr>
          <w:rFonts w:hint="eastAsia" w:ascii="宋体" w:hAnsi="宋体" w:cs="宋体"/>
          <w:b w:val="0"/>
          <w:bCs w:val="0"/>
          <w:sz w:val="24"/>
          <w:szCs w:val="13"/>
        </w:rPr>
      </w:pPr>
    </w:p>
    <w:p>
      <w:pPr>
        <w:pStyle w:val="3"/>
        <w:rPr>
          <w:rFonts w:hint="eastAsia" w:ascii="宋体" w:hAnsi="宋体" w:cs="宋体"/>
          <w:b w:val="0"/>
          <w:bCs w:val="0"/>
          <w:sz w:val="24"/>
          <w:szCs w:val="13"/>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七、设计公司需具有工程设计建筑装饰工程专项乙级及以上资质（复印件加盖公章）；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5803"/>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1105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（3）价格比较；</w:t>
      </w:r>
    </w:p>
    <w:p>
      <w:pPr>
        <w:spacing w:line="360" w:lineRule="auto"/>
        <w:ind w:firstLine="480" w:firstLineChars="200"/>
        <w:rPr>
          <w:rFonts w:ascii="宋体" w:hAnsi="宋体" w:cs="宋体"/>
          <w:sz w:val="24"/>
        </w:rPr>
      </w:pPr>
      <w:r>
        <w:rPr>
          <w:rFonts w:hint="eastAsia" w:ascii="宋体" w:hAnsi="宋体" w:cs="宋体"/>
          <w:sz w:val="24"/>
          <w:lang w:val="en-US" w:eastAsia="zh-CN"/>
        </w:rPr>
        <w:t>（4）</w:t>
      </w:r>
      <w:r>
        <w:rPr>
          <w:rFonts w:hint="eastAsia" w:ascii="宋体" w:hAnsi="宋体" w:cs="宋体"/>
          <w:sz w:val="24"/>
        </w:rPr>
        <w:t>评标委员会将评标情况写出书面报告，推荐中标候选人。</w:t>
      </w:r>
    </w:p>
    <w:p>
      <w:pPr>
        <w:pStyle w:val="4"/>
        <w:jc w:val="left"/>
        <w:rPr>
          <w:rFonts w:ascii="宋体" w:hAnsi="宋体" w:cs="宋体"/>
          <w:sz w:val="24"/>
          <w:szCs w:val="24"/>
        </w:rPr>
      </w:pPr>
      <w:bookmarkStart w:id="190" w:name="_Toc183582297"/>
      <w:bookmarkStart w:id="191" w:name="_Toc183682432"/>
      <w:bookmarkStart w:id="192" w:name="_Toc217446105"/>
      <w:bookmarkStart w:id="193" w:name="_Toc20884902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1293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2"/>
        <w:rPr>
          <w:rFonts w:hint="eastAsia"/>
        </w:rPr>
      </w:pPr>
    </w:p>
    <w:p>
      <w:pPr>
        <w:pStyle w:val="2"/>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3429"/>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7"/>
        </w:numPr>
        <w:spacing w:before="0" w:after="0"/>
        <w:ind w:firstLine="1687" w:firstLineChars="600"/>
        <w:jc w:val="left"/>
        <w:rPr>
          <w:rFonts w:hint="eastAsia" w:ascii="宋体" w:hAnsi="宋体" w:cs="宋体"/>
          <w:sz w:val="28"/>
          <w:szCs w:val="28"/>
        </w:rPr>
      </w:pPr>
      <w:bookmarkStart w:id="208" w:name="_Toc3146"/>
      <w:bookmarkStart w:id="209" w:name="_Toc10904"/>
      <w:bookmarkStart w:id="210" w:name="_Toc16816"/>
      <w:bookmarkStart w:id="211" w:name="_Toc258923306"/>
      <w:r>
        <w:rPr>
          <w:rFonts w:hint="eastAsia" w:ascii="宋体" w:hAnsi="宋体" w:cs="宋体"/>
          <w:sz w:val="28"/>
          <w:szCs w:val="28"/>
        </w:rPr>
        <w:t>法定代表人身份证明</w:t>
      </w:r>
    </w:p>
    <w:p>
      <w:pPr>
        <w:pStyle w:val="4"/>
        <w:numPr>
          <w:numId w:val="0"/>
        </w:numPr>
        <w:spacing w:before="0" w:after="0"/>
        <w:ind w:firstLine="843" w:firstLineChars="3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一份，投标文件中装订一份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3177"/>
      <w:bookmarkStart w:id="214" w:name="_Toc19965"/>
      <w:bookmarkStart w:id="215" w:name="_Toc10366"/>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6475"/>
      <w:bookmarkStart w:id="218" w:name="_Toc22060"/>
      <w:bookmarkStart w:id="219" w:name="_Toc12383"/>
      <w:bookmarkStart w:id="220"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13"/>
        <w:rPr>
          <w:rFonts w:ascii="宋体" w:hAnsi="宋体" w:cs="宋体"/>
          <w:szCs w:val="24"/>
        </w:rPr>
      </w:pPr>
    </w:p>
    <w:p>
      <w:pPr>
        <w:pStyle w:val="13"/>
        <w:ind w:firstLine="0"/>
        <w:rPr>
          <w:rFonts w:ascii="宋体" w:hAnsi="宋体" w:cs="宋体"/>
          <w:szCs w:val="24"/>
        </w:rPr>
      </w:pPr>
    </w:p>
    <w:p>
      <w:pPr>
        <w:pStyle w:val="13"/>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13"/>
      </w:pPr>
    </w:p>
    <w:p>
      <w:pPr>
        <w:pStyle w:val="2"/>
        <w:rPr>
          <w:rFonts w:ascii="宋体" w:hAnsi="宋体" w:cs="宋体"/>
        </w:rPr>
      </w:pPr>
    </w:p>
    <w:p>
      <w:pPr>
        <w:pStyle w:val="4"/>
        <w:numPr>
          <w:ilvl w:val="0"/>
          <w:numId w:val="7"/>
        </w:numPr>
        <w:spacing w:before="0" w:after="0"/>
        <w:ind w:left="0" w:leftChars="0" w:firstLine="1687" w:firstLineChars="600"/>
        <w:jc w:val="both"/>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 xml:space="preserve"> </w:t>
      </w:r>
      <w:r>
        <w:rPr>
          <w:rFonts w:hint="eastAsia" w:ascii="宋体" w:hAnsi="宋体" w:cs="宋体"/>
          <w:sz w:val="28"/>
          <w:szCs w:val="28"/>
        </w:rPr>
        <w:t>法人授权函</w:t>
      </w:r>
    </w:p>
    <w:p>
      <w:pPr>
        <w:pStyle w:val="4"/>
        <w:numPr>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一份，投标文件中装订一份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6"/>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432"/>
      <w:bookmarkStart w:id="231" w:name="_Toc26303"/>
      <w:bookmarkStart w:id="232" w:name="_Toc16887"/>
      <w:bookmarkStart w:id="233" w:name="_Toc4270"/>
      <w:bookmarkStart w:id="234" w:name="_Toc7146"/>
      <w:bookmarkStart w:id="235" w:name="_Toc3392"/>
      <w:bookmarkStart w:id="236" w:name="_Toc27827"/>
      <w:bookmarkStart w:id="237" w:name="_Toc12836"/>
      <w:bookmarkStart w:id="238" w:name="_Toc10205"/>
      <w:bookmarkStart w:id="239" w:name="_Toc6233"/>
      <w:bookmarkStart w:id="240" w:name="_Toc8733"/>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4708"/>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
        <w:ind w:left="0" w:leftChars="0" w:firstLine="0" w:firstLineChars="0"/>
        <w:rPr>
          <w:rFonts w:hint="default"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注：1.报价应是最终用户验收合格后的总价，包括招标文件规定、要求和涵盖的全部费用</w:t>
      </w:r>
      <w:r>
        <w:rPr>
          <w:rFonts w:hint="eastAsia" w:ascii="宋体" w:hAnsi="宋体" w:cs="宋体"/>
          <w:color w:val="auto"/>
          <w:spacing w:val="10"/>
          <w:kern w:val="2"/>
          <w:sz w:val="24"/>
          <w:szCs w:val="24"/>
          <w:u w:val="none"/>
          <w:lang w:val="en-US" w:eastAsia="zh-CN" w:bidi="ar-SA"/>
        </w:rPr>
        <w:t>。</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pStyle w:val="34"/>
      </w:pPr>
    </w:p>
    <w:p>
      <w:pPr>
        <w:pStyle w:val="34"/>
      </w:pPr>
    </w:p>
    <w:p>
      <w:pPr>
        <w:pStyle w:val="34"/>
      </w:pPr>
    </w:p>
    <w:p>
      <w:pPr>
        <w:pStyle w:val="34"/>
      </w:pPr>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387"/>
      <w:bookmarkStart w:id="252" w:name="_Toc258923313"/>
      <w:bookmarkStart w:id="253"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97"/>
      <w:bookmarkStart w:id="268" w:name="_Toc7530"/>
      <w:bookmarkStart w:id="269" w:name="_Toc9385"/>
      <w:bookmarkStart w:id="270" w:name="_Toc408"/>
      <w:bookmarkStart w:id="271" w:name="_Toc19846"/>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7"/>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16.服务方案(可自拟）</w:t>
      </w:r>
    </w:p>
    <w:p>
      <w:pPr>
        <w:numPr>
          <w:ilvl w:val="0"/>
          <w:numId w:val="0"/>
        </w:numPr>
        <w:rPr>
          <w:rFonts w:hint="eastAsia"/>
        </w:rPr>
      </w:pPr>
    </w:p>
    <w:p>
      <w:pPr>
        <w:pStyle w:val="2"/>
        <w:rPr>
          <w:rFonts w:hint="eastAsia"/>
        </w:rPr>
      </w:pP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2"/>
        <w:ind w:left="0" w:leftChars="0" w:firstLine="0" w:firstLineChars="0"/>
        <w:rPr>
          <w:rFonts w:hint="eastAsia"/>
        </w:rPr>
      </w:pPr>
    </w:p>
    <w:p>
      <w:pPr>
        <w:rPr>
          <w:rFonts w:hint="eastAsia"/>
        </w:rPr>
      </w:pPr>
    </w:p>
    <w:p>
      <w:pPr>
        <w:pStyle w:val="3"/>
        <w:rPr>
          <w:rFonts w:hint="eastAsia" w:ascii="宋体" w:hAnsi="宋体" w:eastAsia="宋体" w:cs="宋体"/>
          <w:sz w:val="32"/>
          <w:szCs w:val="32"/>
          <w:lang w:val="zh-CN"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eastAsia="zh-CN"/>
        </w:rPr>
        <w:t>（仅做参考）</w:t>
      </w:r>
    </w:p>
    <w:p>
      <w:pPr>
        <w:pStyle w:val="4"/>
        <w:rPr>
          <w:rFonts w:ascii="宋体" w:hAnsi="宋体" w:cs="宋体"/>
          <w:sz w:val="28"/>
          <w:szCs w:val="20"/>
        </w:rPr>
      </w:pPr>
      <w:bookmarkStart w:id="278" w:name="_Toc27396"/>
      <w:bookmarkStart w:id="279" w:name="_Toc31613"/>
      <w:bookmarkStart w:id="280" w:name="_Toc23341"/>
      <w:r>
        <w:rPr>
          <w:rFonts w:hint="eastAsia" w:ascii="宋体" w:hAnsi="宋体" w:cs="宋体"/>
          <w:sz w:val="28"/>
          <w:szCs w:val="20"/>
        </w:rPr>
        <w:t>合同条款前附表</w:t>
      </w:r>
      <w:bookmarkEnd w:id="278"/>
      <w:bookmarkEnd w:id="279"/>
      <w:bookmarkEnd w:id="280"/>
    </w:p>
    <w:p>
      <w:pPr>
        <w:pStyle w:val="207"/>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vAlign w:val="center"/>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vAlign w:val="center"/>
          </w:tcPr>
          <w:p>
            <w:pPr>
              <w:pStyle w:val="17"/>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7"/>
              <w:spacing w:line="360" w:lineRule="auto"/>
              <w:ind w:firstLine="480" w:firstLineChars="200"/>
              <w:rPr>
                <w:rFonts w:ascii="宋体" w:hAnsi="宋体" w:cs="宋体"/>
                <w:color w:val="auto"/>
                <w:spacing w:val="4"/>
                <w:kern w:val="2"/>
                <w:highlight w:val="green"/>
                <w:lang w:val="en-US" w:eastAsia="zh-CN"/>
              </w:rPr>
            </w:pPr>
            <w:r>
              <w:rPr>
                <w:rFonts w:hint="eastAsia" w:cs="宋体"/>
                <w:color w:val="auto"/>
                <w:sz w:val="24"/>
                <w:szCs w:val="24"/>
                <w:highlight w:val="none"/>
                <w:lang w:val="en-US" w:eastAsia="zh-CN"/>
              </w:rPr>
              <w:t>出具设计蓝图后，经甲乙双方核实无误后，支付合同货款的90%，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bl>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17"/>
        <w:rPr>
          <w:rFonts w:hint="eastAsia" w:ascii="宋体" w:hAnsi="宋体" w:cs="宋体"/>
          <w:b/>
          <w:bCs/>
          <w:sz w:val="48"/>
          <w:szCs w:val="48"/>
        </w:rPr>
      </w:pPr>
    </w:p>
    <w:p>
      <w:pPr>
        <w:pStyle w:val="17"/>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甘肃省第二人民医院消毒供应中心</w:t>
      </w:r>
      <w:r>
        <w:rPr>
          <w:rFonts w:hint="eastAsia" w:ascii="宋体" w:hAnsi="宋体" w:eastAsia="宋体" w:cs="宋体"/>
          <w:sz w:val="24"/>
          <w:szCs w:val="24"/>
          <w:u w:val="single"/>
          <w:lang w:val="en-US" w:eastAsia="zh-CN"/>
        </w:rPr>
        <w:t>装修改造工程项目设计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80%，待工程竣工验收后，无息支付全部剩余设计费。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pPr>
    </w:p>
    <w:p>
      <w:pPr>
        <w:spacing w:line="360" w:lineRule="auto"/>
        <w:ind w:firstLine="520" w:firstLineChars="200"/>
        <w:textAlignment w:val="baseline"/>
        <w:rPr>
          <w:rFonts w:ascii="宋体" w:hAnsi="宋体" w:cs="宋体"/>
          <w:color w:val="000000"/>
          <w:spacing w:val="10"/>
          <w:sz w:val="24"/>
          <w:szCs w:val="32"/>
        </w:rPr>
      </w:pPr>
    </w:p>
    <w:p>
      <w:pPr>
        <w:spacing w:line="360" w:lineRule="auto"/>
        <w:textAlignment w:val="baseline"/>
        <w:rPr>
          <w:rFonts w:ascii="宋体" w:hAnsi="宋体" w:cs="宋体"/>
          <w:color w:val="000000"/>
          <w:spacing w:val="10"/>
          <w:sz w:val="24"/>
          <w:szCs w:val="32"/>
        </w:rPr>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
        <w:rPr>
          <w:rFonts w:hint="eastAsia"/>
        </w:rPr>
      </w:pPr>
    </w:p>
    <w:p>
      <w:pPr>
        <w:pStyle w:val="17"/>
        <w:rPr>
          <w:rFonts w:hint="eastAsia" w:ascii="宋体" w:hAnsi="宋体" w:cs="宋体"/>
          <w:b/>
          <w:bCs/>
          <w:sz w:val="48"/>
          <w:szCs w:val="48"/>
        </w:rPr>
      </w:pPr>
    </w:p>
    <w:p>
      <w:bookmarkStart w:id="281" w:name="_GoBack"/>
      <w:bookmarkEnd w:id="281"/>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48D2BBA"/>
    <w:multiLevelType w:val="singleLevel"/>
    <w:tmpl w:val="048D2BBA"/>
    <w:lvl w:ilvl="0" w:tentative="0">
      <w:start w:val="4"/>
      <w:numFmt w:val="chineseCounting"/>
      <w:suff w:val="nothing"/>
      <w:lvlText w:val="第%1条、"/>
      <w:lvlJc w:val="left"/>
      <w:rPr>
        <w:rFonts w:hint="eastAsia"/>
      </w:rPr>
    </w:lvl>
  </w:abstractNum>
  <w:abstractNum w:abstractNumId="3">
    <w:nsid w:val="49569766"/>
    <w:multiLevelType w:val="singleLevel"/>
    <w:tmpl w:val="49569766"/>
    <w:lvl w:ilvl="0" w:tentative="0">
      <w:start w:val="2"/>
      <w:numFmt w:val="decimal"/>
      <w:lvlText w:val="%1."/>
      <w:lvlJc w:val="left"/>
      <w:pPr>
        <w:tabs>
          <w:tab w:val="left" w:pos="312"/>
        </w:tabs>
      </w:p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7"/>
  </w:num>
  <w:num w:numId="4">
    <w:abstractNumId w:val="6"/>
  </w:num>
  <w:num w:numId="5">
    <w:abstractNumId w:val="0"/>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83C3E"/>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B5E9A"/>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3481D"/>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5C1279"/>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029D4"/>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53320"/>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8A7802"/>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32005"/>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2E7A"/>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D73D4"/>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655"/>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65AE5"/>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CD3295"/>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B91506"/>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561F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B35F3"/>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D6CC7"/>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0A0350"/>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AD17EB"/>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B393D"/>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5000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7262E"/>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055C"/>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6F6FD0"/>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23F91"/>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5489C"/>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535FD"/>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167C6"/>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7780E"/>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117A4"/>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1"/>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0"/>
    <w:qFormat/>
    <w:uiPriority w:val="99"/>
    <w:pPr>
      <w:spacing w:line="360" w:lineRule="auto"/>
      <w:ind w:firstLine="482" w:firstLineChars="200"/>
      <w:outlineLvl w:val="2"/>
    </w:pPr>
    <w:rPr>
      <w:b/>
      <w:bCs/>
      <w:kern w:val="0"/>
      <w:sz w:val="32"/>
      <w:szCs w:val="32"/>
    </w:rPr>
  </w:style>
  <w:style w:type="paragraph" w:styleId="6">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4"/>
    <w:qFormat/>
    <w:uiPriority w:val="99"/>
    <w:pPr>
      <w:keepNext/>
      <w:keepLines/>
      <w:spacing w:before="240" w:after="64" w:line="320" w:lineRule="auto"/>
      <w:outlineLvl w:val="6"/>
    </w:pPr>
    <w:rPr>
      <w:b/>
      <w:bCs/>
      <w:kern w:val="0"/>
      <w:sz w:val="24"/>
    </w:rPr>
  </w:style>
  <w:style w:type="paragraph" w:styleId="10">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12">
    <w:name w:val="Note Heading"/>
    <w:basedOn w:val="1"/>
    <w:next w:val="1"/>
    <w:link w:val="57"/>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link w:val="59"/>
    <w:qFormat/>
    <w:uiPriority w:val="99"/>
    <w:pPr>
      <w:snapToGrid w:val="0"/>
      <w:spacing w:line="300" w:lineRule="auto"/>
    </w:pPr>
    <w:rPr>
      <w:kern w:val="0"/>
      <w:sz w:val="24"/>
    </w:r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5"/>
    <w:semiHidden/>
    <w:qFormat/>
    <w:locked/>
    <w:uiPriority w:val="99"/>
    <w:rPr>
      <w:rFonts w:cs="Times New Roman"/>
      <w:b/>
      <w:bCs/>
      <w:sz w:val="32"/>
      <w:szCs w:val="32"/>
    </w:rPr>
  </w:style>
  <w:style w:type="character" w:customStyle="1" w:styleId="51">
    <w:name w:val="标题 4 Char"/>
    <w:link w:val="6"/>
    <w:semiHidden/>
    <w:qFormat/>
    <w:locked/>
    <w:uiPriority w:val="99"/>
    <w:rPr>
      <w:rFonts w:ascii="Cambria" w:hAnsi="Cambria" w:eastAsia="宋体" w:cs="黑体"/>
      <w:b/>
      <w:bCs/>
      <w:sz w:val="28"/>
      <w:szCs w:val="28"/>
    </w:rPr>
  </w:style>
  <w:style w:type="character" w:customStyle="1" w:styleId="52">
    <w:name w:val="标题 5 Char"/>
    <w:link w:val="7"/>
    <w:semiHidden/>
    <w:qFormat/>
    <w:locked/>
    <w:uiPriority w:val="99"/>
    <w:rPr>
      <w:rFonts w:cs="Times New Roman"/>
      <w:b/>
      <w:bCs/>
      <w:sz w:val="28"/>
      <w:szCs w:val="28"/>
    </w:rPr>
  </w:style>
  <w:style w:type="character" w:customStyle="1" w:styleId="53">
    <w:name w:val="标题 6 Char"/>
    <w:link w:val="8"/>
    <w:semiHidden/>
    <w:qFormat/>
    <w:locked/>
    <w:uiPriority w:val="99"/>
    <w:rPr>
      <w:rFonts w:ascii="Cambria" w:hAnsi="Cambria" w:eastAsia="宋体" w:cs="黑体"/>
      <w:b/>
      <w:bCs/>
      <w:sz w:val="24"/>
      <w:szCs w:val="24"/>
    </w:rPr>
  </w:style>
  <w:style w:type="character" w:customStyle="1" w:styleId="54">
    <w:name w:val="标题 7 Char"/>
    <w:link w:val="9"/>
    <w:semiHidden/>
    <w:qFormat/>
    <w:locked/>
    <w:uiPriority w:val="99"/>
    <w:rPr>
      <w:rFonts w:cs="Times New Roman"/>
      <w:b/>
      <w:bCs/>
      <w:sz w:val="24"/>
      <w:szCs w:val="24"/>
    </w:rPr>
  </w:style>
  <w:style w:type="character" w:customStyle="1" w:styleId="55">
    <w:name w:val="标题 8 Char"/>
    <w:link w:val="10"/>
    <w:semiHidden/>
    <w:qFormat/>
    <w:locked/>
    <w:uiPriority w:val="99"/>
    <w:rPr>
      <w:rFonts w:ascii="Cambria" w:hAnsi="Cambria" w:eastAsia="宋体" w:cs="黑体"/>
      <w:sz w:val="24"/>
      <w:szCs w:val="24"/>
    </w:rPr>
  </w:style>
  <w:style w:type="character" w:customStyle="1" w:styleId="56">
    <w:name w:val="标题 9 Char"/>
    <w:link w:val="11"/>
    <w:semiHidden/>
    <w:qFormat/>
    <w:locked/>
    <w:uiPriority w:val="99"/>
    <w:rPr>
      <w:rFonts w:ascii="Cambria" w:hAnsi="Cambria" w:eastAsia="宋体" w:cs="黑体"/>
      <w:sz w:val="21"/>
      <w:szCs w:val="21"/>
    </w:rPr>
  </w:style>
  <w:style w:type="character" w:customStyle="1" w:styleId="57">
    <w:name w:val="注释标题 Char"/>
    <w:link w:val="12"/>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3</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2020-03-11T02:06:21Z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