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第二人民医院门诊楼内部装饰装修工程设计招标</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kern w:val="0"/>
          <w:sz w:val="30"/>
          <w:szCs w:val="30"/>
          <w:lang w:val="en-US" w:eastAsia="zh-CN"/>
        </w:rPr>
      </w:pPr>
      <w:r>
        <w:rPr>
          <w:rFonts w:hint="eastAsia" w:ascii="宋体" w:hAnsi="宋体" w:cs="宋体"/>
          <w:b/>
          <w:sz w:val="30"/>
          <w:szCs w:val="30"/>
        </w:rPr>
        <w:t>招标编号</w:t>
      </w:r>
      <w:r>
        <w:rPr>
          <w:rFonts w:hint="eastAsia" w:ascii="宋体" w:hAnsi="宋体" w:cs="宋体"/>
          <w:b/>
          <w:color w:val="000000" w:themeColor="text1"/>
          <w:sz w:val="30"/>
          <w:szCs w:val="30"/>
        </w:rPr>
        <w:t>：</w:t>
      </w:r>
      <w:r>
        <w:rPr>
          <w:rFonts w:hint="eastAsia" w:ascii="宋体" w:hAnsi="宋体" w:cs="宋体"/>
          <w:b/>
          <w:color w:val="000000" w:themeColor="text1"/>
          <w:sz w:val="30"/>
          <w:szCs w:val="30"/>
          <w:lang w:val="en-US" w:eastAsia="zh-CN"/>
        </w:rPr>
        <w:t>SEY-2020YNCG-032</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三</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28372051"/>
      <w:bookmarkStart w:id="3" w:name="_Toc128372729"/>
      <w:bookmarkStart w:id="4" w:name="_Toc139965325"/>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color w:val="auto"/>
          <w:sz w:val="32"/>
          <w:szCs w:val="32"/>
          <w:lang w:eastAsia="zh-CN"/>
        </w:rPr>
      </w:pPr>
      <w:bookmarkStart w:id="6" w:name="_Toc19275"/>
      <w:r>
        <w:rPr>
          <w:rFonts w:hint="eastAsia" w:ascii="宋体" w:hAnsi="宋体" w:cs="宋体"/>
          <w:color w:val="auto"/>
          <w:sz w:val="32"/>
          <w:szCs w:val="32"/>
        </w:rPr>
        <w:t>第一章</w:t>
      </w:r>
      <w:r>
        <w:rPr>
          <w:rFonts w:hint="eastAsia" w:ascii="宋体" w:hAnsi="宋体" w:cs="宋体"/>
          <w:color w:val="auto"/>
          <w:sz w:val="32"/>
          <w:szCs w:val="32"/>
          <w:lang w:val="en-US" w:eastAsia="zh-CN"/>
        </w:rPr>
        <w:t xml:space="preserve">  </w:t>
      </w:r>
      <w:bookmarkEnd w:id="6"/>
      <w:r>
        <w:rPr>
          <w:rFonts w:hint="eastAsia" w:ascii="宋体" w:hAnsi="宋体" w:cs="宋体"/>
          <w:color w:val="auto"/>
          <w:sz w:val="32"/>
          <w:szCs w:val="32"/>
          <w:lang w:eastAsia="zh-CN"/>
        </w:rPr>
        <w:t>招标公告</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lang w:eastAsia="zh-CN"/>
        </w:rPr>
        <w:t>根据我院规划需求，经院主管部门批准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甘肃省第二人民医院门诊楼内部装饰装修改造工程设计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default"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SEY-2020YNCG-032</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b/>
          <w:bCs/>
          <w:color w:val="auto"/>
          <w:sz w:val="24"/>
        </w:rPr>
      </w:pPr>
      <w:r>
        <w:rPr>
          <w:rFonts w:hint="eastAsia" w:ascii="宋体" w:hAnsi="宋体" w:cs="宋体"/>
          <w:b/>
          <w:bCs/>
          <w:color w:val="auto"/>
          <w:sz w:val="24"/>
        </w:rPr>
        <w:t>2.招标内容：</w:t>
      </w:r>
    </w:p>
    <w:p>
      <w:pPr>
        <w:pStyle w:val="19"/>
        <w:keepNext w:val="0"/>
        <w:keepLines w:val="0"/>
        <w:pageBreakBefore w:val="0"/>
        <w:kinsoku/>
        <w:wordWrap/>
        <w:overflowPunct/>
        <w:topLinePunct w:val="0"/>
        <w:autoSpaceDE/>
        <w:autoSpaceDN/>
        <w:bidi w:val="0"/>
        <w:spacing w:before="0" w:beforeAutospacing="0" w:line="420" w:lineRule="exact"/>
        <w:rPr>
          <w:rFonts w:hint="eastAsia" w:ascii="Times New Roman" w:hAnsi="Times New Roman" w:cs="Times New Roman"/>
          <w:color w:val="auto"/>
          <w:sz w:val="24"/>
          <w:szCs w:val="24"/>
          <w:highlight w:val="none"/>
          <w:lang w:eastAsia="zh-CN"/>
        </w:rPr>
      </w:pPr>
      <w:r>
        <w:rPr>
          <w:rFonts w:hint="eastAsia" w:ascii="宋体" w:hAnsi="宋体" w:cs="宋体"/>
          <w:bCs/>
          <w:color w:val="auto"/>
          <w:sz w:val="24"/>
          <w:lang w:eastAsia="zh-CN"/>
        </w:rPr>
        <w:t>门诊楼内部装饰装修改造工程设计</w:t>
      </w:r>
      <w:r>
        <w:rPr>
          <w:rFonts w:hint="eastAsia" w:ascii="Times New Roman" w:hAnsi="Times New Roman" w:cs="Times New Roman"/>
          <w:color w:val="auto"/>
          <w:sz w:val="24"/>
          <w:szCs w:val="24"/>
          <w:highlight w:val="none"/>
          <w:lang w:eastAsia="zh-CN"/>
        </w:rPr>
        <w:t>公司</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color w:val="auto"/>
          <w:sz w:val="24"/>
        </w:rPr>
        <w:t>(具体招标要求详见招标文件)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eastAsia="宋体" w:cs="宋体"/>
          <w:color w:val="auto"/>
          <w:sz w:val="24"/>
          <w:lang w:eastAsia="zh-CN"/>
        </w:rPr>
      </w:pPr>
      <w:r>
        <w:rPr>
          <w:rFonts w:hint="eastAsia" w:ascii="宋体" w:hAnsi="宋体" w:cs="宋体"/>
          <w:color w:val="auto"/>
          <w:kern w:val="2"/>
          <w:sz w:val="24"/>
          <w:szCs w:val="24"/>
          <w:highlight w:val="none"/>
          <w:lang w:val="en-US" w:eastAsia="zh-CN" w:bidi="ar-SA"/>
        </w:rPr>
        <w:t>2）设计公司需具有工程设计建筑装饰工程专项乙级及以上资质（复印件加盖公章）；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）本项目不接受联合体投标。</w:t>
      </w:r>
    </w:p>
    <w:p>
      <w:pPr>
        <w:spacing w:line="360" w:lineRule="auto"/>
        <w:rPr>
          <w:rFonts w:hint="eastAsia" w:ascii="宋体" w:hAnsi="宋体" w:eastAsia="宋体" w:cs="宋体"/>
          <w:color w:val="auto"/>
          <w:sz w:val="24"/>
          <w:lang w:val="en-US"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bCs/>
          <w:color w:val="auto"/>
          <w:sz w:val="24"/>
          <w:lang w:val="en-US" w:eastAsia="zh-CN"/>
        </w:rPr>
        <w:t>/</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23</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17</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3</w:t>
      </w:r>
      <w:r>
        <w:rPr>
          <w:rFonts w:hint="eastAsia" w:ascii="宋体" w:hAnsi="宋体" w:cs="宋体"/>
          <w:color w:val="auto"/>
          <w:kern w:val="0"/>
          <w:sz w:val="24"/>
        </w:rPr>
        <w:t>月</w:t>
      </w:r>
      <w:r>
        <w:rPr>
          <w:rFonts w:hint="eastAsia" w:ascii="宋体" w:hAnsi="宋体" w:cs="宋体"/>
          <w:color w:val="auto"/>
          <w:kern w:val="0"/>
          <w:sz w:val="24"/>
          <w:lang w:val="en-US" w:eastAsia="zh-CN"/>
        </w:rPr>
        <w:t>23</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4</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7</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052"/>
      <w:bookmarkStart w:id="9" w:name="_Toc128372730"/>
      <w:bookmarkStart w:id="10" w:name="_Toc139965326"/>
      <w:bookmarkStart w:id="11" w:name="_Toc327439435"/>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bCs/>
                <w:color w:val="auto"/>
                <w:sz w:val="24"/>
                <w:lang w:eastAsia="zh-CN"/>
              </w:rPr>
              <w:t>甘肃省第二人民医院门诊楼内部装饰装修改造工程设计</w:t>
            </w:r>
            <w:r>
              <w:rPr>
                <w:rFonts w:hint="eastAsia" w:ascii="宋体" w:hAnsi="宋体" w:cs="宋体"/>
                <w:bCs/>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lang w:eastAsia="zh-CN"/>
              </w:rPr>
              <w:t>招标文件</w:t>
            </w:r>
            <w:r>
              <w:rPr>
                <w:rFonts w:hint="eastAsia" w:ascii="宋体" w:hAnsi="宋体" w:cs="宋体"/>
                <w:sz w:val="24"/>
                <w:szCs w:val="30"/>
              </w:rPr>
              <w:t>编号</w:t>
            </w:r>
          </w:p>
        </w:tc>
        <w:tc>
          <w:tcPr>
            <w:tcW w:w="6245" w:type="dxa"/>
            <w:tcBorders>
              <w:tl2br w:val="nil"/>
              <w:tr2bl w:val="nil"/>
            </w:tcBorders>
            <w:vAlign w:val="center"/>
          </w:tcPr>
          <w:p>
            <w:pPr>
              <w:spacing w:line="360" w:lineRule="auto"/>
              <w:rPr>
                <w:rFonts w:hint="default" w:ascii="宋体" w:hAnsi="宋体" w:eastAsia="仿宋" w:cs="宋体"/>
                <w:sz w:val="24"/>
                <w:lang w:val="en-US" w:eastAsia="zh-CN"/>
              </w:rPr>
            </w:pPr>
            <w:r>
              <w:rPr>
                <w:rFonts w:hint="eastAsia" w:ascii="仿宋" w:hAnsi="仿宋" w:eastAsia="仿宋" w:cs="仿宋"/>
                <w:b w:val="0"/>
                <w:bCs/>
                <w:color w:val="auto"/>
                <w:sz w:val="28"/>
                <w:szCs w:val="28"/>
              </w:rPr>
              <w:t>S</w:t>
            </w:r>
            <w:r>
              <w:rPr>
                <w:rFonts w:hint="eastAsia" w:ascii="仿宋" w:hAnsi="仿宋" w:eastAsia="仿宋" w:cs="仿宋"/>
                <w:b w:val="0"/>
                <w:bCs/>
                <w:color w:val="auto"/>
                <w:sz w:val="28"/>
                <w:szCs w:val="28"/>
                <w:lang w:val="en-US" w:eastAsia="zh-CN"/>
              </w:rPr>
              <w:t>E</w:t>
            </w:r>
            <w:r>
              <w:rPr>
                <w:rFonts w:hint="eastAsia" w:ascii="仿宋" w:hAnsi="仿宋" w:eastAsia="仿宋" w:cs="仿宋"/>
                <w:b w:val="0"/>
                <w:bCs/>
                <w:color w:val="auto"/>
                <w:sz w:val="28"/>
                <w:szCs w:val="28"/>
              </w:rPr>
              <w:t>Y-20</w:t>
            </w:r>
            <w:r>
              <w:rPr>
                <w:rFonts w:hint="eastAsia" w:ascii="仿宋" w:hAnsi="仿宋" w:eastAsia="仿宋" w:cs="仿宋"/>
                <w:b w:val="0"/>
                <w:bCs/>
                <w:color w:val="auto"/>
                <w:sz w:val="28"/>
                <w:szCs w:val="28"/>
                <w:lang w:val="en-US" w:eastAsia="zh-CN"/>
              </w:rPr>
              <w:t>20</w:t>
            </w:r>
            <w:r>
              <w:rPr>
                <w:rFonts w:hint="eastAsia" w:ascii="仿宋" w:hAnsi="仿宋" w:eastAsia="仿宋" w:cs="仿宋"/>
                <w:b w:val="0"/>
                <w:bCs/>
                <w:color w:val="auto"/>
                <w:sz w:val="28"/>
                <w:szCs w:val="28"/>
              </w:rPr>
              <w:t>YNCG-0</w:t>
            </w:r>
            <w:r>
              <w:rPr>
                <w:rFonts w:hint="eastAsia" w:ascii="仿宋" w:hAnsi="仿宋" w:eastAsia="仿宋" w:cs="仿宋"/>
                <w:b w:val="0"/>
                <w:bCs/>
                <w:color w:val="auto"/>
                <w:sz w:val="28"/>
                <w:szCs w:val="28"/>
                <w:lang w:val="en-US" w:eastAsia="zh-CN"/>
              </w:rPr>
              <w:t>32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eastAsia="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numPr>
                <w:ilvl w:val="0"/>
                <w:numId w:val="0"/>
              </w:numPr>
              <w:spacing w:line="360" w:lineRule="auto"/>
              <w:ind w:left="480" w:leftChars="0"/>
              <w:rPr>
                <w:rFonts w:hint="eastAsia" w:ascii="宋体" w:hAnsi="宋体" w:eastAsia="宋体" w:cs="宋体"/>
                <w:color w:val="auto"/>
                <w:sz w:val="24"/>
                <w:lang w:eastAsia="zh-CN"/>
              </w:rPr>
            </w:pPr>
            <w:r>
              <w:rPr>
                <w:rFonts w:hint="eastAsia" w:ascii="宋体" w:hAnsi="宋体" w:cs="宋体"/>
                <w:color w:val="auto"/>
                <w:kern w:val="2"/>
                <w:sz w:val="24"/>
                <w:szCs w:val="24"/>
                <w:highlight w:val="none"/>
                <w:lang w:val="en-US" w:eastAsia="zh-CN" w:bidi="ar-SA"/>
              </w:rPr>
              <w:t>2）设计公司需具有工程设计建筑装饰工程专项乙级及以上资质（复印件加盖公章）；</w:t>
            </w:r>
          </w:p>
          <w:p>
            <w:pPr>
              <w:spacing w:line="360" w:lineRule="auto"/>
              <w:ind w:firstLine="480" w:firstLineChars="200"/>
              <w:rPr>
                <w:rFonts w:ascii="宋体" w:hAnsi="宋体" w:cs="宋体"/>
                <w:color w:val="auto"/>
                <w:sz w:val="24"/>
              </w:rPr>
            </w:pPr>
            <w:r>
              <w:rPr>
                <w:rFonts w:hint="eastAsia" w:ascii="宋体" w:hAnsi="宋体" w:cs="宋体"/>
                <w:color w:val="auto"/>
                <w:sz w:val="24"/>
                <w:lang w:val="en-US" w:eastAsia="zh-CN"/>
              </w:rPr>
              <w:t>3</w:t>
            </w:r>
            <w:r>
              <w:rPr>
                <w:rFonts w:hint="eastAsia" w:ascii="宋体" w:hAnsi="宋体" w:cs="宋体"/>
                <w:color w:val="auto"/>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lang w:eastAsia="zh-CN"/>
              </w:rPr>
              <w:t>招标文件</w:t>
            </w:r>
            <w:r>
              <w:rPr>
                <w:rFonts w:hint="eastAsia"/>
                <w:kern w:val="2"/>
              </w:rPr>
              <w:t>的澄清、修改书及有关补充通知为</w:t>
            </w:r>
            <w:r>
              <w:rPr>
                <w:rFonts w:hint="eastAsia"/>
                <w:kern w:val="2"/>
                <w:lang w:eastAsia="zh-CN"/>
              </w:rPr>
              <w:t>招标文件</w:t>
            </w:r>
            <w:r>
              <w:rPr>
                <w:rFonts w:hint="eastAsia"/>
                <w:kern w:val="2"/>
              </w:rPr>
              <w:t>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themeColor="text1"/>
                <w:sz w:val="24"/>
                <w:szCs w:val="24"/>
              </w:rPr>
              <w:t>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eastAsia="宋体" w:cs="宋体"/>
                <w:b w:val="0"/>
                <w:bCs w:val="0"/>
                <w:color w:val="000000" w:themeColor="text1"/>
                <w:sz w:val="24"/>
                <w:szCs w:val="24"/>
                <w:lang w:val="en-US" w:eastAsia="zh-CN"/>
              </w:rPr>
              <w:t>4</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7</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4</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7</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：00</w:t>
            </w:r>
            <w:r>
              <w:rPr>
                <w:rFonts w:hint="eastAsia" w:ascii="宋体" w:hAnsi="宋体" w:cs="宋体"/>
                <w:b w:val="0"/>
                <w:bCs w:val="0"/>
                <w:color w:val="000000" w:themeColor="text1"/>
                <w:kern w:val="0"/>
                <w:sz w:val="24"/>
                <w:szCs w:val="22"/>
              </w:rPr>
              <w:t>分</w:t>
            </w:r>
            <w:r>
              <w:rPr>
                <w:rFonts w:hint="eastAsia" w:ascii="宋体" w:hAnsi="宋体" w:cs="宋体"/>
                <w:b w:val="0"/>
                <w:bCs w:val="0"/>
                <w:color w:val="000000" w:themeColor="text1"/>
                <w:spacing w:val="10"/>
                <w:sz w:val="24"/>
              </w:rPr>
              <w:t>（北京时间）</w:t>
            </w:r>
          </w:p>
          <w:p>
            <w:pPr>
              <w:spacing w:line="360" w:lineRule="auto"/>
              <w:rPr>
                <w:rFonts w:ascii="宋体" w:hAnsi="宋体" w:cs="宋体"/>
                <w:color w:val="auto"/>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spacing w:line="360" w:lineRule="auto"/>
              <w:rPr>
                <w:rFonts w:hint="eastAsia" w:ascii="宋体" w:hAnsi="宋体" w:cs="宋体"/>
                <w:color w:val="auto"/>
                <w:sz w:val="24"/>
                <w:highlight w:val="none"/>
                <w:lang w:val="zh-CN"/>
              </w:rPr>
            </w:pP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80%，待工程竣工验收后，无息支付全部剩余设计费。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eastAsia="宋体" w:cs="宋体"/>
                <w:spacing w:val="10"/>
                <w:sz w:val="24"/>
                <w:lang w:eastAsia="zh-CN"/>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p>
    <w:p>
      <w:pPr>
        <w:pStyle w:val="3"/>
        <w:jc w:val="center"/>
        <w:rPr>
          <w:rFonts w:hint="eastAsia" w:ascii="宋体" w:hAnsi="宋体" w:cs="宋体"/>
          <w:sz w:val="32"/>
          <w:szCs w:val="32"/>
        </w:rPr>
      </w:pPr>
      <w:bookmarkStart w:id="278" w:name="_GoBack"/>
      <w:bookmarkEnd w:id="278"/>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3"/>
        <w:jc w:val="center"/>
        <w:rPr>
          <w:rFonts w:hint="eastAsia" w:ascii="宋体" w:hAnsi="宋体" w:cs="宋体"/>
          <w:sz w:val="32"/>
          <w:szCs w:val="32"/>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8673"/>
      <w:bookmarkStart w:id="15" w:name="_Toc23166"/>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058"/>
      <w:bookmarkStart w:id="22" w:name="_Toc139965332"/>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217446039"/>
      <w:bookmarkStart w:id="30" w:name="_Toc183582210"/>
      <w:bookmarkStart w:id="31" w:name="_Toc183682347"/>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auto"/>
          <w:lang w:val="zh-CN"/>
        </w:rPr>
        <w:t>招标公告；</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582213"/>
      <w:bookmarkStart w:id="40" w:name="_Toc208848971"/>
      <w:bookmarkStart w:id="41" w:name="_Toc183682350"/>
      <w:bookmarkStart w:id="42" w:name="_Toc217446041"/>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30906"/>
      <w:bookmarkStart w:id="44" w:name="_Toc14435"/>
      <w:r>
        <w:rPr>
          <w:rFonts w:hint="eastAsia" w:ascii="宋体" w:hAnsi="宋体" w:cs="宋体"/>
          <w:color w:val="FF0000"/>
          <w:sz w:val="24"/>
          <w:lang w:val="zh-CN"/>
        </w:rPr>
        <w:t>现场踏勘（本项目需要</w:t>
      </w:r>
      <w:r>
        <w:rPr>
          <w:rFonts w:hint="eastAsia" w:ascii="宋体" w:hAnsi="宋体" w:cs="宋体"/>
          <w:color w:val="FF0000"/>
          <w:sz w:val="24"/>
          <w:lang w:val="zh-CN" w:eastAsia="zh-CN"/>
        </w:rPr>
        <w:t>踏勘现场，具体时间另行通知</w:t>
      </w:r>
      <w:r>
        <w:rPr>
          <w:rFonts w:hint="eastAsia" w:ascii="宋体" w:hAnsi="宋体" w:cs="宋体"/>
          <w:color w:val="FF0000"/>
          <w:sz w:val="24"/>
          <w:lang w:val="zh-CN"/>
        </w:rPr>
        <w:t>）</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77400780"/>
      <w:bookmarkStart w:id="46" w:name="_Toc183582214"/>
      <w:bookmarkStart w:id="47" w:name="_Toc217446042"/>
      <w:bookmarkStart w:id="48" w:name="_Toc89075876"/>
      <w:bookmarkStart w:id="49" w:name="_Toc183682351"/>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682352"/>
      <w:bookmarkStart w:id="52" w:name="_Toc217446043"/>
      <w:bookmarkStart w:id="53" w:name="_Toc183582215"/>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4857"/>
      <w:bookmarkStart w:id="66" w:name="_Toc24706"/>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13413"/>
      <w:bookmarkStart w:id="69" w:name="_Toc20228"/>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682354"/>
      <w:bookmarkStart w:id="72" w:name="_Toc183582217"/>
    </w:p>
    <w:p>
      <w:pPr>
        <w:pStyle w:val="4"/>
        <w:jc w:val="both"/>
        <w:rPr>
          <w:rFonts w:ascii="宋体" w:hAnsi="宋体" w:cs="宋体"/>
          <w:sz w:val="24"/>
          <w:lang w:val="zh-CN"/>
        </w:rPr>
      </w:pPr>
      <w:bookmarkStart w:id="73" w:name="_Toc14077"/>
      <w:bookmarkStart w:id="74" w:name="_Toc30454"/>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rFonts w:hint="eastAsia" w:ascii="宋体" w:hAnsi="宋体" w:eastAsia="宋体" w:cs="宋体"/>
          <w:lang w:val="zh-CN"/>
        </w:rPr>
      </w:pPr>
      <w:r>
        <w:rPr>
          <w:rFonts w:hint="eastAsia"/>
          <w:b/>
          <w:lang w:val="zh-CN"/>
        </w:rPr>
        <w:t>1</w:t>
      </w:r>
      <w:r>
        <w:rPr>
          <w:rFonts w:hint="eastAsia"/>
          <w:b/>
          <w:bCs/>
          <w:lang w:val="zh-CN"/>
        </w:rPr>
        <w:t>3.2技术部分:</w:t>
      </w:r>
      <w:r>
        <w:rPr>
          <w:rFonts w:hint="eastAsia" w:ascii="宋体" w:hAnsi="宋体" w:eastAsia="宋体" w:cs="宋体"/>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1</w:t>
      </w:r>
      <w:r>
        <w:rPr>
          <w:rFonts w:hint="eastAsia" w:ascii="宋体" w:hAnsi="宋体" w:eastAsia="宋体" w:cs="宋体"/>
          <w:lang w:val="zh-CN"/>
        </w:rPr>
        <w:t>）技术方案、项目实施方案；</w:t>
      </w:r>
    </w:p>
    <w:p>
      <w:pPr>
        <w:pStyle w:val="207"/>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）技术偏离表；</w:t>
      </w:r>
    </w:p>
    <w:p>
      <w:pPr>
        <w:pStyle w:val="207"/>
        <w:spacing w:line="360" w:lineRule="auto"/>
        <w:ind w:firstLine="480" w:firstLineChars="200"/>
        <w:jc w:val="both"/>
        <w:rPr>
          <w:rFonts w:hint="eastAsia" w:ascii="宋体" w:hAnsi="宋体" w:eastAsia="宋体" w:cs="宋体"/>
          <w:highlight w:val="green"/>
          <w:lang w:val="zh-CN"/>
        </w:rPr>
      </w:pPr>
      <w:r>
        <w:rPr>
          <w:rFonts w:hint="eastAsia" w:ascii="宋体" w:hAnsi="宋体" w:eastAsia="宋体" w:cs="宋体"/>
          <w:lang w:val="zh-CN"/>
        </w:rPr>
        <w:t>（</w:t>
      </w:r>
      <w:r>
        <w:rPr>
          <w:rFonts w:hint="eastAsia" w:cs="宋体"/>
          <w:lang w:val="en-US" w:eastAsia="zh-CN"/>
        </w:rPr>
        <w:t>3</w:t>
      </w:r>
      <w:r>
        <w:rPr>
          <w:rFonts w:hint="eastAsia" w:ascii="宋体" w:hAnsi="宋体" w:eastAsia="宋体" w:cs="宋体"/>
          <w:lang w:val="zh-CN"/>
        </w:rPr>
        <w:t>）投标人认为需要提供的文件和资料。</w:t>
      </w:r>
    </w:p>
    <w:p>
      <w:pPr>
        <w:pStyle w:val="207"/>
        <w:spacing w:line="360" w:lineRule="auto"/>
        <w:ind w:firstLine="480" w:firstLineChars="200"/>
        <w:jc w:val="both"/>
        <w:rPr>
          <w:highlight w:val="green"/>
          <w:lang w:val="zh-CN"/>
        </w:rPr>
      </w:pP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183682355"/>
      <w:bookmarkStart w:id="76" w:name="_Toc183582218"/>
      <w:bookmarkStart w:id="77" w:name="_Toc28852"/>
      <w:bookmarkStart w:id="78" w:name="_Toc217446049"/>
      <w:bookmarkStart w:id="79" w:name="_Toc29764"/>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8500"/>
      <w:bookmarkStart w:id="86" w:name="_Toc183582224"/>
      <w:bookmarkStart w:id="87" w:name="_Toc183682361"/>
      <w:bookmarkStart w:id="88" w:name="_Toc31286"/>
      <w:bookmarkStart w:id="89" w:name="_Toc217446051"/>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582225"/>
      <w:bookmarkStart w:id="91" w:name="_Toc217446052"/>
      <w:bookmarkStart w:id="92" w:name="_Toc18368236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sz w:val="24"/>
          <w:lang w:val="zh-CN"/>
        </w:rPr>
      </w:pPr>
      <w:bookmarkStart w:id="100" w:name="_Toc22719"/>
      <w:bookmarkStart w:id="101" w:name="_Toc17395"/>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682364"/>
      <w:bookmarkStart w:id="103" w:name="_Toc183582227"/>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644"/>
      <w:bookmarkStart w:id="111" w:name="_Toc15716"/>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217446057"/>
      <w:bookmarkStart w:id="114" w:name="_Toc183582232"/>
      <w:bookmarkStart w:id="115" w:name="_Toc183682369"/>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7"/>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20981"/>
      <w:bookmarkStart w:id="120" w:name="_Toc7344"/>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7"/>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7"/>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4921"/>
      <w:bookmarkStart w:id="124" w:name="_Toc25683"/>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056"/>
      <w:bookmarkStart w:id="139" w:name="_Toc217446066"/>
      <w:bookmarkStart w:id="140" w:name="_Toc19334"/>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22507"/>
      <w:bookmarkStart w:id="143" w:name="_Toc13021"/>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3216"/>
      <w:bookmarkStart w:id="159" w:name="_Toc22938"/>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25131"/>
      <w:bookmarkStart w:id="164" w:name="_Toc8012"/>
      <w:bookmarkStart w:id="165" w:name="_Toc32433"/>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23620"/>
      <w:bookmarkStart w:id="167" w:name="_Toc1308"/>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28450"/>
      <w:bookmarkStart w:id="176" w:name="_Toc8333"/>
      <w:bookmarkStart w:id="177" w:name="_Toc16202"/>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jc w:val="center"/>
        <w:rPr>
          <w:rFonts w:hint="eastAsia" w:ascii="宋体" w:hAnsi="宋体" w:eastAsia="宋体" w:cs="宋体"/>
          <w:b/>
          <w:bCs/>
          <w:sz w:val="28"/>
          <w:szCs w:val="28"/>
        </w:rPr>
      </w:pPr>
      <w:r>
        <w:rPr>
          <w:rFonts w:hint="eastAsia" w:ascii="宋体" w:hAnsi="宋体" w:cs="宋体"/>
          <w:b/>
          <w:bCs/>
          <w:sz w:val="28"/>
          <w:szCs w:val="28"/>
          <w:lang w:eastAsia="zh-CN"/>
        </w:rPr>
        <w:t>门诊楼内部装饰装修</w:t>
      </w:r>
      <w:r>
        <w:rPr>
          <w:rFonts w:hint="eastAsia" w:ascii="宋体" w:hAnsi="宋体" w:eastAsia="宋体" w:cs="宋体"/>
          <w:b/>
          <w:bCs/>
          <w:sz w:val="28"/>
          <w:szCs w:val="28"/>
        </w:rPr>
        <w:t>设计基本要求</w:t>
      </w:r>
    </w:p>
    <w:p>
      <w:pPr>
        <w:pStyle w:val="28"/>
        <w:rPr>
          <w:rFonts w:hint="eastAsia"/>
        </w:rPr>
      </w:pPr>
    </w:p>
    <w:p>
      <w:pPr>
        <w:pStyle w:val="3"/>
        <w:numPr>
          <w:ilvl w:val="0"/>
          <w:numId w:val="0"/>
        </w:numPr>
        <w:jc w:val="left"/>
        <w:rPr>
          <w:rFonts w:hint="eastAsia" w:ascii="宋体" w:hAnsi="宋体" w:cs="宋体"/>
          <w:b w:val="0"/>
          <w:bCs w:val="0"/>
          <w:sz w:val="24"/>
          <w:szCs w:val="24"/>
          <w:lang w:eastAsia="zh-CN"/>
        </w:rPr>
      </w:pPr>
      <w:bookmarkStart w:id="180" w:name="_Toc20396"/>
      <w:r>
        <w:rPr>
          <w:rFonts w:hint="eastAsia" w:ascii="宋体" w:hAnsi="宋体" w:cs="宋体"/>
          <w:b w:val="0"/>
          <w:bCs w:val="0"/>
          <w:sz w:val="24"/>
          <w:szCs w:val="24"/>
          <w:lang w:val="en-US" w:eastAsia="zh-CN"/>
        </w:rPr>
        <w:t>1.</w:t>
      </w:r>
      <w:r>
        <w:rPr>
          <w:rFonts w:hint="eastAsia" w:ascii="宋体" w:hAnsi="宋体" w:cs="宋体"/>
          <w:b w:val="0"/>
          <w:bCs w:val="0"/>
          <w:sz w:val="24"/>
          <w:szCs w:val="24"/>
          <w:lang w:eastAsia="zh-CN"/>
        </w:rPr>
        <w:t>报名结束后统一踏勘现场，未参与踏勘现场的投标商视为无效投标，踏勘现场时统一答复有关问题，并对设计工作做统一要求，投标商根据踏勘现场实际情况进行报价。</w:t>
      </w:r>
    </w:p>
    <w:p>
      <w:pPr>
        <w:numPr>
          <w:ilvl w:val="0"/>
          <w:numId w:val="0"/>
        </w:numPr>
        <w:rPr>
          <w:rFonts w:hint="eastAsia" w:ascii="宋体" w:hAnsi="宋体" w:eastAsia="宋体" w:cs="宋体"/>
          <w:sz w:val="24"/>
          <w:szCs w:val="32"/>
          <w:lang w:eastAsia="zh-CN"/>
        </w:rPr>
      </w:pPr>
      <w:r>
        <w:rPr>
          <w:rFonts w:hint="eastAsia" w:ascii="宋体" w:hAnsi="宋体" w:eastAsia="宋体" w:cs="宋体"/>
          <w:sz w:val="24"/>
          <w:szCs w:val="32"/>
          <w:lang w:val="en-US" w:eastAsia="zh-CN"/>
        </w:rPr>
        <w:t>2.</w:t>
      </w:r>
      <w:r>
        <w:rPr>
          <w:rFonts w:hint="eastAsia" w:ascii="宋体" w:hAnsi="宋体" w:eastAsia="宋体" w:cs="宋体"/>
          <w:sz w:val="24"/>
          <w:szCs w:val="32"/>
          <w:lang w:eastAsia="zh-CN"/>
        </w:rPr>
        <w:t>投标文件中需阐明设计方案及设计后的效果图纸。中标单位需提供纸质版和电子版的施工图纸，竣工后提供电子版及纸质版图纸。</w:t>
      </w:r>
    </w:p>
    <w:p>
      <w:pPr>
        <w:pStyle w:val="28"/>
        <w:ind w:left="0" w:leftChars="0" w:firstLine="0" w:firstLineChars="0"/>
        <w:rPr>
          <w:rFonts w:hint="default"/>
          <w:lang w:val="en-US" w:eastAsia="zh-CN"/>
        </w:rPr>
      </w:pPr>
    </w:p>
    <w:p>
      <w:pPr>
        <w:pStyle w:val="28"/>
        <w:ind w:left="0" w:leftChars="0" w:firstLine="0" w:firstLineChars="0"/>
        <w:rPr>
          <w:rFonts w:hint="eastAsia"/>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ascii="宋体" w:hAnsi="宋体" w:cs="宋体"/>
          <w:sz w:val="32"/>
          <w:szCs w:val="32"/>
          <w:lang w:eastAsia="zh-CN"/>
        </w:rPr>
      </w:pPr>
    </w:p>
    <w:p>
      <w:pPr>
        <w:pStyle w:val="28"/>
        <w:rPr>
          <w:rFonts w:hint="eastAsia" w:ascii="宋体" w:hAnsi="宋体" w:cs="宋体"/>
          <w:sz w:val="32"/>
          <w:szCs w:val="32"/>
          <w:lang w:eastAsia="zh-CN"/>
        </w:rPr>
      </w:pPr>
    </w:p>
    <w:p>
      <w:pPr>
        <w:rPr>
          <w:rFonts w:hint="eastAsia"/>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七、设计公司需具有工程设计建筑装饰工程专项乙级及以上资质（复印件加盖公章）；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八、</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九</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25803"/>
      <w:bookmarkStart w:id="183" w:name="_Toc9747"/>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31035"/>
      <w:bookmarkStart w:id="188" w:name="_Toc11058"/>
      <w:bookmarkStart w:id="189" w:name="_Toc217446098"/>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p>
      <w:pPr>
        <w:pStyle w:val="28"/>
        <w:rPr>
          <w:rFonts w:hint="eastAsia" w:ascii="宋体" w:hAnsi="宋体" w:cs="宋体"/>
          <w:sz w:val="24"/>
        </w:rPr>
      </w:pPr>
    </w:p>
    <w:p>
      <w:pPr>
        <w:rPr>
          <w:rFonts w:hint="eastAsia"/>
        </w:rPr>
      </w:pPr>
    </w:p>
    <w:p>
      <w:pPr>
        <w:pStyle w:val="28"/>
        <w:rPr>
          <w:rFonts w:hint="eastAsia" w:ascii="宋体" w:hAnsi="宋体" w:cs="宋体"/>
          <w:sz w:val="24"/>
        </w:rPr>
      </w:pPr>
    </w:p>
    <w:p>
      <w:pPr>
        <w:rPr>
          <w:rFonts w:hint="eastAsia"/>
        </w:rPr>
      </w:pPr>
    </w:p>
    <w:tbl>
      <w:tblPr>
        <w:tblStyle w:val="35"/>
        <w:tblW w:w="5008"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0" w:type="dxa"/>
          <w:bottom w:w="0" w:type="dxa"/>
          <w:right w:w="0" w:type="dxa"/>
        </w:tblCellMar>
      </w:tblPr>
      <w:tblGrid>
        <w:gridCol w:w="719"/>
        <w:gridCol w:w="1273"/>
        <w:gridCol w:w="1236"/>
        <w:gridCol w:w="569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44" w:hRule="atLeast"/>
          <w:jc w:val="center"/>
        </w:trPr>
        <w:tc>
          <w:tcPr>
            <w:tcW w:w="403" w:type="pct"/>
          </w:tcPr>
          <w:p>
            <w:pPr>
              <w:spacing w:line="360" w:lineRule="auto"/>
              <w:jc w:val="center"/>
              <w:rPr>
                <w:rFonts w:hint="eastAsia"/>
                <w:b/>
                <w:bCs/>
                <w:sz w:val="28"/>
                <w:szCs w:val="36"/>
              </w:rPr>
            </w:pPr>
            <w:r>
              <w:rPr>
                <w:rFonts w:hint="eastAsia"/>
                <w:b/>
                <w:bCs/>
                <w:sz w:val="28"/>
                <w:szCs w:val="36"/>
              </w:rPr>
              <w:t>序号</w:t>
            </w:r>
          </w:p>
        </w:tc>
        <w:tc>
          <w:tcPr>
            <w:tcW w:w="713" w:type="pct"/>
          </w:tcPr>
          <w:p>
            <w:pPr>
              <w:spacing w:line="360" w:lineRule="auto"/>
              <w:jc w:val="center"/>
              <w:rPr>
                <w:rFonts w:hint="eastAsia"/>
                <w:b/>
                <w:bCs/>
                <w:sz w:val="28"/>
                <w:szCs w:val="36"/>
              </w:rPr>
            </w:pPr>
            <w:r>
              <w:rPr>
                <w:rFonts w:hint="eastAsia"/>
                <w:b/>
                <w:bCs/>
                <w:sz w:val="28"/>
                <w:szCs w:val="36"/>
              </w:rPr>
              <w:t>评分项目</w:t>
            </w:r>
          </w:p>
        </w:tc>
        <w:tc>
          <w:tcPr>
            <w:tcW w:w="692" w:type="pct"/>
          </w:tcPr>
          <w:p>
            <w:pPr>
              <w:spacing w:line="360" w:lineRule="auto"/>
              <w:jc w:val="center"/>
              <w:rPr>
                <w:rFonts w:hint="eastAsia"/>
                <w:b/>
                <w:bCs/>
                <w:sz w:val="28"/>
                <w:szCs w:val="36"/>
              </w:rPr>
            </w:pPr>
            <w:r>
              <w:rPr>
                <w:rFonts w:hint="eastAsia"/>
                <w:b/>
                <w:bCs/>
                <w:sz w:val="28"/>
                <w:szCs w:val="36"/>
              </w:rPr>
              <w:t>基础分值</w:t>
            </w:r>
          </w:p>
        </w:tc>
        <w:tc>
          <w:tcPr>
            <w:tcW w:w="3190" w:type="pct"/>
          </w:tcPr>
          <w:p>
            <w:pPr>
              <w:spacing w:line="360" w:lineRule="auto"/>
              <w:jc w:val="center"/>
              <w:rPr>
                <w:rFonts w:hint="eastAsia"/>
                <w:b/>
                <w:bCs/>
                <w:sz w:val="28"/>
                <w:szCs w:val="36"/>
              </w:rPr>
            </w:pPr>
            <w:r>
              <w:rPr>
                <w:rFonts w:hint="eastAsia"/>
                <w:b/>
                <w:bCs/>
                <w:sz w:val="28"/>
                <w:szCs w:val="36"/>
              </w:rPr>
              <w:t>评分标准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6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1</w:t>
            </w:r>
          </w:p>
        </w:tc>
        <w:tc>
          <w:tcPr>
            <w:tcW w:w="713" w:type="pct"/>
          </w:tcPr>
          <w:p>
            <w:pPr>
              <w:spacing w:line="360" w:lineRule="auto"/>
              <w:rPr>
                <w:rFonts w:hint="eastAsia"/>
                <w:sz w:val="24"/>
                <w:szCs w:val="32"/>
              </w:rPr>
            </w:pPr>
            <w:r>
              <w:rPr>
                <w:rFonts w:hint="eastAsia"/>
                <w:sz w:val="24"/>
                <w:szCs w:val="32"/>
              </w:rPr>
              <w:t>价格评审</w:t>
            </w:r>
          </w:p>
          <w:p>
            <w:pPr>
              <w:spacing w:line="360" w:lineRule="auto"/>
              <w:rPr>
                <w:rFonts w:hint="eastAsia"/>
                <w:sz w:val="24"/>
                <w:szCs w:val="32"/>
              </w:rPr>
            </w:pPr>
            <w:r>
              <w:rPr>
                <w:rFonts w:hint="eastAsia"/>
                <w:sz w:val="24"/>
                <w:szCs w:val="32"/>
              </w:rPr>
              <w:t>（</w:t>
            </w:r>
            <w:r>
              <w:rPr>
                <w:rFonts w:hint="eastAsia"/>
                <w:sz w:val="24"/>
                <w:szCs w:val="32"/>
                <w:lang w:val="en-US" w:eastAsia="zh-CN"/>
              </w:rPr>
              <w:t>20</w:t>
            </w:r>
            <w:r>
              <w:rPr>
                <w:rFonts w:hint="eastAsia"/>
                <w:sz w:val="24"/>
                <w:szCs w:val="32"/>
              </w:rPr>
              <w:t xml:space="preserve"> 分）</w:t>
            </w:r>
          </w:p>
        </w:tc>
        <w:tc>
          <w:tcPr>
            <w:tcW w:w="692" w:type="pct"/>
            <w:vAlign w:val="center"/>
          </w:tcPr>
          <w:p>
            <w:pPr>
              <w:spacing w:line="360" w:lineRule="auto"/>
              <w:jc w:val="center"/>
              <w:rPr>
                <w:rFonts w:hint="eastAsia"/>
                <w:sz w:val="24"/>
                <w:szCs w:val="32"/>
              </w:rPr>
            </w:pPr>
            <w:r>
              <w:rPr>
                <w:rFonts w:hint="eastAsia"/>
                <w:sz w:val="24"/>
                <w:szCs w:val="32"/>
                <w:lang w:val="en-US" w:eastAsia="zh-CN"/>
              </w:rPr>
              <w:t>20</w:t>
            </w:r>
            <w:r>
              <w:rPr>
                <w:rFonts w:hint="eastAsia"/>
                <w:sz w:val="24"/>
                <w:szCs w:val="32"/>
              </w:rPr>
              <w:t>分</w:t>
            </w:r>
          </w:p>
        </w:tc>
        <w:tc>
          <w:tcPr>
            <w:tcW w:w="3190" w:type="pct"/>
          </w:tcPr>
          <w:p>
            <w:pPr>
              <w:spacing w:line="360" w:lineRule="auto"/>
              <w:rPr>
                <w:rFonts w:hint="eastAsia"/>
                <w:sz w:val="24"/>
                <w:szCs w:val="32"/>
              </w:rPr>
            </w:pPr>
            <w:r>
              <w:rPr>
                <w:rFonts w:hint="eastAsia"/>
                <w:sz w:val="24"/>
                <w:szCs w:val="32"/>
              </w:rPr>
              <w:t>按</w:t>
            </w:r>
            <w:r>
              <w:rPr>
                <w:rFonts w:hint="eastAsia"/>
                <w:sz w:val="24"/>
                <w:szCs w:val="32"/>
                <w:lang w:eastAsia="zh-CN"/>
              </w:rPr>
              <w:t>招标文件</w:t>
            </w:r>
            <w:r>
              <w:rPr>
                <w:rFonts w:hint="eastAsia"/>
                <w:sz w:val="24"/>
                <w:szCs w:val="32"/>
              </w:rPr>
              <w:t>文件规定修正后所有供应商中的最低报价为评分基础价。（评分基础价/磋商报价）*</w:t>
            </w:r>
            <w:r>
              <w:rPr>
                <w:rFonts w:hint="eastAsia"/>
                <w:sz w:val="24"/>
                <w:szCs w:val="32"/>
                <w:lang w:val="en-US" w:eastAsia="zh-CN"/>
              </w:rPr>
              <w:t>20</w:t>
            </w:r>
            <w:r>
              <w:rPr>
                <w:rFonts w:hint="eastAsia"/>
                <w:sz w:val="24"/>
                <w:szCs w:val="32"/>
              </w:rPr>
              <w:t>为供应商的价格分。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5" w:hRule="atLeast"/>
          <w:jc w:val="center"/>
        </w:trPr>
        <w:tc>
          <w:tcPr>
            <w:tcW w:w="40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2</w:t>
            </w:r>
          </w:p>
        </w:tc>
        <w:tc>
          <w:tcPr>
            <w:tcW w:w="713" w:type="pct"/>
            <w:vMerge w:val="restart"/>
          </w:tcPr>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p>
          <w:p>
            <w:pPr>
              <w:spacing w:line="360" w:lineRule="auto"/>
              <w:rPr>
                <w:rFonts w:hint="eastAsia"/>
                <w:sz w:val="24"/>
                <w:szCs w:val="32"/>
              </w:rPr>
            </w:pPr>
            <w:r>
              <w:rPr>
                <w:rFonts w:hint="eastAsia"/>
                <w:sz w:val="24"/>
                <w:szCs w:val="32"/>
              </w:rPr>
              <w:t>商务部分</w:t>
            </w:r>
          </w:p>
          <w:p>
            <w:pPr>
              <w:spacing w:line="360" w:lineRule="auto"/>
              <w:rPr>
                <w:rFonts w:hint="eastAsia"/>
                <w:sz w:val="24"/>
                <w:szCs w:val="32"/>
              </w:rPr>
            </w:pPr>
            <w:r>
              <w:rPr>
                <w:rFonts w:hint="eastAsia"/>
                <w:sz w:val="24"/>
                <w:szCs w:val="32"/>
              </w:rPr>
              <w:t>（15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2</w:t>
            </w:r>
            <w:r>
              <w:rPr>
                <w:rFonts w:hint="eastAsia"/>
                <w:sz w:val="24"/>
                <w:szCs w:val="32"/>
              </w:rPr>
              <w:t xml:space="preserve"> 分</w:t>
            </w:r>
          </w:p>
        </w:tc>
        <w:tc>
          <w:tcPr>
            <w:tcW w:w="3190" w:type="pct"/>
          </w:tcPr>
          <w:p>
            <w:pPr>
              <w:spacing w:line="360" w:lineRule="auto"/>
              <w:rPr>
                <w:rFonts w:hint="eastAsia"/>
                <w:sz w:val="24"/>
                <w:szCs w:val="32"/>
              </w:rPr>
            </w:pPr>
            <w:r>
              <w:rPr>
                <w:rFonts w:hint="eastAsia"/>
                <w:sz w:val="24"/>
                <w:szCs w:val="32"/>
              </w:rPr>
              <w:t>1、响应文件中目录索引、编页、排版等制作规范得1分，每有一处错误或材料缺失扣 0.5 分，最低 0 分。</w:t>
            </w:r>
          </w:p>
          <w:p>
            <w:pPr>
              <w:spacing w:line="360" w:lineRule="auto"/>
              <w:rPr>
                <w:rFonts w:hint="eastAsia"/>
                <w:sz w:val="24"/>
                <w:szCs w:val="32"/>
              </w:rPr>
            </w:pPr>
            <w:r>
              <w:rPr>
                <w:rFonts w:hint="eastAsia"/>
                <w:sz w:val="24"/>
                <w:szCs w:val="32"/>
              </w:rPr>
              <w:t>2、响应文件中证件复印内容清晰得1分，每有一个证件或一页不清晰扣 0.5 分，扣完为止。</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2"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w:t>
            </w:r>
            <w:r>
              <w:rPr>
                <w:rFonts w:hint="eastAsia"/>
                <w:sz w:val="24"/>
                <w:szCs w:val="32"/>
                <w:lang w:val="en-US" w:eastAsia="zh-CN"/>
              </w:rPr>
              <w:t>2</w:t>
            </w:r>
            <w:r>
              <w:rPr>
                <w:rFonts w:hint="eastAsia"/>
                <w:sz w:val="24"/>
                <w:szCs w:val="32"/>
              </w:rPr>
              <w:t xml:space="preserve"> 分</w:t>
            </w:r>
          </w:p>
        </w:tc>
        <w:tc>
          <w:tcPr>
            <w:tcW w:w="3190" w:type="pct"/>
            <w:tcBorders>
              <w:bottom w:val="single" w:color="000000" w:sz="4" w:space="0"/>
            </w:tcBorders>
          </w:tcPr>
          <w:p>
            <w:pPr>
              <w:spacing w:line="360" w:lineRule="auto"/>
              <w:rPr>
                <w:rFonts w:hint="eastAsia"/>
                <w:color w:val="auto"/>
                <w:sz w:val="24"/>
                <w:szCs w:val="32"/>
              </w:rPr>
            </w:pPr>
            <w:r>
              <w:rPr>
                <w:rFonts w:hint="eastAsia"/>
                <w:color w:val="auto"/>
                <w:sz w:val="24"/>
                <w:szCs w:val="32"/>
              </w:rPr>
              <w:t>供应商提供近三年三甲医院的类似项目业绩，每有一项得 3 分，最多提供四份，最高12 分。供应商提供近三年非三甲医院的类似项目业绩，每有一项得 2 分，最多提供四份，最高8分（以中标通知书或合同原件为准，需在评标现场提供原件备查）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34"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lang w:val="en-US" w:eastAsia="zh-CN"/>
              </w:rPr>
              <w:t>1</w:t>
            </w:r>
            <w:r>
              <w:rPr>
                <w:rFonts w:hint="eastAsia"/>
                <w:sz w:val="24"/>
                <w:szCs w:val="32"/>
              </w:rPr>
              <w:t>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供应商提供ISO900系列质量管理体系认证证书得</w:t>
            </w:r>
            <w:r>
              <w:rPr>
                <w:rFonts w:hint="eastAsia"/>
                <w:color w:val="auto"/>
                <w:sz w:val="24"/>
                <w:szCs w:val="32"/>
                <w:lang w:val="en-US" w:eastAsia="zh-CN"/>
              </w:rPr>
              <w:t>1</w:t>
            </w:r>
            <w:r>
              <w:rPr>
                <w:rFonts w:hint="eastAsia"/>
                <w:color w:val="auto"/>
                <w:sz w:val="24"/>
                <w:szCs w:val="32"/>
              </w:rPr>
              <w:t>分。(需在评标现场提供原件备查)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37" w:hRule="atLeast"/>
          <w:jc w:val="center"/>
        </w:trPr>
        <w:tc>
          <w:tcPr>
            <w:tcW w:w="403" w:type="pct"/>
          </w:tcPr>
          <w:p>
            <w:pPr>
              <w:spacing w:line="360" w:lineRule="auto"/>
              <w:rPr>
                <w:rFonts w:hint="eastAsia"/>
                <w:sz w:val="24"/>
                <w:szCs w:val="32"/>
              </w:rPr>
            </w:pPr>
          </w:p>
          <w:p>
            <w:pPr>
              <w:spacing w:line="360" w:lineRule="auto"/>
              <w:rPr>
                <w:rFonts w:hint="eastAsia"/>
                <w:sz w:val="24"/>
                <w:szCs w:val="32"/>
              </w:rPr>
            </w:pPr>
            <w:r>
              <w:rPr>
                <w:rFonts w:hint="eastAsia"/>
                <w:sz w:val="24"/>
                <w:szCs w:val="32"/>
              </w:rPr>
              <w:t>3</w:t>
            </w:r>
          </w:p>
        </w:tc>
        <w:tc>
          <w:tcPr>
            <w:tcW w:w="713" w:type="pct"/>
          </w:tcPr>
          <w:p>
            <w:pPr>
              <w:spacing w:line="360" w:lineRule="auto"/>
              <w:rPr>
                <w:rFonts w:hint="eastAsia"/>
                <w:sz w:val="24"/>
                <w:szCs w:val="32"/>
              </w:rPr>
            </w:pPr>
            <w:r>
              <w:rPr>
                <w:rFonts w:hint="eastAsia"/>
                <w:sz w:val="24"/>
                <w:szCs w:val="32"/>
              </w:rPr>
              <w:t>技术部分</w:t>
            </w:r>
          </w:p>
          <w:p>
            <w:pPr>
              <w:spacing w:line="360" w:lineRule="auto"/>
              <w:rPr>
                <w:rFonts w:hint="eastAsia"/>
                <w:sz w:val="24"/>
                <w:szCs w:val="32"/>
              </w:rPr>
            </w:pPr>
            <w:r>
              <w:rPr>
                <w:rFonts w:hint="eastAsia"/>
                <w:sz w:val="24"/>
                <w:szCs w:val="32"/>
              </w:rPr>
              <w:t>（</w:t>
            </w:r>
            <w:r>
              <w:rPr>
                <w:rFonts w:hint="eastAsia"/>
                <w:sz w:val="24"/>
                <w:szCs w:val="32"/>
                <w:lang w:val="en-US" w:eastAsia="zh-CN"/>
              </w:rPr>
              <w:t>65</w:t>
            </w:r>
            <w:r>
              <w:rPr>
                <w:rFonts w:hint="eastAsia"/>
                <w:sz w:val="24"/>
                <w:szCs w:val="32"/>
              </w:rPr>
              <w:t xml:space="preserve"> 分）</w:t>
            </w: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2分</w:t>
            </w:r>
          </w:p>
        </w:tc>
        <w:tc>
          <w:tcPr>
            <w:tcW w:w="3190" w:type="pct"/>
            <w:tcBorders>
              <w:top w:val="single" w:color="000000" w:sz="4" w:space="0"/>
              <w:bottom w:val="single" w:color="000000" w:sz="4" w:space="0"/>
            </w:tcBorders>
          </w:tcPr>
          <w:p>
            <w:pPr>
              <w:spacing w:line="360" w:lineRule="auto"/>
              <w:rPr>
                <w:rFonts w:hint="eastAsia"/>
                <w:color w:val="auto"/>
                <w:sz w:val="24"/>
                <w:szCs w:val="32"/>
              </w:rPr>
            </w:pPr>
            <w:r>
              <w:rPr>
                <w:rFonts w:hint="eastAsia"/>
                <w:color w:val="auto"/>
                <w:sz w:val="24"/>
                <w:szCs w:val="32"/>
              </w:rPr>
              <w:t>项目设计负责人须具有高级技术职称，近3年内（2016年1月起）具有三甲医院类似装修改造项目的设计业绩。注册单位与投标单位必须一致（以投标截止时间前近6个月由劳动保障部门出具的社保证明为准）。项目的专业设计人员须具备中级及以上技术职称，且是相应投标单位的在职人员，提供投标截止时间前近6个月由劳动保障部门出具的社保证明。提供全得满分，少提供或不提供不得分。（小计 2 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4" w:hRule="atLeast"/>
          <w:jc w:val="center"/>
        </w:trPr>
        <w:tc>
          <w:tcPr>
            <w:tcW w:w="403" w:type="pct"/>
            <w:vMerge w:val="restart"/>
          </w:tcPr>
          <w:p>
            <w:pPr>
              <w:spacing w:line="360" w:lineRule="auto"/>
              <w:rPr>
                <w:rFonts w:hint="eastAsia"/>
                <w:sz w:val="24"/>
                <w:szCs w:val="32"/>
              </w:rPr>
            </w:pPr>
          </w:p>
        </w:tc>
        <w:tc>
          <w:tcPr>
            <w:tcW w:w="713" w:type="pct"/>
            <w:vMerge w:val="restart"/>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Borders>
              <w:top w:val="single" w:color="000000" w:sz="4" w:space="0"/>
            </w:tcBorders>
          </w:tcPr>
          <w:p>
            <w:pPr>
              <w:spacing w:line="360" w:lineRule="auto"/>
              <w:rPr>
                <w:rFonts w:hint="eastAsia"/>
                <w:sz w:val="24"/>
                <w:szCs w:val="32"/>
              </w:rPr>
            </w:pPr>
            <w:r>
              <w:rPr>
                <w:rFonts w:hint="eastAsia"/>
                <w:sz w:val="24"/>
                <w:szCs w:val="32"/>
              </w:rPr>
              <w:t xml:space="preserve">根据供应商提供针对本项目组建固定的服务团队计划是否组织机构明确，分工合理由评标委员会横向比较进行打分1-5； </w:t>
            </w:r>
          </w:p>
          <w:p>
            <w:pPr>
              <w:spacing w:line="360" w:lineRule="auto"/>
              <w:rPr>
                <w:rFonts w:hint="eastAsia"/>
                <w:sz w:val="24"/>
                <w:szCs w:val="32"/>
              </w:rPr>
            </w:pPr>
            <w:r>
              <w:rPr>
                <w:rFonts w:hint="eastAsia"/>
                <w:sz w:val="24"/>
                <w:szCs w:val="32"/>
              </w:rPr>
              <w:t>根据供应商提供项目负责人的文件程度、从业年限、行业经验，技术人员专业素质、服务人数以及专业配备情况由评标委员会横向比较进行打分1-5；（小计10分）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7"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8分</w:t>
            </w:r>
          </w:p>
        </w:tc>
        <w:tc>
          <w:tcPr>
            <w:tcW w:w="3190" w:type="pct"/>
          </w:tcPr>
          <w:p>
            <w:pPr>
              <w:spacing w:line="360" w:lineRule="auto"/>
              <w:rPr>
                <w:rFonts w:hint="eastAsia"/>
                <w:sz w:val="24"/>
                <w:szCs w:val="32"/>
              </w:rPr>
            </w:pPr>
            <w:r>
              <w:rPr>
                <w:rFonts w:hint="eastAsia"/>
                <w:sz w:val="24"/>
                <w:szCs w:val="32"/>
              </w:rPr>
              <w:t>供应商设计综合说明简明扼要的由评标委员会横向比较进行 打分1-2；</w:t>
            </w:r>
          </w:p>
          <w:p>
            <w:pPr>
              <w:spacing w:line="360" w:lineRule="auto"/>
              <w:rPr>
                <w:rFonts w:hint="eastAsia"/>
                <w:sz w:val="24"/>
                <w:szCs w:val="32"/>
              </w:rPr>
            </w:pPr>
            <w:r>
              <w:rPr>
                <w:rFonts w:hint="eastAsia"/>
                <w:sz w:val="24"/>
                <w:szCs w:val="32"/>
              </w:rPr>
              <w:t>供应商设计综合说明内容全面的由评标委员会横向 比较进行打分1-2；</w:t>
            </w:r>
          </w:p>
          <w:p>
            <w:pPr>
              <w:spacing w:line="360" w:lineRule="auto"/>
              <w:rPr>
                <w:rFonts w:hint="eastAsia"/>
                <w:sz w:val="24"/>
                <w:szCs w:val="32"/>
              </w:rPr>
            </w:pPr>
            <w:r>
              <w:rPr>
                <w:rFonts w:hint="eastAsia"/>
                <w:sz w:val="24"/>
                <w:szCs w:val="32"/>
              </w:rPr>
              <w:t>供应商设计综合说明重点突出的由评标委 员会横向比较进行打分1-2；</w:t>
            </w:r>
          </w:p>
          <w:p>
            <w:pPr>
              <w:spacing w:line="360" w:lineRule="auto"/>
              <w:rPr>
                <w:rFonts w:hint="eastAsia"/>
                <w:sz w:val="24"/>
                <w:szCs w:val="32"/>
              </w:rPr>
            </w:pPr>
            <w:r>
              <w:rPr>
                <w:rFonts w:hint="eastAsia"/>
                <w:sz w:val="24"/>
                <w:szCs w:val="32"/>
              </w:rPr>
              <w:t>供应商设计综合说明符合招标文 件的由评标委员会横向比较进行打分1-2；（小计8分）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20分</w:t>
            </w:r>
          </w:p>
        </w:tc>
        <w:tc>
          <w:tcPr>
            <w:tcW w:w="3190" w:type="pct"/>
          </w:tcPr>
          <w:p>
            <w:pPr>
              <w:spacing w:line="360" w:lineRule="auto"/>
              <w:rPr>
                <w:rFonts w:hint="eastAsia"/>
                <w:sz w:val="24"/>
                <w:szCs w:val="32"/>
              </w:rPr>
            </w:pPr>
            <w:r>
              <w:rPr>
                <w:rFonts w:hint="eastAsia"/>
                <w:sz w:val="24"/>
                <w:szCs w:val="32"/>
              </w:rPr>
              <w:t>根据供应商设计方案提供改造实施方案的完整性，由评标委 员会横向比较进行打分2-6；</w:t>
            </w:r>
          </w:p>
          <w:p>
            <w:pPr>
              <w:spacing w:line="360" w:lineRule="auto"/>
              <w:rPr>
                <w:rFonts w:hint="eastAsia"/>
                <w:sz w:val="24"/>
                <w:szCs w:val="32"/>
              </w:rPr>
            </w:pPr>
            <w:r>
              <w:rPr>
                <w:rFonts w:hint="eastAsia"/>
                <w:sz w:val="24"/>
                <w:szCs w:val="32"/>
              </w:rPr>
              <w:t>根据供应商设计方案提供改造实 施方案的合理性，由评标委员会横向比较进行打分3-7；</w:t>
            </w:r>
          </w:p>
          <w:p>
            <w:pPr>
              <w:spacing w:line="360" w:lineRule="auto"/>
              <w:rPr>
                <w:rFonts w:hint="eastAsia"/>
                <w:sz w:val="24"/>
                <w:szCs w:val="32"/>
              </w:rPr>
            </w:pPr>
            <w:r>
              <w:rPr>
                <w:rFonts w:hint="eastAsia"/>
                <w:sz w:val="24"/>
                <w:szCs w:val="32"/>
              </w:rPr>
              <w:t>根据供应商设计方案提供改造实施方案的可行性，由评标委员会横向比较进行打分3-7；（小计20分）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79" w:hRule="atLeast"/>
          <w:jc w:val="center"/>
        </w:trPr>
        <w:tc>
          <w:tcPr>
            <w:tcW w:w="403" w:type="pct"/>
            <w:vMerge w:val="continue"/>
            <w:tcBorders>
              <w:top w:val="nil"/>
            </w:tcBorders>
          </w:tcPr>
          <w:p>
            <w:pPr>
              <w:spacing w:line="360" w:lineRule="auto"/>
              <w:rPr>
                <w:rFonts w:hint="eastAsia"/>
                <w:sz w:val="24"/>
                <w:szCs w:val="32"/>
              </w:rPr>
            </w:pPr>
          </w:p>
        </w:tc>
        <w:tc>
          <w:tcPr>
            <w:tcW w:w="713" w:type="pct"/>
            <w:vMerge w:val="continue"/>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根据供应商在设计方案中明确主要装饰材料的规格和材料说明的完整性，由评标委员会横向比较进行打分2-4；</w:t>
            </w:r>
          </w:p>
          <w:p>
            <w:pPr>
              <w:spacing w:line="360" w:lineRule="auto"/>
              <w:rPr>
                <w:rFonts w:hint="eastAsia"/>
                <w:sz w:val="24"/>
                <w:szCs w:val="32"/>
              </w:rPr>
            </w:pPr>
            <w:r>
              <w:rPr>
                <w:rFonts w:hint="eastAsia"/>
                <w:sz w:val="24"/>
                <w:szCs w:val="32"/>
              </w:rPr>
              <w:t>根据供应商在设计方案中明确主要装饰材料的规格和材料说明的合理 性，由评标委员会横向比较进行打分2-3；</w:t>
            </w:r>
          </w:p>
          <w:p>
            <w:pPr>
              <w:spacing w:line="360" w:lineRule="auto"/>
              <w:rPr>
                <w:rFonts w:hint="eastAsia"/>
                <w:sz w:val="24"/>
                <w:szCs w:val="32"/>
              </w:rPr>
            </w:pPr>
            <w:r>
              <w:rPr>
                <w:rFonts w:hint="eastAsia"/>
                <w:sz w:val="24"/>
                <w:szCs w:val="32"/>
              </w:rPr>
              <w:t>根据供应商在设计方案中明确主要装饰材料的规格和材料说明的可行性，由评标委员会横向比较进行打分2-3；（小计10分）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0" w:hRule="atLeast"/>
          <w:jc w:val="center"/>
        </w:trPr>
        <w:tc>
          <w:tcPr>
            <w:tcW w:w="403" w:type="pct"/>
            <w:vMerge w:val="continue"/>
            <w:tcBorders>
              <w:top w:val="nil"/>
              <w:bottom w:val="nil"/>
            </w:tcBorders>
          </w:tcPr>
          <w:p>
            <w:pPr>
              <w:spacing w:line="360" w:lineRule="auto"/>
              <w:rPr>
                <w:rFonts w:hint="eastAsia"/>
                <w:sz w:val="24"/>
                <w:szCs w:val="32"/>
              </w:rPr>
            </w:pPr>
          </w:p>
        </w:tc>
        <w:tc>
          <w:tcPr>
            <w:tcW w:w="713" w:type="pct"/>
            <w:vMerge w:val="continue"/>
            <w:tcBorders>
              <w:top w:val="nil"/>
              <w:bottom w:val="nil"/>
            </w:tcBorders>
          </w:tcPr>
          <w:p>
            <w:pPr>
              <w:spacing w:line="360" w:lineRule="auto"/>
              <w:rPr>
                <w:rFonts w:hint="eastAsia"/>
                <w:sz w:val="24"/>
                <w:szCs w:val="32"/>
              </w:rPr>
            </w:pPr>
          </w:p>
        </w:tc>
        <w:tc>
          <w:tcPr>
            <w:tcW w:w="692" w:type="pct"/>
            <w:vAlign w:val="center"/>
          </w:tcPr>
          <w:p>
            <w:pPr>
              <w:spacing w:line="360" w:lineRule="auto"/>
              <w:jc w:val="center"/>
              <w:rPr>
                <w:rFonts w:hint="eastAsia"/>
                <w:sz w:val="24"/>
                <w:szCs w:val="32"/>
              </w:rPr>
            </w:pPr>
          </w:p>
          <w:p>
            <w:pPr>
              <w:spacing w:line="360" w:lineRule="auto"/>
              <w:jc w:val="center"/>
              <w:rPr>
                <w:rFonts w:hint="eastAsia"/>
                <w:sz w:val="24"/>
                <w:szCs w:val="32"/>
              </w:rPr>
            </w:pPr>
          </w:p>
          <w:p>
            <w:pPr>
              <w:spacing w:line="360" w:lineRule="auto"/>
              <w:jc w:val="center"/>
              <w:rPr>
                <w:rFonts w:hint="eastAsia"/>
                <w:sz w:val="24"/>
                <w:szCs w:val="32"/>
              </w:rPr>
            </w:pPr>
            <w:r>
              <w:rPr>
                <w:rFonts w:hint="eastAsia"/>
                <w:sz w:val="24"/>
                <w:szCs w:val="32"/>
              </w:rPr>
              <w:t>10分</w:t>
            </w:r>
          </w:p>
        </w:tc>
        <w:tc>
          <w:tcPr>
            <w:tcW w:w="3190" w:type="pct"/>
          </w:tcPr>
          <w:p>
            <w:pPr>
              <w:spacing w:line="360" w:lineRule="auto"/>
              <w:rPr>
                <w:rFonts w:hint="eastAsia"/>
                <w:sz w:val="24"/>
                <w:szCs w:val="32"/>
              </w:rPr>
            </w:pPr>
            <w:r>
              <w:rPr>
                <w:rFonts w:hint="eastAsia"/>
                <w:sz w:val="24"/>
                <w:szCs w:val="32"/>
              </w:rPr>
              <w:t>根据供应商设计进度保证措施制定的完整性，由评标委员会 横向比较进行打分2-4；</w:t>
            </w:r>
          </w:p>
          <w:p>
            <w:pPr>
              <w:spacing w:line="360" w:lineRule="auto"/>
              <w:rPr>
                <w:rFonts w:hint="eastAsia"/>
                <w:sz w:val="24"/>
                <w:szCs w:val="32"/>
              </w:rPr>
            </w:pPr>
            <w:r>
              <w:rPr>
                <w:rFonts w:hint="eastAsia"/>
                <w:sz w:val="24"/>
                <w:szCs w:val="32"/>
              </w:rPr>
              <w:t>根据供应商设计进度保证措施制定的 合理性，由评标委员会横向比较进行打分2-3；</w:t>
            </w:r>
          </w:p>
          <w:p>
            <w:pPr>
              <w:spacing w:line="360" w:lineRule="auto"/>
              <w:rPr>
                <w:rFonts w:hint="eastAsia"/>
                <w:sz w:val="24"/>
                <w:szCs w:val="32"/>
              </w:rPr>
            </w:pPr>
            <w:r>
              <w:rPr>
                <w:rFonts w:hint="eastAsia"/>
                <w:sz w:val="24"/>
                <w:szCs w:val="32"/>
              </w:rPr>
              <w:t>根据供应商设计进度保证措施制定的合理性，由评标委员会横向比较进行打分2-3；（小计10分）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50" w:hRule="atLeast"/>
          <w:jc w:val="center"/>
        </w:trPr>
        <w:tc>
          <w:tcPr>
            <w:tcW w:w="403" w:type="pct"/>
            <w:tcBorders>
              <w:top w:val="nil"/>
            </w:tcBorders>
          </w:tcPr>
          <w:p>
            <w:pPr>
              <w:spacing w:line="360" w:lineRule="auto"/>
              <w:rPr>
                <w:rFonts w:hint="eastAsia"/>
                <w:sz w:val="24"/>
                <w:szCs w:val="32"/>
              </w:rPr>
            </w:pPr>
          </w:p>
        </w:tc>
        <w:tc>
          <w:tcPr>
            <w:tcW w:w="713" w:type="pct"/>
            <w:tcBorders>
              <w:top w:val="nil"/>
            </w:tcBorders>
          </w:tcPr>
          <w:p>
            <w:pPr>
              <w:spacing w:line="360" w:lineRule="auto"/>
              <w:rPr>
                <w:rFonts w:hint="eastAsia"/>
                <w:sz w:val="24"/>
                <w:szCs w:val="32"/>
              </w:rPr>
            </w:pPr>
          </w:p>
        </w:tc>
        <w:tc>
          <w:tcPr>
            <w:tcW w:w="692" w:type="pct"/>
            <w:vAlign w:val="center"/>
          </w:tcPr>
          <w:p>
            <w:pPr>
              <w:spacing w:line="360" w:lineRule="auto"/>
              <w:jc w:val="center"/>
              <w:rPr>
                <w:rFonts w:hint="eastAsia" w:eastAsia="宋体"/>
                <w:sz w:val="24"/>
                <w:szCs w:val="32"/>
                <w:lang w:val="en-US" w:eastAsia="zh-CN"/>
              </w:rPr>
            </w:pPr>
            <w:r>
              <w:rPr>
                <w:rFonts w:hint="eastAsia"/>
                <w:sz w:val="24"/>
                <w:szCs w:val="32"/>
                <w:lang w:val="en-US" w:eastAsia="zh-CN"/>
              </w:rPr>
              <w:t>5分</w:t>
            </w:r>
          </w:p>
        </w:tc>
        <w:tc>
          <w:tcPr>
            <w:tcW w:w="3190" w:type="pct"/>
          </w:tcPr>
          <w:p>
            <w:pPr>
              <w:spacing w:line="360" w:lineRule="auto"/>
              <w:rPr>
                <w:rFonts w:hint="eastAsia" w:eastAsia="宋体"/>
                <w:sz w:val="24"/>
                <w:szCs w:val="32"/>
                <w:lang w:eastAsia="zh-CN"/>
              </w:rPr>
            </w:pPr>
            <w:r>
              <w:rPr>
                <w:rFonts w:hint="eastAsia"/>
                <w:sz w:val="24"/>
                <w:szCs w:val="32"/>
              </w:rPr>
              <w:t>根据各</w:t>
            </w:r>
            <w:r>
              <w:rPr>
                <w:rFonts w:hint="eastAsia"/>
                <w:sz w:val="24"/>
                <w:szCs w:val="32"/>
                <w:lang w:eastAsia="zh-CN"/>
              </w:rPr>
              <w:t>投标人</w:t>
            </w:r>
            <w:r>
              <w:rPr>
                <w:rFonts w:hint="eastAsia"/>
                <w:sz w:val="24"/>
                <w:szCs w:val="32"/>
              </w:rPr>
              <w:t>对项目计划、达成效果以及具体实施计划汇报的完整性</w:t>
            </w:r>
            <w:r>
              <w:rPr>
                <w:rFonts w:hint="eastAsia"/>
                <w:sz w:val="24"/>
                <w:szCs w:val="32"/>
                <w:lang w:eastAsia="zh-CN"/>
              </w:rPr>
              <w:t>、</w:t>
            </w:r>
            <w:r>
              <w:rPr>
                <w:rFonts w:hint="eastAsia"/>
                <w:sz w:val="24"/>
                <w:szCs w:val="32"/>
              </w:rPr>
              <w:t>各供应商对项目计划、达成效果以及具体实施计划汇报的合理性</w:t>
            </w:r>
            <w:r>
              <w:rPr>
                <w:rFonts w:hint="eastAsia"/>
                <w:sz w:val="24"/>
                <w:szCs w:val="32"/>
                <w:lang w:eastAsia="zh-CN"/>
              </w:rPr>
              <w:t>、</w:t>
            </w:r>
            <w:r>
              <w:rPr>
                <w:rFonts w:hint="eastAsia"/>
                <w:sz w:val="24"/>
                <w:szCs w:val="32"/>
              </w:rPr>
              <w:t>由评标委员会横向比较进行打分（</w:t>
            </w:r>
            <w:r>
              <w:rPr>
                <w:rFonts w:hint="eastAsia"/>
                <w:sz w:val="24"/>
                <w:szCs w:val="32"/>
                <w:lang w:eastAsia="zh-CN"/>
              </w:rPr>
              <w:t>满分</w:t>
            </w:r>
            <w:r>
              <w:rPr>
                <w:rFonts w:hint="eastAsia"/>
                <w:sz w:val="24"/>
                <w:szCs w:val="32"/>
              </w:rPr>
              <w:t>5分），</w:t>
            </w:r>
            <w:r>
              <w:rPr>
                <w:rFonts w:hint="eastAsia"/>
                <w:sz w:val="24"/>
                <w:szCs w:val="32"/>
                <w:lang w:eastAsia="zh-CN"/>
              </w:rPr>
              <w:t>其他视情况酌情扣分。</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582297"/>
      <w:bookmarkStart w:id="191" w:name="_Toc217446105"/>
      <w:bookmarkStart w:id="192" w:name="_Toc208849022"/>
      <w:bookmarkStart w:id="193" w:name="_Toc18368243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7845"/>
      <w:bookmarkStart w:id="197" w:name="_Toc25902"/>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2937"/>
      <w:bookmarkStart w:id="199" w:name="_Toc1180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rPr>
          <w:rFonts w:hint="eastAsia" w:ascii="宋体" w:hAnsi="宋体" w:cs="宋体"/>
          <w:sz w:val="32"/>
          <w:szCs w:val="32"/>
        </w:rPr>
      </w:pPr>
    </w:p>
    <w:p>
      <w:pPr>
        <w:pStyle w:val="28"/>
        <w:ind w:left="0" w:leftChars="0" w:firstLine="0" w:firstLineChars="0"/>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13676"/>
      <w:bookmarkStart w:id="204" w:name="_Toc23429"/>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327439490"/>
      <w:bookmarkStart w:id="207" w:name="_Toc139965361"/>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3146"/>
      <w:bookmarkStart w:id="209" w:name="_Toc16816"/>
      <w:bookmarkStart w:id="210" w:name="_Toc10904"/>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9965"/>
      <w:bookmarkStart w:id="213" w:name="_Toc10366"/>
      <w:bookmarkStart w:id="214" w:name="_Toc19360"/>
      <w:bookmarkStart w:id="215" w:name="_Toc15783"/>
      <w:bookmarkStart w:id="216" w:name="_Toc3177"/>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2383"/>
      <w:bookmarkStart w:id="219" w:name="_Toc6475"/>
      <w:bookmarkStart w:id="220" w:name="_Toc1916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20910"/>
      <w:bookmarkStart w:id="223" w:name="_Toc16103"/>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3392"/>
      <w:bookmarkStart w:id="231" w:name="_Toc26432"/>
      <w:bookmarkStart w:id="232" w:name="_Toc27676"/>
      <w:bookmarkStart w:id="233" w:name="_Toc6233"/>
      <w:bookmarkStart w:id="234" w:name="_Toc16887"/>
      <w:bookmarkStart w:id="235" w:name="_Toc12836"/>
      <w:bookmarkStart w:id="236" w:name="_Toc4270"/>
      <w:bookmarkStart w:id="237" w:name="_Toc27827"/>
      <w:bookmarkStart w:id="238" w:name="_Toc10205"/>
      <w:bookmarkStart w:id="239" w:name="_Toc8733"/>
      <w:bookmarkStart w:id="240" w:name="_Toc26303"/>
      <w:bookmarkStart w:id="241" w:name="_Toc714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258923307"/>
      <w:bookmarkStart w:id="244" w:name="_Toc13401"/>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6120"/>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900"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6120"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项目名称</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900" w:type="dxa"/>
            <w:noWrap w:val="0"/>
            <w:vAlign w:val="center"/>
          </w:tcPr>
          <w:p>
            <w:pPr>
              <w:spacing w:line="360" w:lineRule="auto"/>
              <w:jc w:val="center"/>
              <w:rPr>
                <w:rFonts w:hint="eastAsia" w:ascii="宋体" w:hAnsi="宋体"/>
                <w:sz w:val="24"/>
              </w:rPr>
            </w:pPr>
          </w:p>
        </w:tc>
        <w:tc>
          <w:tcPr>
            <w:tcW w:w="6120"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4"/>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color w:val="000000" w:themeColor="text1"/>
          <w:spacing w:val="10"/>
          <w:sz w:val="24"/>
          <w:u w:val="single"/>
        </w:rPr>
      </w:pPr>
    </w:p>
    <w:p>
      <w:pPr>
        <w:pStyle w:val="28"/>
        <w:ind w:left="0" w:leftChars="0" w:firstLine="0" w:firstLineChars="0"/>
        <w:rPr>
          <w:rFonts w:hint="default"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w:t>
      </w:r>
      <w:r>
        <w:rPr>
          <w:rFonts w:hint="eastAsia" w:ascii="宋体" w:hAnsi="宋体" w:cs="宋体"/>
          <w:color w:val="000000" w:themeColor="text1"/>
          <w:spacing w:val="10"/>
          <w:kern w:val="2"/>
          <w:sz w:val="24"/>
          <w:szCs w:val="24"/>
          <w:u w:val="none"/>
          <w:lang w:val="en-US" w:eastAsia="zh-CN" w:bidi="ar-SA"/>
        </w:rPr>
        <w:t>为固定含税总价</w:t>
      </w:r>
      <w:r>
        <w:rPr>
          <w:rFonts w:hint="eastAsia" w:ascii="宋体" w:hAnsi="宋体" w:eastAsia="宋体" w:cs="宋体"/>
          <w:color w:val="000000" w:themeColor="text1"/>
          <w:spacing w:val="10"/>
          <w:kern w:val="2"/>
          <w:sz w:val="24"/>
          <w:szCs w:val="24"/>
          <w:u w:val="none"/>
          <w:lang w:val="en-US" w:eastAsia="zh-CN" w:bidi="ar-SA"/>
        </w:rPr>
        <w:t>，包括招标文件规定、要求和涵盖的全部费用</w:t>
      </w:r>
      <w:r>
        <w:rPr>
          <w:rFonts w:hint="eastAsia" w:ascii="宋体" w:hAnsi="宋体" w:cs="宋体"/>
          <w:color w:val="000000" w:themeColor="text1"/>
          <w:spacing w:val="10"/>
          <w:kern w:val="2"/>
          <w:sz w:val="24"/>
          <w:szCs w:val="24"/>
          <w:u w:val="none"/>
          <w:lang w:val="en-US" w:eastAsia="zh-CN" w:bidi="ar-SA"/>
        </w:rPr>
        <w:t>。</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259"/>
      <w:bookmarkStart w:id="248" w:name="_Toc1549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5303"/>
      <w:bookmarkStart w:id="252" w:name="_Toc25387"/>
      <w:bookmarkStart w:id="253" w:name="_Toc25892331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5673"/>
      <w:bookmarkStart w:id="263" w:name="_Toc20408"/>
      <w:bookmarkStart w:id="264" w:name="_Toc15095"/>
      <w:bookmarkStart w:id="265" w:name="_Toc16308"/>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408"/>
      <w:bookmarkStart w:id="268" w:name="_Toc7530"/>
      <w:bookmarkStart w:id="269" w:name="_Toc1997"/>
      <w:bookmarkStart w:id="270" w:name="_Toc19846"/>
      <w:bookmarkStart w:id="271" w:name="_Toc9385"/>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14086"/>
      <w:bookmarkStart w:id="274" w:name="_Toc29602"/>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color w:val="auto"/>
          <w:sz w:val="48"/>
          <w:szCs w:val="48"/>
          <w:lang w:val="en-US" w:eastAsia="zh-CN"/>
        </w:rPr>
      </w:pPr>
      <w:r>
        <w:rPr>
          <w:rFonts w:hint="eastAsia" w:ascii="宋体" w:hAnsi="宋体" w:cs="宋体"/>
          <w:color w:val="auto"/>
          <w:sz w:val="32"/>
          <w:szCs w:val="32"/>
        </w:rPr>
        <w:t>第</w:t>
      </w:r>
      <w:r>
        <w:rPr>
          <w:rFonts w:hint="eastAsia" w:ascii="宋体" w:hAnsi="宋体" w:cs="宋体"/>
          <w:color w:val="auto"/>
          <w:sz w:val="32"/>
          <w:szCs w:val="32"/>
          <w:lang w:eastAsia="zh-CN"/>
        </w:rPr>
        <w:t>七</w:t>
      </w:r>
      <w:r>
        <w:rPr>
          <w:rFonts w:hint="eastAsia" w:ascii="宋体" w:hAnsi="宋体" w:cs="宋体"/>
          <w:color w:val="auto"/>
          <w:sz w:val="32"/>
          <w:szCs w:val="32"/>
        </w:rPr>
        <w:t>章</w:t>
      </w:r>
      <w:r>
        <w:rPr>
          <w:rFonts w:hint="eastAsia" w:ascii="宋体" w:hAnsi="宋体" w:cs="宋体"/>
          <w:color w:val="auto"/>
          <w:sz w:val="32"/>
          <w:szCs w:val="32"/>
          <w:lang w:val="en-US" w:eastAsia="zh-CN"/>
        </w:rPr>
        <w:t xml:space="preserve">  </w:t>
      </w:r>
      <w:r>
        <w:rPr>
          <w:rFonts w:hint="eastAsia" w:ascii="宋体" w:hAnsi="宋体" w:cs="宋体"/>
          <w:color w:val="auto"/>
          <w:sz w:val="32"/>
          <w:szCs w:val="32"/>
        </w:rPr>
        <w:t>合同条款及合同格式</w:t>
      </w:r>
      <w:bookmarkEnd w:id="277"/>
      <w:r>
        <w:rPr>
          <w:rFonts w:hint="eastAsia" w:ascii="宋体" w:hAnsi="宋体" w:cs="宋体"/>
          <w:color w:val="auto"/>
          <w:sz w:val="32"/>
          <w:szCs w:val="32"/>
          <w:lang w:val="en-US" w:eastAsia="zh-CN"/>
        </w:rPr>
        <w:t>(供参考）</w:t>
      </w:r>
    </w:p>
    <w:p>
      <w:pPr>
        <w:spacing w:line="360" w:lineRule="auto"/>
        <w:jc w:val="center"/>
        <w:rPr>
          <w:rFonts w:hint="eastAsia" w:ascii="宋体" w:hAnsi="宋体" w:cs="宋体"/>
          <w:b/>
          <w:color w:val="auto"/>
          <w:sz w:val="52"/>
          <w:szCs w:val="52"/>
          <w:highlight w:val="none"/>
        </w:rPr>
      </w:pPr>
    </w:p>
    <w:p>
      <w:pPr>
        <w:spacing w:line="360" w:lineRule="auto"/>
        <w:jc w:val="center"/>
        <w:rPr>
          <w:rFonts w:hint="eastAsia" w:ascii="宋体" w:hAnsi="宋体" w:cs="宋体"/>
          <w:b/>
          <w:color w:val="auto"/>
          <w:sz w:val="52"/>
          <w:szCs w:val="52"/>
          <w:highlight w:val="none"/>
        </w:rPr>
      </w:pPr>
    </w:p>
    <w:p>
      <w:pPr>
        <w:spacing w:line="360" w:lineRule="auto"/>
        <w:jc w:val="center"/>
        <w:rPr>
          <w:rFonts w:ascii="宋体" w:hAnsi="宋体" w:cs="宋体"/>
          <w:b/>
          <w:color w:val="auto"/>
          <w:sz w:val="52"/>
          <w:szCs w:val="52"/>
          <w:highlight w:val="none"/>
        </w:rPr>
      </w:pPr>
      <w:r>
        <w:rPr>
          <w:rFonts w:hint="eastAsia" w:ascii="宋体" w:hAnsi="宋体" w:cs="宋体"/>
          <w:b/>
          <w:color w:val="auto"/>
          <w:sz w:val="52"/>
          <w:szCs w:val="52"/>
          <w:highlight w:val="none"/>
        </w:rPr>
        <w:t xml:space="preserve">合 </w:t>
      </w:r>
      <w:r>
        <w:rPr>
          <w:rFonts w:hint="eastAsia" w:ascii="宋体" w:hAnsi="宋体" w:cs="宋体"/>
          <w:b/>
          <w:color w:val="auto"/>
          <w:sz w:val="52"/>
          <w:szCs w:val="52"/>
          <w:highlight w:val="none"/>
          <w:lang w:val="en-US" w:eastAsia="zh-CN"/>
        </w:rPr>
        <w:t xml:space="preserve">      </w:t>
      </w:r>
      <w:r>
        <w:rPr>
          <w:rFonts w:hint="eastAsia" w:ascii="宋体" w:hAnsi="宋体" w:cs="宋体"/>
          <w:b/>
          <w:color w:val="auto"/>
          <w:sz w:val="52"/>
          <w:szCs w:val="52"/>
          <w:highlight w:val="none"/>
        </w:rPr>
        <w:t>同</w:t>
      </w:r>
    </w:p>
    <w:p>
      <w:pPr>
        <w:spacing w:line="360" w:lineRule="auto"/>
        <w:jc w:val="left"/>
        <w:rPr>
          <w:rFonts w:ascii="宋体" w:hAnsi="宋体" w:cs="宋体"/>
          <w:color w:val="auto"/>
          <w:sz w:val="52"/>
          <w:szCs w:val="52"/>
          <w:highlight w:val="none"/>
        </w:rPr>
      </w:pPr>
    </w:p>
    <w:p>
      <w:pPr>
        <w:spacing w:line="360" w:lineRule="auto"/>
        <w:jc w:val="left"/>
        <w:rPr>
          <w:rFonts w:ascii="宋体" w:hAnsi="宋体" w:cs="宋体"/>
          <w:b/>
          <w:color w:val="auto"/>
          <w:sz w:val="32"/>
          <w:szCs w:val="32"/>
          <w:highlight w:val="none"/>
        </w:rPr>
      </w:pPr>
    </w:p>
    <w:p>
      <w:pPr>
        <w:spacing w:line="360" w:lineRule="auto"/>
        <w:ind w:firstLine="1285" w:firstLineChars="400"/>
        <w:jc w:val="left"/>
        <w:rPr>
          <w:rFonts w:ascii="宋体" w:hAnsi="宋体" w:cs="宋体"/>
          <w:b/>
          <w:color w:val="auto"/>
          <w:sz w:val="32"/>
          <w:szCs w:val="32"/>
          <w:highlight w:val="none"/>
        </w:rPr>
      </w:pPr>
      <w:r>
        <w:rPr>
          <w:rFonts w:hint="eastAsia" w:ascii="宋体" w:hAnsi="宋体" w:cs="宋体"/>
          <w:b/>
          <w:color w:val="auto"/>
          <w:sz w:val="32"/>
          <w:szCs w:val="32"/>
          <w:highlight w:val="none"/>
        </w:rPr>
        <w:t>项目名称：</w:t>
      </w:r>
    </w:p>
    <w:p>
      <w:pPr>
        <w:spacing w:line="360" w:lineRule="auto"/>
        <w:ind w:firstLine="643" w:firstLineChars="200"/>
        <w:jc w:val="left"/>
        <w:rPr>
          <w:rFonts w:ascii="宋体" w:hAnsi="宋体" w:cs="宋体"/>
          <w:b/>
          <w:color w:val="auto"/>
          <w:sz w:val="32"/>
          <w:szCs w:val="32"/>
          <w:highlight w:val="none"/>
        </w:rPr>
      </w:pPr>
      <w:r>
        <w:rPr>
          <w:rFonts w:hint="eastAsia" w:ascii="宋体" w:hAnsi="宋体" w:cs="宋体"/>
          <w:b/>
          <w:color w:val="auto"/>
          <w:sz w:val="32"/>
          <w:szCs w:val="32"/>
          <w:highlight w:val="none"/>
        </w:rPr>
        <w:t xml:space="preserve">    招标编号</w:t>
      </w:r>
      <w:r>
        <w:rPr>
          <w:rFonts w:hint="eastAsia" w:ascii="宋体" w:hAnsi="宋体" w:cs="宋体"/>
          <w:color w:val="auto"/>
          <w:sz w:val="32"/>
          <w:szCs w:val="32"/>
          <w:highlight w:val="none"/>
        </w:rPr>
        <w:t>：</w:t>
      </w:r>
      <w:r>
        <w:rPr>
          <w:rFonts w:hint="eastAsia" w:ascii="宋体" w:hAnsi="宋体" w:cs="宋体"/>
          <w:b/>
          <w:color w:val="auto"/>
          <w:sz w:val="32"/>
          <w:szCs w:val="32"/>
          <w:highlight w:val="none"/>
        </w:rPr>
        <w:t xml:space="preserve">       </w:t>
      </w:r>
    </w:p>
    <w:p>
      <w:pPr>
        <w:spacing w:line="360" w:lineRule="auto"/>
        <w:ind w:firstLine="643" w:firstLineChars="200"/>
        <w:jc w:val="left"/>
        <w:rPr>
          <w:rFonts w:ascii="宋体" w:hAnsi="宋体" w:cs="宋体"/>
          <w:b/>
          <w:color w:val="auto"/>
          <w:sz w:val="32"/>
          <w:szCs w:val="32"/>
          <w:highlight w:val="none"/>
        </w:rPr>
      </w:pPr>
    </w:p>
    <w:p>
      <w:pPr>
        <w:spacing w:line="360" w:lineRule="auto"/>
        <w:ind w:firstLine="643" w:firstLineChars="200"/>
        <w:jc w:val="left"/>
        <w:rPr>
          <w:rFonts w:ascii="宋体" w:hAnsi="宋体" w:cs="宋体"/>
          <w:b/>
          <w:color w:val="auto"/>
          <w:sz w:val="32"/>
          <w:szCs w:val="32"/>
          <w:highlight w:val="none"/>
        </w:rPr>
      </w:pPr>
    </w:p>
    <w:p>
      <w:pPr>
        <w:spacing w:line="360" w:lineRule="auto"/>
        <w:ind w:firstLine="1928" w:firstLineChars="600"/>
        <w:jc w:val="left"/>
        <w:rPr>
          <w:rFonts w:hint="default" w:ascii="宋体" w:hAnsi="宋体" w:eastAsia="宋体" w:cs="宋体"/>
          <w:b/>
          <w:color w:val="auto"/>
          <w:sz w:val="32"/>
          <w:szCs w:val="32"/>
          <w:highlight w:val="none"/>
          <w:lang w:val="en-US" w:eastAsia="zh-CN"/>
        </w:rPr>
      </w:pPr>
      <w:r>
        <w:rPr>
          <w:rFonts w:hint="eastAsia" w:ascii="宋体" w:hAnsi="宋体" w:cs="宋体"/>
          <w:b/>
          <w:color w:val="auto"/>
          <w:sz w:val="32"/>
          <w:szCs w:val="32"/>
          <w:highlight w:val="none"/>
        </w:rPr>
        <w:t>甲    方：</w:t>
      </w:r>
      <w:r>
        <w:rPr>
          <w:rFonts w:hint="eastAsia" w:ascii="宋体" w:hAnsi="宋体" w:cs="宋体"/>
          <w:b/>
          <w:color w:val="auto"/>
          <w:sz w:val="32"/>
          <w:szCs w:val="32"/>
          <w:highlight w:val="none"/>
          <w:lang w:eastAsia="zh-CN"/>
        </w:rPr>
        <w:t>甘肃省第二人民医院</w:t>
      </w:r>
      <w:r>
        <w:rPr>
          <w:rFonts w:hint="eastAsia" w:ascii="宋体" w:hAnsi="宋体" w:cs="宋体"/>
          <w:b/>
          <w:color w:val="auto"/>
          <w:sz w:val="32"/>
          <w:szCs w:val="32"/>
          <w:highlight w:val="none"/>
          <w:lang w:val="en-US" w:eastAsia="zh-CN"/>
        </w:rPr>
        <w:t xml:space="preserve"> </w:t>
      </w:r>
    </w:p>
    <w:p>
      <w:pPr>
        <w:spacing w:line="360" w:lineRule="auto"/>
        <w:ind w:firstLine="1928" w:firstLineChars="600"/>
        <w:jc w:val="left"/>
        <w:rPr>
          <w:rFonts w:ascii="宋体" w:hAnsi="宋体" w:cs="宋体"/>
          <w:b/>
          <w:color w:val="auto"/>
          <w:sz w:val="32"/>
          <w:szCs w:val="32"/>
          <w:highlight w:val="none"/>
        </w:rPr>
      </w:pPr>
      <w:r>
        <w:rPr>
          <w:rFonts w:hint="eastAsia" w:ascii="宋体" w:hAnsi="宋体" w:cs="宋体"/>
          <w:b/>
          <w:color w:val="auto"/>
          <w:sz w:val="32"/>
          <w:szCs w:val="32"/>
          <w:highlight w:val="none"/>
        </w:rPr>
        <w:t>乙    方：XXXXX</w:t>
      </w:r>
    </w:p>
    <w:p>
      <w:pPr>
        <w:tabs>
          <w:tab w:val="left" w:pos="1283"/>
        </w:tabs>
        <w:spacing w:before="42"/>
        <w:ind w:left="0" w:right="195" w:firstLine="0"/>
        <w:jc w:val="center"/>
        <w:rPr>
          <w:rFonts w:hint="eastAsia" w:ascii="黑体" w:eastAsia="黑体"/>
          <w:b/>
          <w:sz w:val="32"/>
        </w:rPr>
      </w:pPr>
      <w:r>
        <w:rPr>
          <w:rFonts w:hint="eastAsia" w:ascii="宋体" w:hAnsi="宋体" w:eastAsia="宋体" w:cs="宋体"/>
          <w:sz w:val="24"/>
          <w:szCs w:val="24"/>
        </w:rPr>
        <w:br w:type="page"/>
      </w:r>
      <w:r>
        <w:rPr>
          <w:rFonts w:hint="eastAsia" w:ascii="黑体" w:eastAsia="黑体"/>
          <w:b/>
          <w:sz w:val="32"/>
        </w:rPr>
        <w:t>合</w:t>
      </w:r>
      <w:r>
        <w:rPr>
          <w:rFonts w:hint="eastAsia" w:ascii="黑体" w:eastAsia="黑体"/>
          <w:b/>
          <w:sz w:val="32"/>
        </w:rPr>
        <w:tab/>
      </w:r>
      <w:r>
        <w:rPr>
          <w:rFonts w:hint="eastAsia" w:ascii="黑体" w:eastAsia="黑体"/>
          <w:b/>
          <w:sz w:val="32"/>
        </w:rPr>
        <w:t>同</w:t>
      </w:r>
    </w:p>
    <w:p>
      <w:pPr>
        <w:spacing w:line="360" w:lineRule="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(以下称甲方)</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乙方： </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(以下称乙方)</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发包人委托设计人承担</w:t>
      </w:r>
      <w:r>
        <w:rPr>
          <w:rFonts w:hint="eastAsia" w:ascii="宋体" w:hAnsi="宋体" w:eastAsia="宋体" w:cs="宋体"/>
          <w:sz w:val="24"/>
          <w:szCs w:val="24"/>
          <w:u w:val="single"/>
          <w:lang w:eastAsia="zh-CN"/>
        </w:rPr>
        <w:t>甘肃省第二人民医院消毒供应中心</w:t>
      </w:r>
      <w:r>
        <w:rPr>
          <w:rFonts w:hint="eastAsia" w:ascii="宋体" w:hAnsi="宋体" w:eastAsia="宋体" w:cs="宋体"/>
          <w:sz w:val="24"/>
          <w:szCs w:val="24"/>
          <w:u w:val="single"/>
          <w:lang w:val="en-US" w:eastAsia="zh-CN"/>
        </w:rPr>
        <w:t>装修改造工程项目设计</w:t>
      </w:r>
      <w:r>
        <w:rPr>
          <w:rFonts w:hint="eastAsia" w:ascii="宋体" w:hAnsi="宋体" w:eastAsia="宋体" w:cs="宋体"/>
          <w:sz w:val="24"/>
          <w:szCs w:val="24"/>
        </w:rPr>
        <w:t>，工程地点为</w:t>
      </w:r>
      <w:r>
        <w:rPr>
          <w:rFonts w:hint="eastAsia" w:ascii="宋体" w:hAnsi="宋体" w:eastAsia="宋体" w:cs="宋体"/>
          <w:sz w:val="24"/>
          <w:szCs w:val="24"/>
          <w:lang w:eastAsia="zh-CN"/>
        </w:rPr>
        <w:t>甘肃省第二人民医院</w:t>
      </w:r>
      <w:r>
        <w:rPr>
          <w:rFonts w:hint="eastAsia" w:ascii="宋体" w:hAnsi="宋体" w:eastAsia="宋体" w:cs="宋体"/>
          <w:sz w:val="24"/>
          <w:szCs w:val="24"/>
        </w:rPr>
        <w:t>（具体地点） ，经双方协商一致，签订本合同，共同执行。</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第一条、本合同签订论据</w:t>
      </w:r>
    </w:p>
    <w:p>
      <w:pPr>
        <w:spacing w:line="360" w:lineRule="auto"/>
        <w:rPr>
          <w:rFonts w:hint="eastAsia" w:ascii="宋体" w:hAnsi="宋体" w:eastAsia="宋体" w:cs="宋体"/>
          <w:sz w:val="24"/>
          <w:szCs w:val="24"/>
        </w:rPr>
      </w:pPr>
      <w:r>
        <w:rPr>
          <w:rFonts w:hint="eastAsia" w:ascii="宋体" w:hAnsi="宋体" w:eastAsia="宋体" w:cs="宋体"/>
          <w:sz w:val="24"/>
          <w:szCs w:val="24"/>
        </w:rPr>
        <w:t>《中华人民共和国合同法》、《中华人民共和国建筑法》和《建设工程勘察设计市场管理规定》。国家及地方有关建设工程设计管理法规和规章。建设工程批准文件。</w:t>
      </w:r>
    </w:p>
    <w:p>
      <w:pPr>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第二条、设计依据</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发包人给设计人的委托书或设计中标文件</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发包人提交的基础资料</w:t>
      </w:r>
    </w:p>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设计人采用的主要技术标准是：</w:t>
      </w:r>
    </w:p>
    <w:p>
      <w:pPr>
        <w:spacing w:line="360" w:lineRule="auto"/>
        <w:rPr>
          <w:rFonts w:hint="eastAsia" w:ascii="宋体" w:hAnsi="宋体" w:eastAsia="宋体" w:cs="宋体"/>
          <w:sz w:val="24"/>
          <w:szCs w:val="24"/>
        </w:rPr>
      </w:pPr>
      <w:r>
        <w:rPr>
          <w:rFonts w:hint="eastAsia" w:ascii="宋体" w:hAnsi="宋体" w:eastAsia="宋体" w:cs="宋体"/>
          <w:sz w:val="24"/>
          <w:szCs w:val="24"/>
        </w:rPr>
        <w:t>《建筑地基基础设计规范》、《房屋建筑制图统一标准》、《总图制图标准》、《建筑制图标准》、《给水排水制图标准》、《暖通空调制图标准》、《湿陷性黄土地区建筑规范》、《民用建筑设计通则》、《民用建筑节水设计标准》、《建筑设计防火规范》、《建筑给水排水设计规范》、《建筑照明设计标准》、《公共建筑节能设计标准》。</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第三条、合同文件的优先次序</w:t>
      </w:r>
    </w:p>
    <w:p>
      <w:pPr>
        <w:spacing w:line="360" w:lineRule="auto"/>
        <w:rPr>
          <w:rFonts w:hint="eastAsia" w:ascii="宋体" w:hAnsi="宋体" w:eastAsia="宋体" w:cs="宋体"/>
          <w:sz w:val="24"/>
          <w:szCs w:val="24"/>
        </w:rPr>
      </w:pPr>
      <w:r>
        <w:rPr>
          <w:rFonts w:hint="eastAsia" w:ascii="宋体" w:hAnsi="宋体" w:eastAsia="宋体" w:cs="宋体"/>
          <w:sz w:val="24"/>
          <w:szCs w:val="24"/>
        </w:rPr>
        <w:t>构成本合同的文件可视为是能互相说明的，如果合同文件存在歧义或不一致，则根据如下优先次序来判断：</w:t>
      </w:r>
    </w:p>
    <w:p>
      <w:pPr>
        <w:spacing w:line="360" w:lineRule="auto"/>
        <w:rPr>
          <w:rFonts w:hint="eastAsia" w:ascii="宋体" w:hAnsi="宋体" w:eastAsia="宋体" w:cs="宋体"/>
          <w:sz w:val="24"/>
          <w:szCs w:val="24"/>
        </w:rPr>
      </w:pPr>
      <w:r>
        <w:rPr>
          <w:rFonts w:hint="eastAsia" w:ascii="宋体" w:hAnsi="宋体" w:eastAsia="宋体" w:cs="宋体"/>
          <w:sz w:val="24"/>
          <w:szCs w:val="24"/>
        </w:rPr>
        <w:t>合同协议书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投标函及附录</w:t>
      </w:r>
    </w:p>
    <w:p>
      <w:pPr>
        <w:spacing w:line="360" w:lineRule="auto"/>
        <w:rPr>
          <w:rFonts w:hint="eastAsia" w:ascii="宋体" w:hAnsi="宋体" w:eastAsia="宋体" w:cs="宋体"/>
          <w:sz w:val="24"/>
          <w:szCs w:val="24"/>
        </w:rPr>
      </w:pPr>
      <w:r>
        <w:rPr>
          <w:rFonts w:hint="eastAsia" w:ascii="宋体" w:hAnsi="宋体" w:eastAsia="宋体" w:cs="宋体"/>
          <w:sz w:val="24"/>
          <w:szCs w:val="24"/>
        </w:rPr>
        <w:t>发包人要求及委托书</w:t>
      </w:r>
    </w:p>
    <w:p>
      <w:pPr>
        <w:spacing w:line="360" w:lineRule="auto"/>
        <w:rPr>
          <w:rFonts w:hint="eastAsia" w:ascii="宋体" w:hAnsi="宋体" w:eastAsia="宋体" w:cs="宋体"/>
          <w:sz w:val="24"/>
          <w:szCs w:val="24"/>
        </w:rPr>
      </w:pPr>
      <w:r>
        <w:rPr>
          <w:rFonts w:hint="eastAsia" w:ascii="宋体" w:hAnsi="宋体" w:eastAsia="宋体" w:cs="宋体"/>
          <w:sz w:val="24"/>
          <w:szCs w:val="24"/>
        </w:rPr>
        <w:t>报价文件</w:t>
      </w:r>
    </w:p>
    <w:p>
      <w:pPr>
        <w:spacing w:line="360" w:lineRule="auto"/>
        <w:rPr>
          <w:rFonts w:hint="eastAsia" w:ascii="宋体" w:hAnsi="宋体" w:eastAsia="宋体" w:cs="宋体"/>
          <w:sz w:val="24"/>
          <w:szCs w:val="24"/>
        </w:rPr>
      </w:pPr>
      <w:r>
        <w:rPr>
          <w:rFonts w:hint="eastAsia" w:ascii="宋体" w:hAnsi="宋体" w:eastAsia="宋体" w:cs="宋体"/>
          <w:sz w:val="24"/>
          <w:szCs w:val="24"/>
          <w:lang w:eastAsia="zh-CN"/>
        </w:rPr>
        <w:t>招标</w:t>
      </w:r>
      <w:r>
        <w:rPr>
          <w:rFonts w:hint="eastAsia" w:ascii="宋体" w:hAnsi="宋体" w:eastAsia="宋体" w:cs="宋体"/>
          <w:sz w:val="24"/>
          <w:szCs w:val="24"/>
        </w:rPr>
        <w:t>文件</w:t>
      </w:r>
    </w:p>
    <w:p>
      <w:pPr>
        <w:numPr>
          <w:ilvl w:val="0"/>
          <w:numId w:val="7"/>
        </w:numPr>
        <w:spacing w:line="360" w:lineRule="auto"/>
        <w:rPr>
          <w:rFonts w:hint="eastAsia" w:ascii="宋体" w:hAnsi="宋体" w:eastAsia="宋体" w:cs="宋体"/>
          <w:sz w:val="24"/>
          <w:szCs w:val="24"/>
        </w:rPr>
      </w:pPr>
      <w:r>
        <w:rPr>
          <w:rFonts w:hint="eastAsia" w:ascii="宋体" w:hAnsi="宋体" w:eastAsia="宋体" w:cs="宋体"/>
          <w:sz w:val="24"/>
          <w:szCs w:val="24"/>
        </w:rPr>
        <w:t>该项目位于</w:t>
      </w:r>
      <w:r>
        <w:rPr>
          <w:rFonts w:hint="eastAsia" w:ascii="宋体" w:hAnsi="宋体" w:eastAsia="宋体" w:cs="宋体"/>
          <w:sz w:val="24"/>
          <w:szCs w:val="24"/>
          <w:lang w:eastAsia="zh-CN"/>
        </w:rPr>
        <w:t>城关区民主西路和政西街</w:t>
      </w:r>
      <w:r>
        <w:rPr>
          <w:rFonts w:hint="eastAsia" w:ascii="宋体" w:hAnsi="宋体" w:eastAsia="宋体" w:cs="宋体"/>
          <w:sz w:val="24"/>
          <w:szCs w:val="24"/>
          <w:lang w:val="en-US" w:eastAsia="zh-CN"/>
        </w:rPr>
        <w:t>1号甘肃省第二人民医院1号楼负一层</w:t>
      </w:r>
      <w:r>
        <w:rPr>
          <w:rFonts w:hint="eastAsia" w:ascii="宋体" w:hAnsi="宋体" w:eastAsia="宋体" w:cs="宋体"/>
          <w:sz w:val="24"/>
          <w:szCs w:val="24"/>
        </w:rPr>
        <w:t>。</w:t>
      </w:r>
    </w:p>
    <w:p>
      <w:pPr>
        <w:numPr>
          <w:ilvl w:val="0"/>
          <w:numId w:val="0"/>
        </w:numPr>
        <w:spacing w:line="360" w:lineRule="auto"/>
        <w:rPr>
          <w:rFonts w:hint="eastAsia" w:ascii="宋体" w:hAnsi="宋体" w:eastAsia="宋体" w:cs="宋体"/>
          <w:sz w:val="24"/>
          <w:szCs w:val="24"/>
        </w:rPr>
      </w:pPr>
      <w:r>
        <w:rPr>
          <w:rFonts w:hint="eastAsia" w:ascii="宋体" w:hAnsi="宋体" w:eastAsia="宋体" w:cs="宋体"/>
          <w:sz w:val="24"/>
          <w:szCs w:val="24"/>
        </w:rPr>
        <w:t>第五条、发包人向设计人提交的有关资料、文件及时间：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第六条、设计人向发包人交付的设计文件、份数、地点及时间。</w:t>
      </w:r>
    </w:p>
    <w:p>
      <w:pPr>
        <w:spacing w:line="360" w:lineRule="auto"/>
        <w:rPr>
          <w:rFonts w:hint="eastAsia" w:ascii="宋体" w:hAnsi="宋体" w:eastAsia="宋体" w:cs="宋体"/>
          <w:sz w:val="24"/>
          <w:szCs w:val="24"/>
        </w:rPr>
      </w:pPr>
      <w:r>
        <w:rPr>
          <w:rFonts w:hint="eastAsia" w:ascii="宋体" w:hAnsi="宋体" w:eastAsia="宋体" w:cs="宋体"/>
          <w:sz w:val="24"/>
          <w:szCs w:val="24"/>
        </w:rPr>
        <w:t>第七条、费用</w:t>
      </w: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7.1 双方商定，本合同的设计费为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万元。收费依据和计算方按国家和地方有关规定执行， 国家和地方没有规定的，由双方商定。本合同的终设计费须经政府有关部门评审。</w:t>
      </w:r>
    </w:p>
    <w:p>
      <w:pPr>
        <w:spacing w:line="360" w:lineRule="auto"/>
        <w:rPr>
          <w:rFonts w:hint="eastAsia" w:ascii="宋体" w:hAnsi="宋体" w:eastAsia="宋体" w:cs="宋体"/>
          <w:sz w:val="24"/>
          <w:szCs w:val="24"/>
        </w:rPr>
      </w:pPr>
      <w:r>
        <w:rPr>
          <w:rFonts w:hint="eastAsia" w:ascii="宋体" w:hAnsi="宋体" w:eastAsia="宋体" w:cs="宋体"/>
          <w:sz w:val="24"/>
          <w:szCs w:val="24"/>
        </w:rPr>
        <w:t>第八条、支付方式</w:t>
      </w:r>
      <w:r>
        <w:rPr>
          <w:rFonts w:hint="eastAsia" w:ascii="宋体" w:hAnsi="宋体" w:cs="宋体"/>
          <w:sz w:val="24"/>
          <w:szCs w:val="24"/>
          <w:lang w:eastAsia="zh-CN"/>
        </w:rPr>
        <w:t>：</w:t>
      </w:r>
      <w:r>
        <w:rPr>
          <w:rFonts w:hint="eastAsia" w:ascii="宋体" w:hAnsi="宋体" w:cs="宋体"/>
          <w:color w:val="auto"/>
          <w:sz w:val="24"/>
          <w:lang w:val="zh-CN" w:eastAsia="zh-CN"/>
        </w:rPr>
        <w:t>经甲方确定，乙方最终提交正式施工图纸后，甲方一次性支付全部设计费的</w:t>
      </w:r>
      <w:r>
        <w:rPr>
          <w:rFonts w:hint="eastAsia" w:ascii="宋体" w:hAnsi="宋体" w:cs="宋体"/>
          <w:color w:val="auto"/>
          <w:sz w:val="24"/>
          <w:lang w:val="en-US" w:eastAsia="zh-CN"/>
        </w:rPr>
        <w:t>80%，待工程竣工验收后，无息支付全部剩余设计费。</w:t>
      </w:r>
    </w:p>
    <w:p>
      <w:pPr>
        <w:spacing w:line="360" w:lineRule="auto"/>
        <w:rPr>
          <w:rFonts w:hint="eastAsia" w:ascii="宋体" w:hAnsi="宋体" w:eastAsia="宋体" w:cs="宋体"/>
          <w:sz w:val="24"/>
          <w:szCs w:val="24"/>
        </w:rPr>
      </w:pPr>
      <w:r>
        <w:rPr>
          <w:rFonts w:hint="eastAsia" w:ascii="宋体" w:hAnsi="宋体" w:eastAsia="宋体" w:cs="宋体"/>
          <w:sz w:val="24"/>
          <w:szCs w:val="24"/>
        </w:rPr>
        <w:t>第九条、双方责任</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发包人责任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按本合同第五条规定的内容，在规定的时间内向设计人提交基础资料及文件，并对其完整性、正确性及时限负责。发包人不得要求设计人违反国家有关标准进行设计。发包人提交上述资料及文件超过规定期限 15 天以内，设计人按本合同第六条规定的交付设计文件时间顺延；发包人交付上述资料及文件超过规定期限 15 天以上时，设计人有权重新确定提交设计文件的时间。</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发包人变更委托设计项目、规模、条件或因提交的资料错误，或所提交资料作较大修改，以致造成设计人设计返工时，双方除另行协商签订补充协议（或另订合同）、重新明确有关条款外， 发包人应按设计人所耗工作量向设计人支付返工费。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在未签订合同前发包人已同意，设计人为发包人所做的各项设计工作，发包人应支付相应设计费。</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在合同履行期间，发包人要求终止或解除合同，已开始设计工作的，发包人应根据设计人已进行的实际工作量支付费用。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发包人要求设计人比合同规定时间提前交付设计文件时，须征得设计人同意，不得严重背离合理设计周期，且发包人应支付赶工费。</w:t>
      </w:r>
    </w:p>
    <w:p>
      <w:pPr>
        <w:spacing w:line="360" w:lineRule="auto"/>
        <w:rPr>
          <w:rFonts w:hint="eastAsia" w:ascii="宋体" w:hAnsi="宋体" w:eastAsia="宋体" w:cs="宋体"/>
          <w:sz w:val="24"/>
          <w:szCs w:val="24"/>
        </w:rPr>
      </w:pPr>
      <w:r>
        <w:rPr>
          <w:rFonts w:hint="eastAsia" w:ascii="宋体" w:hAnsi="宋体" w:eastAsia="宋体" w:cs="宋体"/>
          <w:sz w:val="24"/>
          <w:szCs w:val="24"/>
        </w:rPr>
        <w:t>设计文件中选用的国家标准图、部标准图及地方标准图由发包人负责解决。</w:t>
      </w:r>
    </w:p>
    <w:p>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设计人责任</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设计人应按国家规定和合同约定的技术规范、标准进行设计，按本合同第六条规定的内容、时间及份数向发包人交付设计文件。并对提交的设计文件的质量负责。</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设计合理使用年限为</w:t>
      </w:r>
      <w:r>
        <w:rPr>
          <w:rFonts w:hint="eastAsia" w:ascii="宋体" w:hAnsi="宋体" w:eastAsia="宋体" w:cs="宋体"/>
          <w:sz w:val="24"/>
          <w:szCs w:val="24"/>
          <w:lang w:eastAsia="zh-CN"/>
        </w:rPr>
        <w:t>：</w:t>
      </w:r>
      <w:r>
        <w:rPr>
          <w:rFonts w:hint="eastAsia" w:ascii="宋体" w:hAnsi="宋体" w:eastAsia="宋体" w:cs="宋体"/>
          <w:sz w:val="24"/>
          <w:szCs w:val="24"/>
        </w:rPr>
        <w:t>。</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负责对设计资料进行审查，负责该合同项日的设计联络工作。</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设计人对设计文件出现的遗漏或错误负责修改或补充。由于设计人设计错误造成工程质量事故损失，设计人除负责采取补救措施外，应免收受损失部分的设计费，应赔偿甲方或第三方因此  遭受的损失，最高赔偿金额为该项目设计费的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由于设计人原因，延误了设计文件交付时间，每延误一天，应减收该项目应收设计费的千分之一。</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设计人交付设计文件后，按规定参加有关上级的设计审查，并根据审查结论负责不超出原定范围的内容做必要调整补充。设计人按合同规定时限交付设计文件一年内项目开始施工，负责向发包人及施工单位进行设计交底、处理有关设计问题和参加竣工验收。在一年内项目尚未开始施工，设计人仍负责上述工作，可按所需工作量向发包人适当收取咨询服务费，收费额由双方商定。</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第十条、保密</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双方均应保护对方的知识产权，未经对方同意，任何一方均不得对对方的资料及文件擅自修改、复制或向第三人转让或用于本合同项目外的项目。如发生以上情况，泄密方承担一切由此引起的后果   并承担赔偿责任。</w:t>
      </w:r>
    </w:p>
    <w:p>
      <w:pPr>
        <w:spacing w:line="360" w:lineRule="auto"/>
        <w:rPr>
          <w:rFonts w:hint="eastAsia" w:ascii="宋体" w:hAnsi="宋体" w:eastAsia="宋体" w:cs="宋体"/>
          <w:sz w:val="24"/>
          <w:szCs w:val="24"/>
        </w:rPr>
      </w:pPr>
      <w:r>
        <w:rPr>
          <w:rFonts w:hint="eastAsia" w:ascii="宋体" w:hAnsi="宋体" w:eastAsia="宋体" w:cs="宋体"/>
          <w:sz w:val="24"/>
          <w:szCs w:val="24"/>
        </w:rPr>
        <w:t>第十一条、仲裁</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本建设工程设计合同发生争议，发包人与设计人应及时协商解决。也可由当地建设行政主管部门调解，调解不成时，可向人民法院起诉。</w:t>
      </w:r>
    </w:p>
    <w:p>
      <w:pPr>
        <w:spacing w:line="360" w:lineRule="auto"/>
        <w:ind w:right="6380"/>
        <w:rPr>
          <w:rFonts w:ascii="宋体" w:hAnsi="宋体"/>
          <w:b/>
          <w:sz w:val="24"/>
          <w:szCs w:val="24"/>
        </w:rPr>
      </w:pPr>
      <w:r>
        <w:rPr>
          <w:rFonts w:ascii="宋体" w:hAnsi="宋体"/>
          <w:b/>
          <w:sz w:val="24"/>
          <w:szCs w:val="24"/>
        </w:rPr>
        <w:t>合同生效</w:t>
      </w:r>
    </w:p>
    <w:p>
      <w:pPr>
        <w:spacing w:line="360" w:lineRule="auto"/>
        <w:ind w:left="420" w:right="6380"/>
        <w:rPr>
          <w:rFonts w:ascii="宋体" w:hAnsi="宋体"/>
          <w:b/>
          <w:sz w:val="24"/>
          <w:szCs w:val="24"/>
        </w:rPr>
      </w:pPr>
      <w:r>
        <w:rPr>
          <w:rFonts w:ascii="宋体" w:hAnsi="宋体"/>
          <w:b/>
          <w:sz w:val="24"/>
          <w:szCs w:val="24"/>
        </w:rPr>
        <w:t>合同订立时间：</w:t>
      </w:r>
    </w:p>
    <w:p>
      <w:pPr>
        <w:spacing w:line="360" w:lineRule="auto"/>
        <w:ind w:left="420"/>
        <w:rPr>
          <w:rFonts w:hint="eastAsia" w:ascii="宋体" w:hAnsi="宋体" w:eastAsia="宋体"/>
          <w:b w:val="0"/>
          <w:bCs/>
          <w:sz w:val="24"/>
          <w:szCs w:val="24"/>
          <w:lang w:eastAsia="zh-CN"/>
        </w:rPr>
      </w:pPr>
      <w:r>
        <w:rPr>
          <w:rFonts w:ascii="宋体" w:hAnsi="宋体"/>
          <w:b/>
          <w:sz w:val="24"/>
          <w:szCs w:val="24"/>
        </w:rPr>
        <w:t>合同订立地点：</w:t>
      </w:r>
      <w:r>
        <w:rPr>
          <w:rFonts w:hint="eastAsia" w:ascii="宋体" w:hAnsi="宋体"/>
          <w:b w:val="0"/>
          <w:bCs/>
          <w:sz w:val="24"/>
          <w:szCs w:val="24"/>
          <w:lang w:eastAsia="zh-CN"/>
        </w:rPr>
        <w:t>甘肃省第二人民医院</w:t>
      </w:r>
    </w:p>
    <w:p>
      <w:pPr>
        <w:spacing w:line="360" w:lineRule="auto"/>
        <w:ind w:firstLine="520" w:firstLineChars="200"/>
        <w:textAlignment w:val="baseline"/>
        <w:rPr>
          <w:rFonts w:ascii="宋体" w:hAnsi="宋体" w:cs="宋体"/>
          <w:color w:val="000000"/>
          <w:spacing w:val="10"/>
          <w:sz w:val="24"/>
          <w:szCs w:val="24"/>
        </w:rPr>
      </w:pPr>
      <w:r>
        <w:rPr>
          <w:rFonts w:hint="eastAsia" w:ascii="宋体" w:hAnsi="宋体" w:cs="宋体"/>
          <w:color w:val="000000"/>
          <w:spacing w:val="10"/>
          <w:sz w:val="24"/>
          <w:szCs w:val="24"/>
        </w:rPr>
        <w:t>十、本合同一式</w:t>
      </w:r>
      <w:r>
        <w:rPr>
          <w:rFonts w:hint="eastAsia" w:ascii="宋体" w:hAnsi="宋体" w:cs="宋体"/>
          <w:color w:val="000000"/>
          <w:spacing w:val="10"/>
          <w:sz w:val="24"/>
          <w:szCs w:val="24"/>
          <w:lang w:eastAsia="zh-CN"/>
        </w:rPr>
        <w:t>四</w:t>
      </w:r>
      <w:r>
        <w:rPr>
          <w:rFonts w:hint="eastAsia" w:ascii="宋体" w:hAnsi="宋体" w:cs="宋体"/>
          <w:color w:val="000000"/>
          <w:spacing w:val="10"/>
          <w:sz w:val="24"/>
          <w:szCs w:val="24"/>
        </w:rPr>
        <w:t>份，经</w:t>
      </w:r>
      <w:r>
        <w:rPr>
          <w:rFonts w:hint="eastAsia" w:ascii="宋体" w:hAnsi="宋体" w:cs="宋体"/>
          <w:color w:val="000000"/>
          <w:spacing w:val="10"/>
          <w:sz w:val="24"/>
          <w:szCs w:val="24"/>
          <w:lang w:eastAsia="zh-CN"/>
        </w:rPr>
        <w:t>甲乙</w:t>
      </w:r>
      <w:r>
        <w:rPr>
          <w:rFonts w:hint="eastAsia" w:ascii="宋体" w:hAnsi="宋体" w:cs="宋体"/>
          <w:color w:val="000000"/>
          <w:spacing w:val="10"/>
          <w:sz w:val="24"/>
          <w:szCs w:val="24"/>
        </w:rPr>
        <w:t>双方签字盖章之日起生效，</w:t>
      </w:r>
      <w:r>
        <w:rPr>
          <w:rFonts w:hint="eastAsia" w:ascii="宋体" w:hAnsi="宋体" w:cs="宋体"/>
          <w:color w:val="000000"/>
          <w:spacing w:val="10"/>
          <w:sz w:val="24"/>
          <w:szCs w:val="24"/>
          <w:lang w:eastAsia="zh-CN"/>
        </w:rPr>
        <w:t>甲乙双方各两份</w:t>
      </w:r>
      <w:r>
        <w:rPr>
          <w:rFonts w:hint="eastAsia" w:ascii="宋体" w:hAnsi="宋体" w:cs="宋体"/>
          <w:color w:val="000000"/>
          <w:spacing w:val="10"/>
          <w:sz w:val="24"/>
          <w:szCs w:val="24"/>
        </w:rPr>
        <w:t>,均具有同等法律效力。</w:t>
      </w: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spacing w:line="360" w:lineRule="auto"/>
        <w:ind w:firstLine="520" w:firstLineChars="200"/>
        <w:textAlignment w:val="baseline"/>
        <w:rPr>
          <w:rFonts w:ascii="宋体" w:hAnsi="宋体" w:cs="宋体"/>
          <w:color w:val="000000"/>
          <w:spacing w:val="10"/>
          <w:sz w:val="24"/>
          <w:szCs w:val="32"/>
        </w:rPr>
      </w:pPr>
    </w:p>
    <w:p>
      <w:pPr>
        <w:pStyle w:val="28"/>
        <w:rPr>
          <w:rFonts w:ascii="宋体" w:hAnsi="宋体" w:cs="宋体"/>
          <w:color w:val="000000"/>
          <w:spacing w:val="10"/>
          <w:sz w:val="24"/>
          <w:szCs w:val="32"/>
        </w:rPr>
      </w:pPr>
    </w:p>
    <w:p>
      <w:pPr>
        <w:rPr>
          <w:rFonts w:ascii="宋体" w:hAnsi="宋体" w:cs="宋体"/>
          <w:color w:val="000000"/>
          <w:spacing w:val="10"/>
          <w:sz w:val="24"/>
          <w:szCs w:val="32"/>
        </w:rPr>
      </w:pPr>
    </w:p>
    <w:p>
      <w:pPr>
        <w:pStyle w:val="28"/>
        <w:rPr>
          <w:rFonts w:ascii="宋体" w:hAnsi="宋体" w:cs="宋体"/>
          <w:color w:val="000000"/>
          <w:spacing w:val="10"/>
          <w:sz w:val="24"/>
          <w:szCs w:val="32"/>
        </w:rPr>
      </w:pPr>
    </w:p>
    <w:p>
      <w:pPr>
        <w:rPr>
          <w:rFonts w:ascii="宋体" w:hAnsi="宋体" w:cs="宋体"/>
          <w:color w:val="000000"/>
          <w:spacing w:val="10"/>
          <w:sz w:val="24"/>
          <w:szCs w:val="32"/>
        </w:rPr>
      </w:pPr>
    </w:p>
    <w:p>
      <w:pPr>
        <w:pStyle w:val="28"/>
        <w:rPr>
          <w:rFonts w:ascii="宋体" w:hAnsi="宋体" w:cs="宋体"/>
          <w:color w:val="000000"/>
          <w:spacing w:val="10"/>
          <w:sz w:val="24"/>
          <w:szCs w:val="32"/>
        </w:rPr>
      </w:pPr>
    </w:p>
    <w:p/>
    <w:p>
      <w:pPr>
        <w:spacing w:line="360" w:lineRule="auto"/>
        <w:textAlignment w:val="baseline"/>
        <w:rPr>
          <w:rFonts w:ascii="宋体" w:hAnsi="宋体" w:cs="宋体"/>
          <w:color w:val="000000"/>
          <w:spacing w:val="10"/>
          <w:sz w:val="24"/>
          <w:szCs w:val="32"/>
        </w:rPr>
      </w:pPr>
    </w:p>
    <w:p>
      <w:pPr>
        <w:spacing w:line="360" w:lineRule="auto"/>
        <w:ind w:firstLine="3900" w:firstLineChars="1500"/>
        <w:jc w:val="both"/>
        <w:textAlignment w:val="baseline"/>
        <w:rPr>
          <w:rFonts w:ascii="宋体" w:hAnsi="宋体" w:cs="宋体"/>
          <w:color w:val="000000"/>
          <w:spacing w:val="10"/>
          <w:sz w:val="24"/>
          <w:szCs w:val="32"/>
        </w:rPr>
      </w:pPr>
      <w:r>
        <w:rPr>
          <w:rFonts w:hint="eastAsia" w:ascii="宋体" w:hAnsi="宋体" w:cs="宋体"/>
          <w:color w:val="000000"/>
          <w:spacing w:val="10"/>
          <w:sz w:val="24"/>
          <w:szCs w:val="32"/>
        </w:rPr>
        <w:t>以下无正文</w:t>
      </w:r>
    </w:p>
    <w:tbl>
      <w:tblPr>
        <w:tblStyle w:val="35"/>
        <w:tblW w:w="9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4"/>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23" w:hRule="atLeast"/>
          <w:jc w:val="center"/>
        </w:trPr>
        <w:tc>
          <w:tcPr>
            <w:tcW w:w="4614"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甲方（公章）：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tcBorders>
              <w:bottom w:val="single" w:color="auto" w:sz="4" w:space="0"/>
            </w:tcBorders>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乙方（公章）：</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地址：</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电话：</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8" w:hRule="atLeas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法定代表人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或委托代理人：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3"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经 办 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联系人:</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签字日期：      年     月     日</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8" w:hRule="exact"/>
          <w:jc w:val="center"/>
        </w:trPr>
        <w:tc>
          <w:tcPr>
            <w:tcW w:w="4614"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 xml:space="preserve">开户行： </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c>
          <w:tcPr>
            <w:tcW w:w="4866" w:type="dxa"/>
            <w:vAlign w:val="center"/>
          </w:tcPr>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开户行：</w:t>
            </w: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p>
          <w:p>
            <w:pPr>
              <w:keepNext w:val="0"/>
              <w:keepLines w:val="0"/>
              <w:suppressLineNumbers w:val="0"/>
              <w:spacing w:before="0" w:beforeAutospacing="0" w:after="0" w:afterAutospacing="0" w:line="480" w:lineRule="exact"/>
              <w:ind w:left="0" w:right="0"/>
              <w:rPr>
                <w:rFonts w:hint="default" w:ascii="宋体" w:hAnsi="宋体" w:cs="宋体"/>
                <w:color w:val="000000" w:themeColor="text1"/>
                <w:sz w:val="24"/>
              </w:rPr>
            </w:pPr>
            <w:r>
              <w:rPr>
                <w:rFonts w:hint="eastAsia" w:ascii="宋体" w:hAnsi="宋体" w:cs="宋体"/>
                <w:color w:val="000000" w:themeColor="text1"/>
                <w:sz w:val="24"/>
              </w:rPr>
              <w:t>账号：</w:t>
            </w:r>
          </w:p>
        </w:tc>
      </w:tr>
    </w:tbl>
    <w:p>
      <w:pPr>
        <w:pStyle w:val="28"/>
        <w:rPr>
          <w:rFonts w:hint="eastAsia"/>
        </w:rPr>
      </w:pPr>
    </w:p>
    <w:p>
      <w:pPr>
        <w:pStyle w:val="2"/>
        <w:rPr>
          <w:rFonts w:hint="eastAsia" w:ascii="宋体" w:hAnsi="宋体" w:cs="宋体"/>
          <w:b/>
          <w:bCs/>
          <w:sz w:val="48"/>
          <w:szCs w:val="48"/>
        </w:rPr>
      </w:pPr>
    </w:p>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48D2BBA"/>
    <w:multiLevelType w:val="singleLevel"/>
    <w:tmpl w:val="048D2BBA"/>
    <w:lvl w:ilvl="0" w:tentative="0">
      <w:start w:val="4"/>
      <w:numFmt w:val="chineseCounting"/>
      <w:suff w:val="nothing"/>
      <w:lvlText w:val="第%1条、"/>
      <w:lvlJc w:val="left"/>
      <w:rPr>
        <w:rFonts w:hint="eastAsia"/>
      </w:rPr>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9DF3391"/>
    <w:multiLevelType w:val="singleLevel"/>
    <w:tmpl w:val="59DF3391"/>
    <w:lvl w:ilvl="0" w:tentative="0">
      <w:start w:val="7"/>
      <w:numFmt w:val="decimal"/>
      <w:suff w:val="space"/>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2584B"/>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366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A26A9"/>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D2018F"/>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5154B"/>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D0E70"/>
    <w:rsid w:val="182E738B"/>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02CD8"/>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2454D1"/>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2069C"/>
    <w:rsid w:val="1BF32B84"/>
    <w:rsid w:val="1BFA467D"/>
    <w:rsid w:val="1C0D215E"/>
    <w:rsid w:val="1C19243D"/>
    <w:rsid w:val="1C2359D5"/>
    <w:rsid w:val="1C2C6735"/>
    <w:rsid w:val="1C314301"/>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187"/>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32E1"/>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EF1362"/>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5D17"/>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2D55"/>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82933"/>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BF5143"/>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33863"/>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4DCC"/>
    <w:rsid w:val="2F4174F5"/>
    <w:rsid w:val="2F4406AA"/>
    <w:rsid w:val="2F44328A"/>
    <w:rsid w:val="2F4F3FB5"/>
    <w:rsid w:val="2F51072B"/>
    <w:rsid w:val="2F513FA4"/>
    <w:rsid w:val="2F63266B"/>
    <w:rsid w:val="2F78287E"/>
    <w:rsid w:val="2F7A1CD5"/>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816A7"/>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80CB8"/>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34341"/>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766C14"/>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2EE2"/>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65793"/>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AA63E1"/>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B262C"/>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2876"/>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727C3"/>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CB7A11"/>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A4A9B"/>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A5436"/>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7B72DB"/>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A53BB"/>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9780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9C5794"/>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5433F"/>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B92F18"/>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E2D41"/>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4E175B"/>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1200"/>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753CD"/>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0</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2020-03-17T00:13:23Z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