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9"/>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第二人民医院手术室及ICU改造工程设计及造价招标</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9"/>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SEY-2020YNCG-043</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4"/>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327439434"/>
      <w:bookmarkStart w:id="3" w:name="_Toc128372729"/>
      <w:bookmarkStart w:id="4" w:name="_Toc139965325"/>
      <w:bookmarkStart w:id="5" w:name="_Toc128372051"/>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6"/>
      </w:pPr>
    </w:p>
    <w:p/>
    <w:p>
      <w:pPr>
        <w:rPr>
          <w:rFonts w:ascii="宋体" w:hAnsi="宋体" w:cs="宋体"/>
        </w:rPr>
      </w:pPr>
    </w:p>
    <w:p>
      <w:pPr>
        <w:pStyle w:val="4"/>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甘肃省第二人民医院手术室及ICU改造工程</w:t>
      </w:r>
      <w:r>
        <w:rPr>
          <w:rFonts w:hint="eastAsia" w:ascii="宋体" w:hAnsi="宋体" w:cs="宋体"/>
          <w:bCs/>
          <w:color w:val="auto"/>
          <w:sz w:val="24"/>
        </w:rPr>
        <w:t>项目</w:t>
      </w:r>
      <w:r>
        <w:rPr>
          <w:rFonts w:hint="eastAsia" w:ascii="宋体" w:hAnsi="宋体" w:cs="宋体"/>
          <w:bCs/>
          <w:color w:val="auto"/>
          <w:sz w:val="24"/>
          <w:lang w:eastAsia="zh-CN"/>
        </w:rPr>
        <w:t>的设计及造价公司</w:t>
      </w:r>
      <w:r>
        <w:rPr>
          <w:rFonts w:hint="eastAsia" w:ascii="宋体" w:hAnsi="宋体" w:cs="宋体"/>
          <w:color w:val="auto"/>
          <w:sz w:val="24"/>
        </w:rPr>
        <w:t>以公开招标形式进行采购，欢迎符合资格条件的投标人前来参加。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SEY-2020YNCG-043</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20"/>
        <w:keepNext w:val="0"/>
        <w:keepLines w:val="0"/>
        <w:pageBreakBefore w:val="0"/>
        <w:kinsoku/>
        <w:wordWrap/>
        <w:overflowPunct/>
        <w:topLinePunct w:val="0"/>
        <w:autoSpaceDE/>
        <w:autoSpaceDN/>
        <w:bidi w:val="0"/>
        <w:spacing w:before="0" w:beforeAutospacing="0" w:line="420" w:lineRule="exact"/>
        <w:ind w:firstLine="240" w:firstLineChars="100"/>
        <w:rPr>
          <w:rFonts w:hint="eastAsia" w:ascii="宋体" w:hAnsi="宋体" w:cs="宋体"/>
          <w:bCs/>
          <w:color w:val="auto"/>
          <w:sz w:val="24"/>
          <w:lang w:eastAsia="zh-CN"/>
        </w:rPr>
      </w:pPr>
      <w:r>
        <w:rPr>
          <w:rFonts w:hint="eastAsia" w:hAnsi="宋体" w:cs="宋体"/>
          <w:bCs/>
          <w:color w:val="auto"/>
          <w:sz w:val="24"/>
          <w:lang w:eastAsia="zh-CN"/>
        </w:rPr>
        <w:t>第一包：</w:t>
      </w:r>
      <w:r>
        <w:rPr>
          <w:rFonts w:hint="eastAsia" w:ascii="宋体" w:hAnsi="宋体" w:cs="宋体"/>
          <w:bCs/>
          <w:color w:val="auto"/>
          <w:sz w:val="24"/>
          <w:lang w:eastAsia="zh-CN"/>
        </w:rPr>
        <w:t>手术室及ICU改造工程</w:t>
      </w:r>
      <w:r>
        <w:rPr>
          <w:rFonts w:hint="eastAsia" w:ascii="宋体" w:hAnsi="宋体" w:cs="宋体"/>
          <w:bCs/>
          <w:color w:val="auto"/>
          <w:sz w:val="24"/>
        </w:rPr>
        <w:t>项目</w:t>
      </w:r>
      <w:r>
        <w:rPr>
          <w:rFonts w:hint="eastAsia" w:ascii="宋体" w:hAnsi="宋体" w:cs="宋体"/>
          <w:bCs/>
          <w:color w:val="auto"/>
          <w:sz w:val="24"/>
          <w:lang w:eastAsia="zh-CN"/>
        </w:rPr>
        <w:t>设计</w:t>
      </w:r>
      <w:r>
        <w:rPr>
          <w:rFonts w:hint="eastAsia" w:ascii="宋体" w:hAnsi="宋体" w:cs="宋体"/>
          <w:color w:val="auto"/>
          <w:sz w:val="24"/>
        </w:rPr>
        <w:t>(具体招标要求详见招标文件)</w:t>
      </w:r>
    </w:p>
    <w:p>
      <w:pPr>
        <w:pStyle w:val="20"/>
        <w:keepNext w:val="0"/>
        <w:keepLines w:val="0"/>
        <w:pageBreakBefore w:val="0"/>
        <w:kinsoku/>
        <w:wordWrap/>
        <w:overflowPunct/>
        <w:topLinePunct w:val="0"/>
        <w:autoSpaceDE/>
        <w:autoSpaceDN/>
        <w:bidi w:val="0"/>
        <w:spacing w:before="0" w:beforeAutospacing="0" w:line="420" w:lineRule="exact"/>
        <w:ind w:firstLine="240" w:firstLineChars="100"/>
        <w:rPr>
          <w:rFonts w:ascii="宋体" w:hAnsi="宋体" w:cs="宋体"/>
          <w:color w:val="auto"/>
          <w:sz w:val="24"/>
        </w:rPr>
      </w:pPr>
      <w:r>
        <w:rPr>
          <w:rFonts w:hint="eastAsia" w:hAnsi="宋体" w:cs="宋体"/>
          <w:bCs/>
          <w:color w:val="auto"/>
          <w:sz w:val="24"/>
          <w:lang w:eastAsia="zh-CN"/>
        </w:rPr>
        <w:t>第二包：</w:t>
      </w:r>
      <w:r>
        <w:rPr>
          <w:rFonts w:hint="eastAsia" w:ascii="宋体" w:hAnsi="宋体" w:cs="宋体"/>
          <w:bCs/>
          <w:color w:val="auto"/>
          <w:sz w:val="24"/>
          <w:lang w:eastAsia="zh-CN"/>
        </w:rPr>
        <w:t>手术室及ICU改造工程</w:t>
      </w:r>
      <w:r>
        <w:rPr>
          <w:rFonts w:hint="eastAsia" w:ascii="宋体" w:hAnsi="宋体" w:cs="宋体"/>
          <w:bCs/>
          <w:color w:val="auto"/>
          <w:sz w:val="24"/>
        </w:rPr>
        <w:t>项目</w:t>
      </w:r>
      <w:r>
        <w:rPr>
          <w:rFonts w:hint="eastAsia" w:hAnsi="宋体" w:cs="宋体"/>
          <w:bCs/>
          <w:color w:val="auto"/>
          <w:sz w:val="24"/>
          <w:lang w:eastAsia="zh-CN"/>
        </w:rPr>
        <w:t>造价</w:t>
      </w: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1"/>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建设行政主管部门颁发的建筑行业（建筑工程）设计</w:t>
      </w:r>
      <w:r>
        <w:rPr>
          <w:rFonts w:hint="eastAsia" w:ascii="宋体" w:hAnsi="宋体" w:cs="宋体"/>
          <w:color w:val="auto"/>
          <w:kern w:val="2"/>
          <w:sz w:val="24"/>
          <w:szCs w:val="24"/>
          <w:highlight w:val="none"/>
          <w:lang w:val="en-US" w:eastAsia="zh-CN" w:bidi="ar-SA"/>
        </w:rPr>
        <w:t>乙级及以上资质（包括建筑装饰工程设计和建筑智能化系统设计）（复印件加盖公章）；</w:t>
      </w:r>
    </w:p>
    <w:p>
      <w:pPr>
        <w:pStyle w:val="3"/>
        <w:numPr>
          <w:ilvl w:val="0"/>
          <w:numId w:val="1"/>
        </w:numPr>
        <w:ind w:left="480" w:leftChars="0" w:firstLine="0" w:firstLineChars="0"/>
        <w:rPr>
          <w:rFonts w:hint="eastAsia"/>
          <w:lang w:val="en-US" w:eastAsia="zh-CN"/>
        </w:rPr>
      </w:pPr>
      <w:r>
        <w:rPr>
          <w:rFonts w:hint="eastAsia"/>
          <w:lang w:val="en-US" w:eastAsia="zh-CN"/>
        </w:rPr>
        <w:t>设计公司近三年内具有三甲医院的洁净用房ICU及手术室设计业绩，提供中标通知书或合同等证明文件；</w:t>
      </w:r>
    </w:p>
    <w:p>
      <w:pPr>
        <w:pStyle w:val="3"/>
        <w:numPr>
          <w:ilvl w:val="0"/>
          <w:numId w:val="1"/>
        </w:numPr>
        <w:ind w:left="480" w:leftChars="0" w:firstLine="0" w:firstLineChars="0"/>
        <w:rPr>
          <w:rFonts w:hint="eastAsia"/>
          <w:lang w:val="en-US" w:eastAsia="zh-CN"/>
        </w:rPr>
      </w:pP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3"/>
        <w:numPr>
          <w:ilvl w:val="0"/>
          <w:numId w:val="1"/>
        </w:numPr>
        <w:ind w:left="480" w:leftChars="0" w:firstLine="0" w:firstLineChars="0"/>
        <w:rPr>
          <w:rFonts w:ascii="宋体" w:hAnsi="宋体" w:cs="宋体"/>
          <w:color w:val="auto"/>
          <w:sz w:val="24"/>
        </w:rPr>
      </w:pP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p>
    <w:p>
      <w:pPr>
        <w:pStyle w:val="29"/>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9</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9</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4</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23</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4"/>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ind w:left="0" w:leftChars="0" w:firstLine="0" w:firstLineChars="0"/>
        <w:rPr>
          <w:rFonts w:ascii="宋体" w:hAnsi="宋体" w:cs="宋体"/>
        </w:rPr>
      </w:pPr>
    </w:p>
    <w:p/>
    <w:p>
      <w:pPr>
        <w:pStyle w:val="4"/>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327439435"/>
      <w:bookmarkStart w:id="9" w:name="_Toc139965326"/>
      <w:bookmarkStart w:id="10" w:name="_Toc128372730"/>
      <w:bookmarkStart w:id="11" w:name="_Toc128372052"/>
    </w:p>
    <w:p>
      <w:pPr>
        <w:pStyle w:val="5"/>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甘肃省第二人民医院手术室及ICU改造工程设计公司及造价公司招标采购项目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eastAsia" w:ascii="宋体" w:hAnsi="宋体" w:eastAsia="仿宋" w:cs="宋体"/>
                <w:sz w:val="24"/>
                <w:lang w:val="en-US" w:eastAsia="zh-CN"/>
              </w:rPr>
            </w:pPr>
            <w:r>
              <w:rPr>
                <w:rFonts w:hint="eastAsia" w:ascii="仿宋" w:hAnsi="仿宋" w:eastAsia="仿宋" w:cs="仿宋"/>
                <w:b w:val="0"/>
                <w:bCs/>
                <w:color w:val="auto"/>
                <w:sz w:val="28"/>
                <w:szCs w:val="28"/>
                <w:lang w:eastAsia="zh-CN"/>
              </w:rPr>
              <w:t>SEY-2020YNCG-043</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1"/>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建设行政主管部门颁发的建筑行业（建筑工程）设计</w:t>
            </w:r>
            <w:r>
              <w:rPr>
                <w:rFonts w:hint="eastAsia" w:ascii="宋体" w:hAnsi="宋体" w:cs="宋体"/>
                <w:color w:val="auto"/>
                <w:kern w:val="2"/>
                <w:sz w:val="24"/>
                <w:szCs w:val="24"/>
                <w:highlight w:val="none"/>
                <w:lang w:val="en-US" w:eastAsia="zh-CN" w:bidi="ar-SA"/>
              </w:rPr>
              <w:t>乙级及以上资质（包括建筑装饰工程设计和建筑智能化系统设计）（复印件加盖公章）；</w:t>
            </w:r>
          </w:p>
          <w:p>
            <w:pPr>
              <w:pStyle w:val="3"/>
              <w:numPr>
                <w:ilvl w:val="0"/>
                <w:numId w:val="1"/>
              </w:numPr>
              <w:ind w:left="480" w:leftChars="0" w:firstLine="0" w:firstLineChars="0"/>
              <w:rPr>
                <w:rFonts w:hint="eastAsia"/>
                <w:lang w:val="en-US" w:eastAsia="zh-CN"/>
              </w:rPr>
            </w:pPr>
            <w:r>
              <w:rPr>
                <w:rFonts w:hint="eastAsia"/>
                <w:lang w:val="en-US" w:eastAsia="zh-CN"/>
              </w:rPr>
              <w:t>设计公司近三年内具有三甲医院的洁净用房ICU及手术室设计业绩，提供中标通知书或合同等证明文件；</w:t>
            </w:r>
          </w:p>
          <w:p>
            <w:pPr>
              <w:pStyle w:val="3"/>
              <w:numPr>
                <w:ilvl w:val="0"/>
                <w:numId w:val="1"/>
              </w:numPr>
              <w:ind w:left="480" w:leftChars="0" w:firstLine="0" w:firstLineChars="0"/>
              <w:rPr>
                <w:rFonts w:hint="eastAsia"/>
                <w:lang w:val="en-US" w:eastAsia="zh-CN"/>
              </w:rPr>
            </w:pP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3"/>
              <w:numPr>
                <w:ilvl w:val="0"/>
                <w:numId w:val="1"/>
              </w:numPr>
              <w:ind w:left="480" w:leftChars="0" w:firstLine="0" w:firstLineChars="0"/>
              <w:rPr>
                <w:rFonts w:ascii="宋体" w:hAnsi="宋体" w:cs="宋体"/>
                <w:color w:val="auto"/>
                <w:sz w:val="24"/>
              </w:rPr>
            </w:pPr>
            <w:r>
              <w:rPr>
                <w:rFonts w:hint="eastAsia" w:ascii="宋体" w:hAnsi="宋体" w:cs="宋体"/>
                <w:color w:val="auto"/>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9"/>
              <w:numPr>
                <w:ilvl w:val="0"/>
                <w:numId w:val="4"/>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eastAsia="宋体" w:cs="宋体"/>
                <w:b w:val="0"/>
                <w:bCs w:val="0"/>
                <w:color w:val="000000" w:themeColor="text1"/>
                <w:sz w:val="24"/>
                <w:szCs w:val="24"/>
                <w:lang w:val="en-US" w:eastAsia="zh-CN"/>
              </w:rPr>
              <w:t>4</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23</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9"/>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4</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23</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9"/>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出具最终的设计蓝图、工程造价预算书后，经甲乙双方核实无误后，支付合同货款的90%，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4"/>
        <w:jc w:val="center"/>
        <w:rPr>
          <w:rFonts w:hint="eastAsia" w:ascii="宋体" w:hAnsi="宋体" w:cs="宋体"/>
          <w:sz w:val="32"/>
          <w:szCs w:val="32"/>
        </w:rPr>
      </w:pPr>
    </w:p>
    <w:p>
      <w:pPr>
        <w:pStyle w:val="4"/>
        <w:jc w:val="center"/>
        <w:rPr>
          <w:rFonts w:hint="eastAsia" w:ascii="宋体" w:hAnsi="宋体" w:cs="宋体"/>
          <w:sz w:val="32"/>
          <w:szCs w:val="32"/>
        </w:rPr>
      </w:pPr>
    </w:p>
    <w:p>
      <w:pPr>
        <w:pStyle w:val="4"/>
        <w:jc w:val="center"/>
        <w:rPr>
          <w:rFonts w:hint="eastAsia" w:ascii="宋体" w:hAnsi="宋体" w:cs="宋体"/>
          <w:sz w:val="32"/>
          <w:szCs w:val="32"/>
        </w:rPr>
      </w:pPr>
    </w:p>
    <w:p>
      <w:pPr>
        <w:pStyle w:val="4"/>
        <w:jc w:val="center"/>
        <w:rPr>
          <w:rFonts w:hint="eastAsia" w:ascii="宋体" w:hAnsi="宋体" w:cs="宋体"/>
          <w:sz w:val="32"/>
          <w:szCs w:val="32"/>
        </w:rPr>
      </w:pPr>
    </w:p>
    <w:p>
      <w:pPr>
        <w:pStyle w:val="4"/>
        <w:jc w:val="both"/>
        <w:rPr>
          <w:rFonts w:hint="eastAsia" w:ascii="宋体" w:hAnsi="宋体" w:cs="宋体"/>
          <w:sz w:val="32"/>
          <w:szCs w:val="32"/>
        </w:rPr>
      </w:pPr>
    </w:p>
    <w:p>
      <w:pPr>
        <w:rPr>
          <w:rFonts w:hint="eastAsia"/>
        </w:rPr>
      </w:pPr>
    </w:p>
    <w:p>
      <w:pPr>
        <w:pStyle w:val="4"/>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5"/>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5"/>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5"/>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058"/>
      <w:bookmarkStart w:id="22" w:name="_Toc139965332"/>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9"/>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9"/>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9"/>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5"/>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4"/>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582210"/>
      <w:bookmarkStart w:id="31" w:name="_Toc183682347"/>
    </w:p>
    <w:p>
      <w:pPr>
        <w:pStyle w:val="5"/>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5"/>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08848971"/>
      <w:bookmarkStart w:id="41" w:name="_Toc217446041"/>
      <w:bookmarkStart w:id="42" w:name="_Toc183682350"/>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5"/>
        <w:numPr>
          <w:ilvl w:val="0"/>
          <w:numId w:val="5"/>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踏勘现场，具体时间另行通知</w:t>
      </w:r>
      <w:r>
        <w:rPr>
          <w:rFonts w:hint="eastAsia" w:ascii="宋体" w:hAnsi="宋体" w:cs="宋体"/>
          <w:color w:val="FF0000"/>
          <w:sz w:val="24"/>
          <w:lang w:val="zh-CN"/>
        </w:rPr>
        <w:t>）</w:t>
      </w:r>
      <w:bookmarkEnd w:id="43"/>
      <w:bookmarkEnd w:id="44"/>
    </w:p>
    <w:p>
      <w:pPr>
        <w:pStyle w:val="6"/>
        <w:ind w:firstLine="0"/>
        <w:rPr>
          <w:rFonts w:ascii="宋体" w:hAnsi="宋体" w:cs="宋体"/>
          <w:lang w:val="zh-CN"/>
        </w:rPr>
      </w:pPr>
    </w:p>
    <w:p>
      <w:pPr>
        <w:pStyle w:val="4"/>
        <w:rPr>
          <w:rFonts w:hint="eastAsia" w:ascii="宋体" w:hAnsi="宋体" w:eastAsia="宋体" w:cs="宋体"/>
          <w:sz w:val="32"/>
          <w:szCs w:val="32"/>
          <w:lang w:eastAsia="zh-CN"/>
        </w:rPr>
      </w:pPr>
      <w:bookmarkStart w:id="45" w:name="_Toc77400780"/>
      <w:bookmarkStart w:id="46" w:name="_Toc89075876"/>
      <w:bookmarkStart w:id="47" w:name="_Toc183582214"/>
      <w:bookmarkStart w:id="48" w:name="_Toc217446042"/>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217446043"/>
      <w:bookmarkStart w:id="53" w:name="_Toc183582215"/>
      <w:r>
        <w:rPr>
          <w:rFonts w:hint="eastAsia" w:ascii="宋体" w:hAnsi="宋体" w:cs="宋体"/>
          <w:sz w:val="32"/>
          <w:szCs w:val="32"/>
          <w:lang w:eastAsia="zh-CN"/>
        </w:rPr>
        <w:t>的编制</w:t>
      </w:r>
      <w:bookmarkEnd w:id="50"/>
    </w:p>
    <w:p>
      <w:pPr>
        <w:pStyle w:val="5"/>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5"/>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5"/>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5"/>
        <w:jc w:val="both"/>
        <w:rPr>
          <w:rFonts w:ascii="宋体" w:hAnsi="宋体" w:cs="宋体"/>
          <w:sz w:val="24"/>
          <w:lang w:val="zh-CN"/>
        </w:rPr>
      </w:pPr>
      <w:bookmarkStart w:id="65" w:name="_Toc4857"/>
      <w:bookmarkStart w:id="66" w:name="_Toc24706"/>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5"/>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5"/>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5"/>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5"/>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5"/>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5"/>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5"/>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5"/>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4"/>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5"/>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4"/>
        <w:rPr>
          <w:rFonts w:hint="eastAsia" w:ascii="宋体" w:hAnsi="宋体" w:cs="宋体"/>
          <w:sz w:val="32"/>
          <w:szCs w:val="32"/>
        </w:rPr>
      </w:pPr>
      <w:bookmarkStart w:id="121" w:name="_Toc32678"/>
    </w:p>
    <w:p>
      <w:pPr>
        <w:pStyle w:val="4"/>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5"/>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4"/>
        <w:rPr>
          <w:rFonts w:hint="eastAsia" w:ascii="宋体" w:hAnsi="宋体" w:cs="宋体"/>
          <w:sz w:val="32"/>
          <w:szCs w:val="32"/>
        </w:rPr>
      </w:pPr>
      <w:bookmarkStart w:id="134" w:name="_Toc9774"/>
    </w:p>
    <w:p>
      <w:pPr>
        <w:pStyle w:val="4"/>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5"/>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5"/>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5"/>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5"/>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4"/>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5"/>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4"/>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5"/>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4"/>
        <w:rPr>
          <w:rFonts w:ascii="宋体" w:hAnsi="宋体" w:cs="宋体"/>
        </w:rPr>
      </w:pPr>
    </w:p>
    <w:p>
      <w:pPr>
        <w:pStyle w:val="4"/>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4"/>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5"/>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5"/>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5"/>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5"/>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4"/>
        <w:numPr>
          <w:ilvl w:val="0"/>
          <w:numId w:val="7"/>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jc w:val="both"/>
        <w:rPr>
          <w:rFonts w:hint="eastAsia" w:ascii="宋体" w:hAnsi="宋体" w:eastAsia="宋体" w:cs="宋体"/>
          <w:b/>
          <w:bCs/>
          <w:sz w:val="28"/>
          <w:szCs w:val="28"/>
        </w:rPr>
      </w:pPr>
      <w:r>
        <w:rPr>
          <w:rFonts w:hint="eastAsia" w:ascii="宋体" w:hAnsi="宋体" w:cs="宋体"/>
          <w:b/>
          <w:bCs/>
          <w:sz w:val="28"/>
          <w:szCs w:val="28"/>
          <w:lang w:eastAsia="zh-CN"/>
        </w:rPr>
        <w:t>手术室及ICU装饰装修</w:t>
      </w:r>
      <w:r>
        <w:rPr>
          <w:rFonts w:hint="eastAsia" w:ascii="宋体" w:hAnsi="宋体" w:eastAsia="宋体" w:cs="宋体"/>
          <w:b/>
          <w:bCs/>
          <w:sz w:val="28"/>
          <w:szCs w:val="28"/>
        </w:rPr>
        <w:t>设计基本要求</w:t>
      </w:r>
    </w:p>
    <w:p>
      <w:pPr>
        <w:pStyle w:val="29"/>
        <w:rPr>
          <w:rFonts w:hint="eastAsia"/>
        </w:rPr>
      </w:pPr>
    </w:p>
    <w:p>
      <w:pPr>
        <w:pStyle w:val="4"/>
        <w:numPr>
          <w:ilvl w:val="0"/>
          <w:numId w:val="8"/>
        </w:numPr>
        <w:jc w:val="left"/>
        <w:rPr>
          <w:rFonts w:hint="eastAsia" w:ascii="宋体" w:hAnsi="宋体" w:cs="宋体"/>
          <w:b w:val="0"/>
          <w:bCs w:val="0"/>
          <w:sz w:val="24"/>
          <w:szCs w:val="24"/>
          <w:lang w:val="en-US" w:eastAsia="zh-CN"/>
        </w:rPr>
      </w:pPr>
      <w:bookmarkStart w:id="180" w:name="_Toc20396"/>
      <w:r>
        <w:rPr>
          <w:rFonts w:hint="eastAsia" w:ascii="宋体" w:hAnsi="宋体" w:cs="宋体"/>
          <w:b w:val="0"/>
          <w:bCs w:val="0"/>
          <w:sz w:val="24"/>
          <w:szCs w:val="24"/>
          <w:lang w:val="en-US" w:eastAsia="zh-CN"/>
        </w:rPr>
        <w:t>总体要求：项目选址为2号楼10手术室生活区及9楼，将10楼手术室生活区域规划为手术间，9楼东侧改建为手术麻醉生活区，9楼西侧改建为ICU。</w:t>
      </w:r>
    </w:p>
    <w:p>
      <w:pPr>
        <w:pStyle w:val="4"/>
        <w:numPr>
          <w:ilvl w:val="0"/>
          <w:numId w:val="8"/>
        </w:numPr>
        <w:jc w:val="left"/>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设计要求</w:t>
      </w:r>
    </w:p>
    <w:p>
      <w:pPr>
        <w:pStyle w:val="4"/>
        <w:numPr>
          <w:ilvl w:val="0"/>
          <w:numId w:val="9"/>
        </w:numPr>
        <w:jc w:val="left"/>
        <w:rPr>
          <w:rFonts w:hint="eastAsia" w:ascii="宋体" w:hAnsi="宋体" w:cs="宋体"/>
          <w:b w:val="0"/>
          <w:bCs w:val="0"/>
          <w:sz w:val="24"/>
          <w:szCs w:val="24"/>
          <w:lang w:eastAsia="zh-CN"/>
        </w:rPr>
      </w:pPr>
      <w:r>
        <w:rPr>
          <w:rFonts w:hint="eastAsia" w:ascii="宋体" w:hAnsi="宋体" w:cs="宋体"/>
          <w:b w:val="0"/>
          <w:bCs w:val="0"/>
          <w:sz w:val="24"/>
          <w:szCs w:val="24"/>
          <w:lang w:eastAsia="zh-CN"/>
        </w:rPr>
        <w:t>报名结束后统一踏勘现场，未参与踏勘现场的投标商视为无效投标，踏勘现场时统一答复有关问题，并对设计工作做统一要求，投标商根据踏勘现场实际情况进行设计及报价。</w:t>
      </w:r>
    </w:p>
    <w:p>
      <w:pPr>
        <w:pStyle w:val="4"/>
        <w:numPr>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项目负责人和技术负责人：项目设计负责人须具有高级技术职称，近3年内（2017年1月起）具有三甲医院的洁净用房ICU及手术室设计业绩。注册单位与投标单位必须一致（以投标截止时间前近6个月由劳动保障部门出具的社保证明为准）。项目的专业设计人员须具备中级及以上技术职称，且是相应投标单位的在职人员，提供投标截止时间前近6个月由劳动保障部门出具的社保证明。</w:t>
      </w:r>
    </w:p>
    <w:p>
      <w:pPr>
        <w:pStyle w:val="4"/>
        <w:numPr>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3.投标文件中需阐明设计方案及设计后的效果图纸。中标单位需提供纸质版和电子版的施工图纸，竣工后提供电子版及纸质版图纸。</w:t>
      </w:r>
    </w:p>
    <w:p>
      <w:pPr>
        <w:pStyle w:val="3"/>
        <w:numPr>
          <w:ilvl w:val="0"/>
          <w:numId w:val="8"/>
        </w:numPr>
        <w:ind w:left="0" w:leftChars="0" w:firstLine="0" w:firstLineChars="0"/>
        <w:rPr>
          <w:rFonts w:hint="eastAsia"/>
          <w:lang w:eastAsia="zh-CN"/>
        </w:rPr>
      </w:pPr>
      <w:r>
        <w:rPr>
          <w:rFonts w:hint="eastAsia"/>
          <w:lang w:eastAsia="zh-CN"/>
        </w:rPr>
        <w:t>造价要求</w:t>
      </w:r>
    </w:p>
    <w:p>
      <w:pPr>
        <w:pStyle w:val="2"/>
        <w:numPr>
          <w:ilvl w:val="0"/>
          <w:numId w:val="0"/>
        </w:numPr>
        <w:rPr>
          <w:rFonts w:hint="default" w:ascii="宋体" w:hAnsi="宋体" w:cs="宋体"/>
          <w:b w:val="0"/>
          <w:bCs w:val="0"/>
          <w:sz w:val="24"/>
          <w:szCs w:val="13"/>
          <w:lang w:val="en-US" w:eastAsia="zh-CN"/>
        </w:rPr>
      </w:pPr>
      <w:r>
        <w:rPr>
          <w:rFonts w:hint="eastAsia" w:ascii="宋体" w:hAnsi="宋体" w:cs="宋体"/>
          <w:b w:val="0"/>
          <w:bCs w:val="0"/>
          <w:sz w:val="24"/>
          <w:szCs w:val="13"/>
          <w:lang w:val="en-US" w:eastAsia="zh-CN"/>
        </w:rPr>
        <w:t>1.提供相关业绩的证明材料，要求工程造价细致严谨，出现缺项、漏项等问题承担相应的责任。</w:t>
      </w:r>
    </w:p>
    <w:p>
      <w:pPr>
        <w:pStyle w:val="29"/>
        <w:ind w:left="0" w:leftChars="0" w:firstLine="0" w:firstLineChars="0"/>
        <w:rPr>
          <w:rFonts w:hint="default"/>
          <w:lang w:val="en-US" w:eastAsia="zh-CN"/>
        </w:rPr>
      </w:pPr>
    </w:p>
    <w:p>
      <w:pPr>
        <w:pStyle w:val="29"/>
        <w:ind w:left="0" w:leftChars="0" w:firstLine="0" w:firstLineChars="0"/>
        <w:rPr>
          <w:rFonts w:hint="eastAsia"/>
          <w:lang w:eastAsia="zh-CN"/>
        </w:rPr>
      </w:pPr>
    </w:p>
    <w:p>
      <w:pPr>
        <w:pStyle w:val="4"/>
        <w:rPr>
          <w:rFonts w:hint="eastAsia" w:ascii="宋体" w:hAnsi="宋体" w:cs="宋体"/>
          <w:sz w:val="32"/>
          <w:szCs w:val="32"/>
          <w:lang w:eastAsia="zh-CN"/>
        </w:rPr>
      </w:pPr>
    </w:p>
    <w:p>
      <w:pPr>
        <w:pStyle w:val="4"/>
        <w:rPr>
          <w:rFonts w:hint="eastAsia" w:ascii="宋体" w:hAnsi="宋体" w:cs="宋体"/>
          <w:sz w:val="32"/>
          <w:szCs w:val="32"/>
          <w:lang w:eastAsia="zh-CN"/>
        </w:rPr>
      </w:pPr>
    </w:p>
    <w:p>
      <w:pPr>
        <w:pStyle w:val="4"/>
        <w:rPr>
          <w:rFonts w:hint="eastAsia" w:ascii="宋体" w:hAnsi="宋体" w:cs="宋体"/>
          <w:sz w:val="32"/>
          <w:szCs w:val="32"/>
          <w:lang w:eastAsia="zh-CN"/>
        </w:rPr>
      </w:pPr>
    </w:p>
    <w:p>
      <w:pPr>
        <w:rPr>
          <w:rFonts w:hint="eastAsia" w:ascii="宋体" w:hAnsi="宋体" w:cs="宋体"/>
          <w:sz w:val="32"/>
          <w:szCs w:val="32"/>
          <w:lang w:eastAsia="zh-CN"/>
        </w:rPr>
      </w:pPr>
    </w:p>
    <w:p>
      <w:pPr>
        <w:pStyle w:val="29"/>
        <w:rPr>
          <w:rFonts w:hint="eastAsia" w:ascii="宋体" w:hAnsi="宋体" w:cs="宋体"/>
          <w:sz w:val="32"/>
          <w:szCs w:val="32"/>
          <w:lang w:eastAsia="zh-CN"/>
        </w:rPr>
      </w:pPr>
    </w:p>
    <w:p>
      <w:pPr>
        <w:rPr>
          <w:rFonts w:hint="eastAsia" w:ascii="宋体" w:hAnsi="宋体" w:cs="宋体"/>
          <w:sz w:val="32"/>
          <w:szCs w:val="32"/>
          <w:lang w:eastAsia="zh-CN"/>
        </w:rPr>
      </w:pPr>
    </w:p>
    <w:p>
      <w:pPr>
        <w:pStyle w:val="29"/>
        <w:rPr>
          <w:rFonts w:hint="eastAsia" w:ascii="宋体" w:hAnsi="宋体" w:cs="宋体"/>
          <w:sz w:val="32"/>
          <w:szCs w:val="32"/>
          <w:lang w:eastAsia="zh-CN"/>
        </w:rPr>
      </w:pPr>
    </w:p>
    <w:p>
      <w:pPr>
        <w:rPr>
          <w:rFonts w:hint="eastAsia" w:ascii="宋体" w:hAnsi="宋体" w:cs="宋体"/>
          <w:sz w:val="32"/>
          <w:szCs w:val="32"/>
          <w:lang w:eastAsia="zh-CN"/>
        </w:rPr>
      </w:pPr>
    </w:p>
    <w:p>
      <w:pPr>
        <w:pStyle w:val="29"/>
        <w:ind w:left="0" w:leftChars="0" w:firstLine="0" w:firstLineChars="0"/>
        <w:rPr>
          <w:rFonts w:hint="eastAsia" w:ascii="宋体" w:hAnsi="宋体" w:cs="宋体"/>
          <w:sz w:val="32"/>
          <w:szCs w:val="32"/>
          <w:lang w:eastAsia="zh-CN"/>
        </w:rPr>
      </w:pPr>
    </w:p>
    <w:p>
      <w:pPr>
        <w:rPr>
          <w:rFonts w:hint="eastAsia" w:ascii="宋体" w:hAnsi="宋体" w:cs="宋体"/>
          <w:sz w:val="32"/>
          <w:szCs w:val="32"/>
          <w:lang w:eastAsia="zh-CN"/>
        </w:rPr>
      </w:pPr>
    </w:p>
    <w:p>
      <w:pPr>
        <w:pStyle w:val="29"/>
        <w:rPr>
          <w:rFonts w:hint="eastAsia" w:ascii="宋体" w:hAnsi="宋体" w:cs="宋体"/>
          <w:sz w:val="32"/>
          <w:szCs w:val="32"/>
          <w:lang w:eastAsia="zh-CN"/>
        </w:rPr>
      </w:pPr>
    </w:p>
    <w:p>
      <w:pPr>
        <w:rPr>
          <w:rFonts w:hint="eastAsia"/>
          <w:lang w:eastAsia="zh-CN"/>
        </w:rPr>
      </w:pPr>
    </w:p>
    <w:p>
      <w:pPr>
        <w:pStyle w:val="4"/>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w:t>
      </w:r>
      <w:r>
        <w:rPr>
          <w:rFonts w:hint="eastAsia" w:ascii="宋体" w:hAnsi="宋体" w:cs="宋体"/>
          <w:color w:val="auto"/>
          <w:kern w:val="2"/>
          <w:sz w:val="24"/>
          <w:szCs w:val="24"/>
          <w:highlight w:val="none"/>
          <w:lang w:val="en-US" w:eastAsia="zh-CN" w:bidi="ar-SA"/>
        </w:rPr>
        <w:t>设计公司需具有须具备</w:t>
      </w:r>
      <w:r>
        <w:rPr>
          <w:rFonts w:hint="eastAsia" w:ascii="宋体" w:hAnsi="宋体" w:cs="宋体"/>
          <w:color w:val="auto"/>
          <w:sz w:val="24"/>
          <w:highlight w:val="none"/>
          <w:lang w:val="en-US" w:eastAsia="zh-CN"/>
        </w:rPr>
        <w:t>建设行政主管部门颁发的建筑行业（建筑工程）设计</w:t>
      </w:r>
      <w:r>
        <w:rPr>
          <w:rFonts w:hint="eastAsia" w:ascii="宋体" w:hAnsi="宋体" w:cs="宋体"/>
          <w:color w:val="auto"/>
          <w:kern w:val="2"/>
          <w:sz w:val="24"/>
          <w:szCs w:val="24"/>
          <w:highlight w:val="none"/>
          <w:lang w:val="en-US" w:eastAsia="zh-CN" w:bidi="ar-SA"/>
        </w:rPr>
        <w:t>乙级及以上资质（包括建筑装饰工程设计和建筑智能化系统设计）（复印件加盖公章）；</w:t>
      </w:r>
    </w:p>
    <w:p>
      <w:pPr>
        <w:pStyle w:val="3"/>
        <w:numPr>
          <w:numId w:val="0"/>
        </w:numPr>
        <w:rPr>
          <w:rFonts w:hint="eastAsia"/>
          <w:lang w:val="en-US" w:eastAsia="zh-CN"/>
        </w:rPr>
      </w:pPr>
      <w:r>
        <w:rPr>
          <w:rFonts w:hint="eastAsia"/>
          <w:lang w:val="en-US" w:eastAsia="zh-CN"/>
        </w:rPr>
        <w:t>八、设计公司近三年内具有三甲医院的洁净用房ICU及手术室设计业绩，提供中标通知书或合同等证明文件；</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sz w:val="24"/>
          <w:szCs w:val="24"/>
          <w:lang w:eastAsia="zh-CN"/>
        </w:rPr>
        <w:t>九、造价咨询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9"/>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9"/>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9"/>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9"/>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5803"/>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rPr>
      </w:pPr>
    </w:p>
    <w:p>
      <w:pPr>
        <w:pStyle w:val="4"/>
        <w:jc w:val="both"/>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pStyle w:val="29"/>
        <w:ind w:left="0" w:leftChars="0" w:firstLine="0" w:firstLineChars="0"/>
        <w:rPr>
          <w:rFonts w:hint="eastAsia" w:ascii="宋体" w:hAnsi="宋体" w:cs="宋体"/>
          <w:sz w:val="32"/>
          <w:szCs w:val="32"/>
        </w:rPr>
      </w:pPr>
    </w:p>
    <w:p>
      <w:pPr>
        <w:rPr>
          <w:rFonts w:hint="eastAsia"/>
        </w:rPr>
      </w:pPr>
    </w:p>
    <w:p>
      <w:pPr>
        <w:pStyle w:val="29"/>
        <w:rPr>
          <w:rFonts w:hint="eastAsia"/>
        </w:rPr>
      </w:pPr>
    </w:p>
    <w:p>
      <w:pPr>
        <w:pStyle w:val="4"/>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5"/>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5"/>
        <w:spacing w:line="360" w:lineRule="auto"/>
        <w:jc w:val="left"/>
        <w:rPr>
          <w:rFonts w:hint="eastAsia" w:ascii="宋体" w:hAnsi="宋体" w:cs="宋体"/>
          <w:sz w:val="24"/>
        </w:rPr>
      </w:pPr>
      <w:bookmarkStart w:id="187" w:name="_Toc31035"/>
      <w:bookmarkStart w:id="188" w:name="_Toc11058"/>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9"/>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9"/>
        <w:rPr>
          <w:rFonts w:hint="eastAsia" w:ascii="宋体" w:hAnsi="宋体" w:cs="宋体"/>
          <w:sz w:val="24"/>
        </w:rPr>
      </w:pPr>
    </w:p>
    <w:p>
      <w:pPr>
        <w:rPr>
          <w:rFonts w:hint="eastAsia"/>
        </w:rPr>
      </w:pPr>
    </w:p>
    <w:p>
      <w:pPr>
        <w:pStyle w:val="29"/>
        <w:rPr>
          <w:rFonts w:hint="eastAsia" w:ascii="宋体" w:hAnsi="宋体" w:cs="宋体"/>
          <w:sz w:val="24"/>
        </w:rPr>
      </w:pPr>
    </w:p>
    <w:p>
      <w:pPr>
        <w:rPr>
          <w:rFonts w:hint="eastAsia"/>
        </w:rPr>
      </w:pPr>
    </w:p>
    <w:tbl>
      <w:tblPr>
        <w:tblStyle w:val="35"/>
        <w:tblW w:w="505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8"/>
        <w:gridCol w:w="1284"/>
        <w:gridCol w:w="1247"/>
        <w:gridCol w:w="57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399"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4"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399"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1</w:t>
            </w:r>
          </w:p>
        </w:tc>
        <w:tc>
          <w:tcPr>
            <w:tcW w:w="713" w:type="pct"/>
          </w:tcPr>
          <w:p>
            <w:pPr>
              <w:spacing w:line="360" w:lineRule="auto"/>
              <w:rPr>
                <w:rFonts w:hint="eastAsia"/>
                <w:sz w:val="24"/>
                <w:szCs w:val="32"/>
              </w:rPr>
            </w:pPr>
            <w:r>
              <w:rPr>
                <w:rFonts w:hint="eastAsia"/>
                <w:sz w:val="24"/>
                <w:szCs w:val="32"/>
              </w:rPr>
              <w:t>价格评审</w:t>
            </w:r>
          </w:p>
          <w:p>
            <w:pPr>
              <w:spacing w:line="360" w:lineRule="auto"/>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按</w:t>
            </w:r>
            <w:r>
              <w:rPr>
                <w:rFonts w:hint="eastAsia"/>
                <w:sz w:val="24"/>
                <w:szCs w:val="32"/>
                <w:lang w:eastAsia="zh-CN"/>
              </w:rPr>
              <w:t>招标文件</w:t>
            </w:r>
            <w:r>
              <w:rPr>
                <w:rFonts w:hint="eastAsia"/>
                <w:sz w:val="24"/>
                <w:szCs w:val="32"/>
              </w:rPr>
              <w:t>文件规定修正后所有供应商中的最低报价为评分基础价。（评分基础价/磋商报价）*</w:t>
            </w:r>
            <w:r>
              <w:rPr>
                <w:rFonts w:hint="eastAsia"/>
                <w:sz w:val="24"/>
                <w:szCs w:val="32"/>
                <w:lang w:val="en-US" w:eastAsia="zh-CN"/>
              </w:rPr>
              <w:t>20</w:t>
            </w:r>
            <w:r>
              <w:rPr>
                <w:rFonts w:hint="eastAsia"/>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399"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2</w:t>
            </w:r>
          </w:p>
        </w:tc>
        <w:tc>
          <w:tcPr>
            <w:tcW w:w="71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商务部分</w:t>
            </w:r>
          </w:p>
          <w:p>
            <w:pPr>
              <w:spacing w:line="360" w:lineRule="auto"/>
              <w:rPr>
                <w:rFonts w:hint="eastAsia"/>
                <w:sz w:val="24"/>
                <w:szCs w:val="32"/>
              </w:rPr>
            </w:pPr>
            <w:r>
              <w:rPr>
                <w:rFonts w:hint="eastAsia"/>
                <w:sz w:val="24"/>
                <w:szCs w:val="32"/>
              </w:rPr>
              <w:t>（</w:t>
            </w:r>
            <w:r>
              <w:rPr>
                <w:rFonts w:hint="eastAsia"/>
                <w:sz w:val="24"/>
                <w:szCs w:val="32"/>
                <w:lang w:val="en-US" w:eastAsia="zh-CN"/>
              </w:rPr>
              <w:t>26</w:t>
            </w:r>
            <w:r>
              <w:rPr>
                <w:rFonts w:hint="eastAsia"/>
                <w:sz w:val="24"/>
                <w:szCs w:val="32"/>
              </w:rPr>
              <w:t>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 xml:space="preserve"> 分</w:t>
            </w:r>
          </w:p>
        </w:tc>
        <w:tc>
          <w:tcPr>
            <w:tcW w:w="3194" w:type="pct"/>
          </w:tcPr>
          <w:p>
            <w:pPr>
              <w:spacing w:line="360" w:lineRule="auto"/>
              <w:rPr>
                <w:rFonts w:hint="eastAsia"/>
                <w:sz w:val="24"/>
                <w:szCs w:val="32"/>
              </w:rPr>
            </w:pPr>
            <w:r>
              <w:rPr>
                <w:rFonts w:hint="eastAsia"/>
                <w:sz w:val="24"/>
                <w:szCs w:val="32"/>
              </w:rPr>
              <w:t>1、响应文件中目录索引、编页、排版等制作规范得1分，每有一处错误或材料缺失扣 0.5 分，最低 0 分。</w:t>
            </w:r>
          </w:p>
          <w:p>
            <w:pPr>
              <w:spacing w:line="360" w:lineRule="auto"/>
              <w:rPr>
                <w:rFonts w:hint="eastAsia"/>
                <w:sz w:val="24"/>
                <w:szCs w:val="32"/>
              </w:rPr>
            </w:pPr>
            <w:r>
              <w:rPr>
                <w:rFonts w:hint="eastAsia"/>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28" w:hRule="atLeast"/>
          <w:jc w:val="center"/>
        </w:trPr>
        <w:tc>
          <w:tcPr>
            <w:tcW w:w="399"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24</w:t>
            </w:r>
            <w:r>
              <w:rPr>
                <w:rFonts w:hint="eastAsia"/>
                <w:sz w:val="24"/>
                <w:szCs w:val="32"/>
              </w:rPr>
              <w:t xml:space="preserve"> 分</w:t>
            </w:r>
          </w:p>
          <w:p>
            <w:pPr>
              <w:spacing w:line="360" w:lineRule="auto"/>
              <w:jc w:val="center"/>
              <w:rPr>
                <w:rFonts w:hint="eastAsia"/>
                <w:sz w:val="24"/>
                <w:szCs w:val="32"/>
              </w:rPr>
            </w:pPr>
          </w:p>
          <w:p>
            <w:pPr>
              <w:spacing w:line="360" w:lineRule="auto"/>
              <w:jc w:val="center"/>
              <w:rPr>
                <w:rFonts w:hint="eastAsia"/>
                <w:sz w:val="24"/>
                <w:szCs w:val="32"/>
              </w:rPr>
            </w:pPr>
          </w:p>
        </w:tc>
        <w:tc>
          <w:tcPr>
            <w:tcW w:w="3194" w:type="pct"/>
            <w:tcBorders>
              <w:bottom w:val="single" w:color="000000" w:sz="4" w:space="0"/>
            </w:tcBorders>
          </w:tcPr>
          <w:p>
            <w:pPr>
              <w:spacing w:line="360" w:lineRule="auto"/>
              <w:rPr>
                <w:rFonts w:hint="eastAsia"/>
                <w:color w:val="auto"/>
                <w:sz w:val="24"/>
                <w:szCs w:val="32"/>
              </w:rPr>
            </w:pPr>
            <w:r>
              <w:rPr>
                <w:rFonts w:hint="eastAsia"/>
                <w:color w:val="auto"/>
                <w:sz w:val="24"/>
                <w:szCs w:val="32"/>
              </w:rPr>
              <w:t xml:space="preserve">供应商提供近三年三甲医院的类似项目业绩，每有一项得 </w:t>
            </w:r>
            <w:r>
              <w:rPr>
                <w:rFonts w:hint="eastAsia"/>
                <w:color w:val="auto"/>
                <w:sz w:val="24"/>
                <w:szCs w:val="32"/>
                <w:lang w:val="en-US" w:eastAsia="zh-CN"/>
              </w:rPr>
              <w:t>4</w:t>
            </w:r>
            <w:r>
              <w:rPr>
                <w:rFonts w:hint="eastAsia"/>
                <w:color w:val="auto"/>
                <w:sz w:val="24"/>
                <w:szCs w:val="32"/>
              </w:rPr>
              <w:t>分，最多提供</w:t>
            </w:r>
            <w:r>
              <w:rPr>
                <w:rFonts w:hint="eastAsia"/>
                <w:color w:val="auto"/>
                <w:sz w:val="24"/>
                <w:szCs w:val="32"/>
                <w:lang w:val="en-US" w:eastAsia="zh-CN"/>
              </w:rPr>
              <w:t>6</w:t>
            </w:r>
            <w:r>
              <w:rPr>
                <w:rFonts w:hint="eastAsia"/>
                <w:color w:val="auto"/>
                <w:sz w:val="24"/>
                <w:szCs w:val="32"/>
              </w:rPr>
              <w:t>份，最高</w:t>
            </w:r>
            <w:r>
              <w:rPr>
                <w:rFonts w:hint="eastAsia"/>
                <w:color w:val="auto"/>
                <w:sz w:val="24"/>
                <w:szCs w:val="32"/>
                <w:lang w:val="en-US" w:eastAsia="zh-CN"/>
              </w:rPr>
              <w:t>24</w:t>
            </w:r>
            <w:r>
              <w:rPr>
                <w:rFonts w:hint="eastAsia"/>
                <w:color w:val="auto"/>
                <w:sz w:val="24"/>
                <w:szCs w:val="32"/>
              </w:rPr>
              <w:t xml:space="preserve"> 分。（以中标通知书或合同原件为准，需在评标现场提供原件备查）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399" w:type="pct"/>
            <w:vMerge w:val="restart"/>
          </w:tcPr>
          <w:p>
            <w:pPr>
              <w:spacing w:line="360" w:lineRule="auto"/>
              <w:rPr>
                <w:rFonts w:hint="eastAsia"/>
                <w:sz w:val="24"/>
                <w:szCs w:val="32"/>
              </w:rPr>
            </w:pPr>
          </w:p>
          <w:p>
            <w:pPr>
              <w:spacing w:line="360" w:lineRule="auto"/>
              <w:rPr>
                <w:rFonts w:hint="eastAsia"/>
                <w:sz w:val="24"/>
                <w:szCs w:val="32"/>
              </w:rPr>
            </w:pPr>
            <w:r>
              <w:rPr>
                <w:rFonts w:hint="eastAsia"/>
                <w:sz w:val="24"/>
                <w:szCs w:val="32"/>
              </w:rPr>
              <w:t>3</w:t>
            </w:r>
          </w:p>
        </w:tc>
        <w:tc>
          <w:tcPr>
            <w:tcW w:w="713" w:type="pct"/>
            <w:vMerge w:val="restart"/>
          </w:tcPr>
          <w:p>
            <w:pPr>
              <w:spacing w:line="360" w:lineRule="auto"/>
              <w:rPr>
                <w:rFonts w:hint="eastAsia"/>
                <w:sz w:val="24"/>
                <w:szCs w:val="32"/>
              </w:rPr>
            </w:pPr>
            <w:r>
              <w:rPr>
                <w:rFonts w:hint="eastAsia"/>
                <w:sz w:val="24"/>
                <w:szCs w:val="32"/>
              </w:rPr>
              <w:t>技术部分</w:t>
            </w:r>
          </w:p>
          <w:p>
            <w:pPr>
              <w:spacing w:line="360" w:lineRule="auto"/>
              <w:rPr>
                <w:rFonts w:hint="eastAsia"/>
                <w:sz w:val="24"/>
                <w:szCs w:val="32"/>
              </w:rPr>
            </w:pPr>
            <w:r>
              <w:rPr>
                <w:rFonts w:hint="eastAsia"/>
                <w:sz w:val="24"/>
                <w:szCs w:val="32"/>
              </w:rPr>
              <w:t>（</w:t>
            </w:r>
            <w:r>
              <w:rPr>
                <w:rFonts w:hint="eastAsia"/>
                <w:sz w:val="24"/>
                <w:szCs w:val="32"/>
                <w:lang w:val="en-US" w:eastAsia="zh-CN"/>
              </w:rPr>
              <w:t>54</w:t>
            </w:r>
            <w:r>
              <w:rPr>
                <w:rFonts w:hint="eastAsia"/>
                <w:sz w:val="24"/>
                <w:szCs w:val="32"/>
              </w:rPr>
              <w:t>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8</w:t>
            </w:r>
            <w:r>
              <w:rPr>
                <w:rFonts w:hint="eastAsia"/>
                <w:sz w:val="24"/>
                <w:szCs w:val="32"/>
              </w:rPr>
              <w:t>分</w:t>
            </w:r>
          </w:p>
        </w:tc>
        <w:tc>
          <w:tcPr>
            <w:tcW w:w="3194"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项目设计负责人须具有高级技术职称，近3年内（201</w:t>
            </w:r>
            <w:r>
              <w:rPr>
                <w:rFonts w:hint="eastAsia"/>
                <w:color w:val="auto"/>
                <w:sz w:val="24"/>
                <w:szCs w:val="32"/>
                <w:lang w:val="en-US" w:eastAsia="zh-CN"/>
              </w:rPr>
              <w:t>7</w:t>
            </w:r>
            <w:r>
              <w:rPr>
                <w:rFonts w:hint="eastAsia"/>
                <w:color w:val="auto"/>
                <w:sz w:val="24"/>
                <w:szCs w:val="32"/>
              </w:rPr>
              <w:t>年1月起）具有三甲医院类似装修改造项目的设计业绩。注册单位与投标单位必须一致（以投标截止时间前近6个月由劳动保障部门出具的社保证明为准）。</w:t>
            </w:r>
          </w:p>
          <w:p>
            <w:pPr>
              <w:spacing w:line="360" w:lineRule="auto"/>
              <w:rPr>
                <w:rFonts w:hint="eastAsia"/>
                <w:color w:val="auto"/>
                <w:sz w:val="24"/>
                <w:szCs w:val="32"/>
              </w:rPr>
            </w:pPr>
            <w:r>
              <w:rPr>
                <w:rFonts w:hint="eastAsia"/>
                <w:color w:val="auto"/>
                <w:sz w:val="24"/>
                <w:szCs w:val="32"/>
              </w:rPr>
              <w:t>项目的</w:t>
            </w:r>
            <w:r>
              <w:rPr>
                <w:rFonts w:hint="eastAsia"/>
                <w:color w:val="auto"/>
                <w:sz w:val="24"/>
                <w:szCs w:val="32"/>
                <w:lang w:val="en-US" w:eastAsia="zh-CN"/>
              </w:rPr>
              <w:t>*</w:t>
            </w:r>
            <w:r>
              <w:rPr>
                <w:rFonts w:hint="eastAsia"/>
                <w:color w:val="auto"/>
                <w:sz w:val="24"/>
                <w:szCs w:val="32"/>
              </w:rPr>
              <w:t xml:space="preserve">专业设计人员须具备中级及以上技术职称，且是相应投标单位的在职人员，提供投标截止时间前近6个月由劳动保障部门出具的社保证明。提供全得满分，少提供或不提供不得分。（小计 </w:t>
            </w:r>
            <w:r>
              <w:rPr>
                <w:rFonts w:hint="eastAsia"/>
                <w:color w:val="auto"/>
                <w:sz w:val="24"/>
                <w:szCs w:val="32"/>
                <w:lang w:val="en-US" w:eastAsia="zh-CN"/>
              </w:rPr>
              <w:t>8</w:t>
            </w:r>
            <w:r>
              <w:rPr>
                <w:rFonts w:hint="eastAsia"/>
                <w:color w:val="auto"/>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399" w:type="pct"/>
            <w:vMerge w:val="continue"/>
            <w:tcBorders/>
          </w:tcPr>
          <w:p>
            <w:pPr>
              <w:spacing w:line="360" w:lineRule="auto"/>
              <w:rPr>
                <w:rFonts w:hint="eastAsia"/>
                <w:sz w:val="24"/>
                <w:szCs w:val="32"/>
              </w:rPr>
            </w:pPr>
          </w:p>
        </w:tc>
        <w:tc>
          <w:tcPr>
            <w:tcW w:w="713" w:type="pct"/>
            <w:vMerge w:val="continue"/>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8</w:t>
            </w:r>
            <w:r>
              <w:rPr>
                <w:rFonts w:hint="eastAsia"/>
                <w:sz w:val="24"/>
                <w:szCs w:val="32"/>
              </w:rPr>
              <w:t>分</w:t>
            </w:r>
          </w:p>
        </w:tc>
        <w:tc>
          <w:tcPr>
            <w:tcW w:w="3194" w:type="pct"/>
            <w:tcBorders>
              <w:top w:val="single" w:color="000000" w:sz="4" w:space="0"/>
            </w:tcBorders>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4</w:t>
            </w:r>
            <w:r>
              <w:rPr>
                <w:rFonts w:hint="eastAsia"/>
                <w:sz w:val="24"/>
                <w:szCs w:val="32"/>
              </w:rPr>
              <w:t xml:space="preserve">； </w:t>
            </w:r>
          </w:p>
          <w:p>
            <w:pPr>
              <w:spacing w:line="360" w:lineRule="auto"/>
              <w:rPr>
                <w:rFonts w:hint="eastAsia"/>
                <w:sz w:val="24"/>
                <w:szCs w:val="32"/>
              </w:rPr>
            </w:pPr>
            <w:r>
              <w:rPr>
                <w:rFonts w:hint="eastAsia"/>
                <w:sz w:val="24"/>
                <w:szCs w:val="32"/>
              </w:rPr>
              <w:t>根据供应商提供项目负责人的文件程度、从业年限、行业经验，技术人员专业素质、服务人数以及专业配备情况由评标委员会横向比较进行打分1-</w:t>
            </w:r>
            <w:r>
              <w:rPr>
                <w:rFonts w:hint="eastAsia"/>
                <w:sz w:val="24"/>
                <w:szCs w:val="32"/>
                <w:lang w:val="en-US" w:eastAsia="zh-CN"/>
              </w:rPr>
              <w:t>4</w:t>
            </w:r>
            <w:r>
              <w:rPr>
                <w:rFonts w:hint="eastAsia"/>
                <w:sz w:val="24"/>
                <w:szCs w:val="32"/>
              </w:rPr>
              <w:t>；（小计</w:t>
            </w:r>
            <w:r>
              <w:rPr>
                <w:rFonts w:hint="eastAsia"/>
                <w:sz w:val="24"/>
                <w:szCs w:val="32"/>
                <w:lang w:val="en-US" w:eastAsia="zh-CN"/>
              </w:rPr>
              <w:t>8</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399" w:type="pct"/>
            <w:vMerge w:val="continue"/>
            <w:tcBorders/>
          </w:tcPr>
          <w:p>
            <w:pPr>
              <w:spacing w:line="360" w:lineRule="auto"/>
              <w:rPr>
                <w:rFonts w:hint="eastAsia"/>
                <w:sz w:val="24"/>
                <w:szCs w:val="32"/>
              </w:rPr>
            </w:pPr>
          </w:p>
        </w:tc>
        <w:tc>
          <w:tcPr>
            <w:tcW w:w="713" w:type="pct"/>
            <w:vMerge w:val="continue"/>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4" w:type="pct"/>
          </w:tcPr>
          <w:p>
            <w:pPr>
              <w:spacing w:line="360" w:lineRule="auto"/>
              <w:rPr>
                <w:rFonts w:hint="eastAsia"/>
                <w:sz w:val="24"/>
                <w:szCs w:val="32"/>
              </w:rPr>
            </w:pPr>
            <w:r>
              <w:rPr>
                <w:rFonts w:hint="eastAsia"/>
                <w:sz w:val="24"/>
                <w:szCs w:val="32"/>
              </w:rPr>
              <w:t>供应商设计综合说明简明扼要的由评标委员会横向比较进行 打分1-2；</w:t>
            </w:r>
          </w:p>
          <w:p>
            <w:pPr>
              <w:spacing w:line="360" w:lineRule="auto"/>
              <w:rPr>
                <w:rFonts w:hint="eastAsia"/>
                <w:sz w:val="24"/>
                <w:szCs w:val="32"/>
              </w:rPr>
            </w:pPr>
            <w:r>
              <w:rPr>
                <w:rFonts w:hint="eastAsia"/>
                <w:sz w:val="24"/>
                <w:szCs w:val="32"/>
              </w:rPr>
              <w:t>供应商设计综合说明内容全面的由评标委员会横向 比较进行打分1-2；</w:t>
            </w:r>
          </w:p>
          <w:p>
            <w:pPr>
              <w:spacing w:line="360" w:lineRule="auto"/>
              <w:rPr>
                <w:rFonts w:hint="eastAsia"/>
                <w:sz w:val="24"/>
                <w:szCs w:val="32"/>
              </w:rPr>
            </w:pPr>
            <w:r>
              <w:rPr>
                <w:rFonts w:hint="eastAsia"/>
                <w:sz w:val="24"/>
                <w:szCs w:val="32"/>
              </w:rPr>
              <w:t>供应商设计综合说明重点突出的由评标委 员会横向比较进行打分1-2；</w:t>
            </w:r>
          </w:p>
          <w:p>
            <w:pPr>
              <w:spacing w:line="360" w:lineRule="auto"/>
              <w:rPr>
                <w:rFonts w:hint="eastAsia"/>
                <w:sz w:val="24"/>
                <w:szCs w:val="32"/>
              </w:rPr>
            </w:pPr>
            <w:r>
              <w:rPr>
                <w:rFonts w:hint="eastAsia"/>
                <w:sz w:val="24"/>
                <w:szCs w:val="32"/>
              </w:rPr>
              <w:t>供应商设计综合说明符合招标文 件的由评标委员会横向比较进行打分1-2；（小计8分）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9" w:type="pct"/>
            <w:vMerge w:val="continue"/>
            <w:tcBorders/>
          </w:tcPr>
          <w:p>
            <w:pPr>
              <w:spacing w:line="360" w:lineRule="auto"/>
              <w:rPr>
                <w:rFonts w:hint="eastAsia"/>
                <w:sz w:val="24"/>
                <w:szCs w:val="32"/>
              </w:rPr>
            </w:pPr>
          </w:p>
        </w:tc>
        <w:tc>
          <w:tcPr>
            <w:tcW w:w="713" w:type="pct"/>
            <w:vMerge w:val="continue"/>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18</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根据供应商设计方案提供改造实施方案的完整性，由评标委 员会横向比较进行打分2-6；</w:t>
            </w:r>
          </w:p>
          <w:p>
            <w:pPr>
              <w:spacing w:line="360" w:lineRule="auto"/>
              <w:rPr>
                <w:rFonts w:hint="eastAsia"/>
                <w:sz w:val="24"/>
                <w:szCs w:val="32"/>
              </w:rPr>
            </w:pPr>
            <w:r>
              <w:rPr>
                <w:rFonts w:hint="eastAsia"/>
                <w:sz w:val="24"/>
                <w:szCs w:val="32"/>
              </w:rPr>
              <w:t>根据供应商设计方案提供改造实施方案的合理性，由评标委员会横向比较进行打分2-6；</w:t>
            </w:r>
          </w:p>
          <w:p>
            <w:pPr>
              <w:spacing w:line="360" w:lineRule="auto"/>
              <w:rPr>
                <w:rFonts w:hint="eastAsia"/>
                <w:sz w:val="24"/>
                <w:szCs w:val="32"/>
              </w:rPr>
            </w:pPr>
            <w:r>
              <w:rPr>
                <w:rFonts w:hint="eastAsia"/>
                <w:sz w:val="24"/>
                <w:szCs w:val="32"/>
              </w:rPr>
              <w:t>根据供应商设计方案提供改造实施方案的可行性，由评标委员会横向比较进行打分2-6；（小计</w:t>
            </w:r>
            <w:r>
              <w:rPr>
                <w:rFonts w:hint="eastAsia"/>
                <w:sz w:val="24"/>
                <w:szCs w:val="32"/>
                <w:lang w:val="en-US" w:eastAsia="zh-CN"/>
              </w:rPr>
              <w:t>18</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399" w:type="pct"/>
            <w:vMerge w:val="continue"/>
            <w:tcBorders/>
          </w:tcPr>
          <w:p>
            <w:pPr>
              <w:spacing w:line="360" w:lineRule="auto"/>
              <w:rPr>
                <w:rFonts w:hint="eastAsia"/>
                <w:sz w:val="24"/>
                <w:szCs w:val="32"/>
              </w:rPr>
            </w:pPr>
          </w:p>
        </w:tc>
        <w:tc>
          <w:tcPr>
            <w:tcW w:w="713" w:type="pct"/>
            <w:vMerge w:val="continue"/>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4</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根据供应商在设计方案中明确主要装饰材料的规格和材料说明的完整性</w:t>
            </w:r>
            <w:r>
              <w:rPr>
                <w:rFonts w:hint="eastAsia"/>
                <w:sz w:val="24"/>
                <w:szCs w:val="32"/>
                <w:lang w:eastAsia="zh-CN"/>
              </w:rPr>
              <w:t>、</w:t>
            </w:r>
            <w:r>
              <w:rPr>
                <w:rFonts w:hint="eastAsia"/>
                <w:sz w:val="24"/>
                <w:szCs w:val="32"/>
              </w:rPr>
              <w:t>合理性</w:t>
            </w:r>
            <w:r>
              <w:rPr>
                <w:rFonts w:hint="eastAsia"/>
                <w:sz w:val="24"/>
                <w:szCs w:val="32"/>
                <w:lang w:eastAsia="zh-CN"/>
              </w:rPr>
              <w:t>、</w:t>
            </w:r>
            <w:r>
              <w:rPr>
                <w:rFonts w:hint="eastAsia"/>
                <w:sz w:val="24"/>
                <w:szCs w:val="32"/>
              </w:rPr>
              <w:t>可行性，由评标委员会横向比较进行打分</w:t>
            </w:r>
            <w:r>
              <w:rPr>
                <w:rFonts w:hint="eastAsia"/>
                <w:sz w:val="24"/>
                <w:szCs w:val="32"/>
                <w:lang w:val="en-US" w:eastAsia="zh-CN"/>
              </w:rPr>
              <w:t>1-4分</w:t>
            </w:r>
            <w:r>
              <w:rPr>
                <w:rFonts w:hint="eastAsia"/>
                <w:sz w:val="24"/>
                <w:szCs w:val="32"/>
              </w:rPr>
              <w:t>；</w:t>
            </w:r>
          </w:p>
          <w:p>
            <w:pPr>
              <w:spacing w:line="360" w:lineRule="auto"/>
              <w:rPr>
                <w:rFonts w:hint="eastAsia"/>
                <w:sz w:val="24"/>
                <w:szCs w:val="32"/>
              </w:rPr>
            </w:pPr>
            <w:r>
              <w:rPr>
                <w:rFonts w:hint="eastAsia"/>
                <w:sz w:val="24"/>
                <w:szCs w:val="32"/>
              </w:rPr>
              <w:t>（小计</w:t>
            </w:r>
            <w:r>
              <w:rPr>
                <w:rFonts w:hint="eastAsia"/>
                <w:sz w:val="24"/>
                <w:szCs w:val="32"/>
                <w:lang w:val="en-US" w:eastAsia="zh-CN"/>
              </w:rPr>
              <w:t>4</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9" w:type="pct"/>
            <w:vMerge w:val="continue"/>
            <w:tcBorders>
              <w:bottom w:val="nil"/>
            </w:tcBorders>
          </w:tcPr>
          <w:p>
            <w:pPr>
              <w:spacing w:line="360" w:lineRule="auto"/>
              <w:rPr>
                <w:rFonts w:hint="eastAsia"/>
                <w:sz w:val="24"/>
                <w:szCs w:val="32"/>
              </w:rPr>
            </w:pPr>
          </w:p>
        </w:tc>
        <w:tc>
          <w:tcPr>
            <w:tcW w:w="713" w:type="pct"/>
            <w:vMerge w:val="continue"/>
            <w:tcBorders>
              <w:bottom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4</w:t>
            </w:r>
            <w:r>
              <w:rPr>
                <w:rFonts w:hint="eastAsia"/>
                <w:sz w:val="24"/>
                <w:szCs w:val="32"/>
              </w:rPr>
              <w:t>分</w:t>
            </w:r>
          </w:p>
        </w:tc>
        <w:tc>
          <w:tcPr>
            <w:tcW w:w="3194" w:type="pct"/>
          </w:tcPr>
          <w:p>
            <w:pPr>
              <w:spacing w:line="360" w:lineRule="auto"/>
              <w:rPr>
                <w:rFonts w:hint="eastAsia"/>
                <w:sz w:val="24"/>
                <w:szCs w:val="32"/>
              </w:rPr>
            </w:pPr>
            <w:r>
              <w:rPr>
                <w:rFonts w:hint="eastAsia"/>
                <w:sz w:val="24"/>
                <w:szCs w:val="32"/>
              </w:rPr>
              <w:t>根据供应商设计进度保证措施制定的完整性</w:t>
            </w:r>
            <w:r>
              <w:rPr>
                <w:rFonts w:hint="eastAsia"/>
                <w:sz w:val="24"/>
                <w:szCs w:val="32"/>
                <w:lang w:eastAsia="zh-CN"/>
              </w:rPr>
              <w:t>、</w:t>
            </w:r>
            <w:r>
              <w:rPr>
                <w:rFonts w:hint="eastAsia"/>
                <w:sz w:val="24"/>
                <w:szCs w:val="32"/>
              </w:rPr>
              <w:t>合理性</w:t>
            </w:r>
            <w:r>
              <w:rPr>
                <w:rFonts w:hint="eastAsia"/>
                <w:sz w:val="24"/>
                <w:szCs w:val="32"/>
                <w:lang w:eastAsia="zh-CN"/>
              </w:rPr>
              <w:t>、</w:t>
            </w:r>
            <w:r>
              <w:rPr>
                <w:rFonts w:hint="eastAsia"/>
                <w:sz w:val="24"/>
                <w:szCs w:val="32"/>
              </w:rPr>
              <w:t>可行性，由评标委员会 横向比较进行打分</w:t>
            </w:r>
            <w:r>
              <w:rPr>
                <w:rFonts w:hint="eastAsia"/>
                <w:sz w:val="24"/>
                <w:szCs w:val="32"/>
                <w:lang w:val="en-US" w:eastAsia="zh-CN"/>
              </w:rPr>
              <w:t>1</w:t>
            </w:r>
            <w:r>
              <w:rPr>
                <w:rFonts w:hint="eastAsia"/>
                <w:sz w:val="24"/>
                <w:szCs w:val="32"/>
              </w:rPr>
              <w:t>-4；</w:t>
            </w:r>
          </w:p>
          <w:p>
            <w:pPr>
              <w:spacing w:line="360" w:lineRule="auto"/>
              <w:rPr>
                <w:rFonts w:hint="eastAsia"/>
                <w:sz w:val="24"/>
                <w:szCs w:val="32"/>
              </w:rPr>
            </w:pPr>
            <w:r>
              <w:rPr>
                <w:rFonts w:hint="eastAsia"/>
                <w:sz w:val="24"/>
                <w:szCs w:val="32"/>
              </w:rPr>
              <w:t>（小计</w:t>
            </w:r>
            <w:r>
              <w:rPr>
                <w:rFonts w:hint="eastAsia"/>
                <w:sz w:val="24"/>
                <w:szCs w:val="32"/>
                <w:lang w:val="en-US" w:eastAsia="zh-CN"/>
              </w:rPr>
              <w:t>4</w:t>
            </w:r>
            <w:r>
              <w:rPr>
                <w:rFonts w:hint="eastAsia"/>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399" w:type="pct"/>
            <w:tcBorders>
              <w:top w:val="nil"/>
            </w:tcBorders>
          </w:tcPr>
          <w:p>
            <w:pPr>
              <w:spacing w:line="360" w:lineRule="auto"/>
              <w:rPr>
                <w:rFonts w:hint="eastAsia"/>
                <w:sz w:val="24"/>
                <w:szCs w:val="32"/>
              </w:rPr>
            </w:pPr>
          </w:p>
        </w:tc>
        <w:tc>
          <w:tcPr>
            <w:tcW w:w="713" w:type="pct"/>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4分</w:t>
            </w:r>
          </w:p>
        </w:tc>
        <w:tc>
          <w:tcPr>
            <w:tcW w:w="3194"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各供应商对项目计划、达成效果以及具体实施计划汇报的合理性</w:t>
            </w:r>
            <w:r>
              <w:rPr>
                <w:rFonts w:hint="eastAsia"/>
                <w:sz w:val="24"/>
                <w:szCs w:val="32"/>
                <w:lang w:eastAsia="zh-CN"/>
              </w:rPr>
              <w:t>、</w:t>
            </w:r>
            <w:r>
              <w:rPr>
                <w:rFonts w:hint="eastAsia"/>
                <w:sz w:val="24"/>
                <w:szCs w:val="32"/>
              </w:rPr>
              <w:t>由评标委员会横向比较进行打分（</w:t>
            </w:r>
            <w:r>
              <w:rPr>
                <w:rFonts w:hint="eastAsia"/>
                <w:sz w:val="24"/>
                <w:szCs w:val="32"/>
                <w:lang w:eastAsia="zh-CN"/>
              </w:rPr>
              <w:t>满分</w:t>
            </w:r>
            <w:r>
              <w:rPr>
                <w:rFonts w:hint="eastAsia"/>
                <w:sz w:val="24"/>
                <w:szCs w:val="32"/>
                <w:lang w:val="en-US" w:eastAsia="zh-CN"/>
              </w:rPr>
              <w:t>4</w:t>
            </w:r>
            <w:r>
              <w:rPr>
                <w:rFonts w:hint="eastAsia"/>
                <w:sz w:val="24"/>
                <w:szCs w:val="32"/>
              </w:rPr>
              <w:t>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190" w:name="_Toc183582297"/>
      <w:bookmarkStart w:id="191" w:name="_Toc217446105"/>
      <w:bookmarkStart w:id="192" w:name="_Toc208849022"/>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5"/>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4"/>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rPr>
          <w:rFonts w:hint="eastAsia" w:ascii="宋体" w:hAnsi="宋体" w:cs="宋体"/>
          <w:sz w:val="32"/>
          <w:szCs w:val="32"/>
        </w:rPr>
      </w:pPr>
    </w:p>
    <w:p>
      <w:pPr>
        <w:pStyle w:val="29"/>
        <w:rPr>
          <w:rFonts w:hint="eastAsia"/>
        </w:rPr>
      </w:pPr>
    </w:p>
    <w:p>
      <w:pPr>
        <w:pStyle w:val="29"/>
        <w:ind w:left="0" w:leftChars="0" w:firstLine="0" w:firstLineChars="0"/>
        <w:rPr>
          <w:rFonts w:hint="eastAsia"/>
        </w:rPr>
      </w:pPr>
    </w:p>
    <w:bookmarkEnd w:id="178"/>
    <w:p>
      <w:pPr>
        <w:pStyle w:val="4"/>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203" w:name="_Toc13676"/>
      <w:bookmarkStart w:id="204" w:name="_Toc23429"/>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9"/>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5"/>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6816"/>
      <w:bookmarkStart w:id="210" w:name="_Toc10904"/>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5"/>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965"/>
      <w:bookmarkStart w:id="213" w:name="_Toc10366"/>
      <w:bookmarkStart w:id="214" w:name="_Toc19360"/>
      <w:bookmarkStart w:id="215" w:name="_Toc15783"/>
      <w:bookmarkStart w:id="216"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5"/>
        <w:spacing w:before="0" w:after="0"/>
        <w:jc w:val="left"/>
        <w:rPr>
          <w:rFonts w:ascii="宋体" w:hAnsi="宋体" w:cs="宋体"/>
          <w:b w:val="0"/>
          <w:sz w:val="24"/>
          <w:szCs w:val="24"/>
        </w:rPr>
      </w:pPr>
      <w:bookmarkStart w:id="217" w:name="_Toc6475"/>
      <w:bookmarkStart w:id="218" w:name="_Toc22060"/>
      <w:bookmarkStart w:id="219" w:name="_Toc19163"/>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6"/>
        <w:rPr>
          <w:rFonts w:ascii="宋体" w:hAnsi="宋体" w:cs="宋体"/>
          <w:szCs w:val="24"/>
        </w:rPr>
      </w:pPr>
    </w:p>
    <w:p>
      <w:pPr>
        <w:pStyle w:val="6"/>
        <w:ind w:firstLine="0"/>
        <w:rPr>
          <w:rFonts w:ascii="宋体" w:hAnsi="宋体" w:cs="宋体"/>
          <w:szCs w:val="24"/>
        </w:rPr>
      </w:pPr>
    </w:p>
    <w:p>
      <w:pPr>
        <w:pStyle w:val="6"/>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5"/>
        <w:spacing w:before="0" w:after="0"/>
        <w:rPr>
          <w:rFonts w:ascii="宋体" w:hAnsi="宋体" w:cs="宋体"/>
          <w:sz w:val="28"/>
          <w:szCs w:val="28"/>
        </w:rPr>
      </w:pPr>
      <w:bookmarkStart w:id="221" w:name="_Toc1230"/>
    </w:p>
    <w:p>
      <w:pPr>
        <w:rPr>
          <w:rFonts w:ascii="宋体" w:hAnsi="宋体" w:cs="宋体"/>
          <w:sz w:val="28"/>
          <w:szCs w:val="28"/>
        </w:rPr>
      </w:pPr>
    </w:p>
    <w:p>
      <w:pPr>
        <w:pStyle w:val="6"/>
      </w:pPr>
    </w:p>
    <w:p>
      <w:pPr>
        <w:pStyle w:val="29"/>
        <w:rPr>
          <w:rFonts w:ascii="宋体" w:hAnsi="宋体" w:cs="宋体"/>
        </w:rPr>
      </w:pPr>
    </w:p>
    <w:p>
      <w:pPr>
        <w:pStyle w:val="5"/>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5"/>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8"/>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5"/>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3"/>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3"/>
        <w:spacing w:before="0" w:line="241" w:lineRule="exact"/>
        <w:ind w:left="137" w:right="0"/>
        <w:jc w:val="left"/>
      </w:pPr>
    </w:p>
    <w:p>
      <w:pPr>
        <w:pStyle w:val="3"/>
        <w:spacing w:before="0" w:line="360" w:lineRule="auto"/>
        <w:ind w:right="0"/>
        <w:jc w:val="left"/>
      </w:pPr>
      <w:r>
        <w:t>投标人（签字、盖章）：</w:t>
      </w:r>
    </w:p>
    <w:p>
      <w:pPr>
        <w:pStyle w:val="3"/>
        <w:spacing w:before="0" w:line="360" w:lineRule="auto"/>
        <w:ind w:right="0"/>
        <w:jc w:val="left"/>
        <w:rPr>
          <w:rFonts w:hint="eastAsia"/>
          <w:u w:val="single"/>
          <w:lang w:val="en-US" w:eastAsia="zh-CN"/>
        </w:rPr>
      </w:pPr>
      <w:r>
        <w:t>日期：</w:t>
      </w:r>
    </w:p>
    <w:p>
      <w:pPr>
        <w:pStyle w:val="3"/>
        <w:spacing w:before="0" w:line="360" w:lineRule="auto"/>
        <w:ind w:left="137" w:right="0" w:firstLine="480" w:firstLineChars="200"/>
        <w:jc w:val="left"/>
        <w:rPr>
          <w:rFonts w:hint="eastAsia"/>
          <w:u w:val="single"/>
          <w:lang w:val="en-US" w:eastAsia="zh-CN"/>
        </w:rPr>
      </w:pPr>
    </w:p>
    <w:p>
      <w:pPr>
        <w:pStyle w:val="3"/>
        <w:spacing w:before="0" w:line="360" w:lineRule="auto"/>
        <w:ind w:left="137" w:right="0" w:firstLine="480" w:firstLineChars="200"/>
        <w:jc w:val="left"/>
        <w:rPr>
          <w:rFonts w:hint="eastAsia"/>
          <w:u w:val="single"/>
          <w:lang w:val="en-US" w:eastAsia="zh-CN"/>
        </w:rPr>
      </w:pPr>
    </w:p>
    <w:p>
      <w:pPr>
        <w:pStyle w:val="5"/>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9"/>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9"/>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3392"/>
      <w:bookmarkStart w:id="231" w:name="_Toc26432"/>
      <w:bookmarkStart w:id="232" w:name="_Toc27676"/>
      <w:bookmarkStart w:id="233" w:name="_Toc6233"/>
      <w:bookmarkStart w:id="234" w:name="_Toc16887"/>
      <w:bookmarkStart w:id="235" w:name="_Toc12836"/>
      <w:bookmarkStart w:id="236" w:name="_Toc4270"/>
      <w:bookmarkStart w:id="237" w:name="_Toc27827"/>
      <w:bookmarkStart w:id="238" w:name="_Toc10205"/>
      <w:bookmarkStart w:id="239" w:name="_Toc8733"/>
      <w:bookmarkStart w:id="240" w:name="_Toc26303"/>
      <w:bookmarkStart w:id="241" w:name="_Toc714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5"/>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5"/>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9"/>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w:t>
      </w:r>
      <w:r>
        <w:rPr>
          <w:rFonts w:hint="eastAsia" w:ascii="宋体" w:hAnsi="宋体" w:cs="宋体"/>
          <w:color w:val="000000" w:themeColor="text1"/>
          <w:spacing w:val="10"/>
          <w:kern w:val="2"/>
          <w:sz w:val="24"/>
          <w:szCs w:val="24"/>
          <w:u w:val="none"/>
          <w:lang w:val="en-US" w:eastAsia="zh-CN" w:bidi="ar-SA"/>
        </w:rPr>
        <w:t>为固定含税总价</w:t>
      </w:r>
      <w:r>
        <w:rPr>
          <w:rFonts w:hint="eastAsia" w:ascii="宋体" w:hAnsi="宋体" w:eastAsia="宋体" w:cs="宋体"/>
          <w:color w:val="000000" w:themeColor="text1"/>
          <w:spacing w:val="10"/>
          <w:kern w:val="2"/>
          <w:sz w:val="24"/>
          <w:szCs w:val="24"/>
          <w:u w:val="none"/>
          <w:lang w:val="en-US" w:eastAsia="zh-CN" w:bidi="ar-SA"/>
        </w:rPr>
        <w:t>，包括招标文件规定、要求和涵盖的全部费用</w:t>
      </w:r>
      <w:r>
        <w:rPr>
          <w:rFonts w:hint="eastAsia" w:ascii="宋体" w:hAnsi="宋体" w:cs="宋体"/>
          <w:color w:val="000000" w:themeColor="text1"/>
          <w:spacing w:val="10"/>
          <w:kern w:val="2"/>
          <w:sz w:val="24"/>
          <w:szCs w:val="24"/>
          <w:u w:val="none"/>
          <w:lang w:val="en-US" w:eastAsia="zh-CN" w:bidi="ar-SA"/>
        </w:rPr>
        <w:t>。</w:t>
      </w:r>
      <w:r>
        <w:rPr>
          <w:rFonts w:hint="eastAsia" w:ascii="宋体" w:hAnsi="宋体" w:cs="宋体"/>
          <w:color w:val="FF0000"/>
          <w:spacing w:val="10"/>
          <w:kern w:val="2"/>
          <w:sz w:val="24"/>
          <w:szCs w:val="24"/>
          <w:u w:val="none"/>
          <w:lang w:val="en-US" w:eastAsia="zh-CN" w:bidi="ar-SA"/>
        </w:rPr>
        <w:t>设计报价为固定总价，造价咨询报价为：工程造价按甘肃省发展和改革委员会文件甘发改服务【2014】1140号文件收费标准执行，报整体下浮率。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9"/>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5"/>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5"/>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5"/>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5"/>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9"/>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258" w:name="_Toc433806381"/>
      <w:bookmarkStart w:id="259" w:name="_Toc456166280"/>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5673"/>
      <w:bookmarkStart w:id="263" w:name="_Toc20408"/>
      <w:bookmarkStart w:id="264" w:name="_Toc15095"/>
      <w:bookmarkStart w:id="265" w:name="_Toc163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5"/>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7530"/>
      <w:bookmarkStart w:id="269" w:name="_Toc1997"/>
      <w:bookmarkStart w:id="270" w:name="_Toc19846"/>
      <w:bookmarkStart w:id="271" w:name="_Toc9385"/>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5"/>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4"/>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3"/>
      </w:pPr>
    </w:p>
    <w:p>
      <w:pPr>
        <w:pStyle w:val="4"/>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4"/>
        <w:jc w:val="left"/>
        <w:rPr>
          <w:rFonts w:ascii="宋体" w:hAnsi="宋体" w:cs="宋体"/>
        </w:rPr>
      </w:pPr>
    </w:p>
    <w:p>
      <w:pPr>
        <w:pStyle w:val="4"/>
        <w:jc w:val="left"/>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pStyle w:val="4"/>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20"/>
              <w:snapToGrid w:val="0"/>
              <w:jc w:val="center"/>
              <w:rPr>
                <w:rFonts w:hint="eastAsia" w:hAnsi="宋体" w:cs="Courier New"/>
                <w:sz w:val="24"/>
                <w:szCs w:val="24"/>
                <w:highlight w:val="none"/>
                <w:lang w:val="en-US" w:eastAsia="zh-CN"/>
              </w:rPr>
            </w:pPr>
          </w:p>
        </w:tc>
        <w:tc>
          <w:tcPr>
            <w:tcW w:w="1984" w:type="dxa"/>
            <w:noWrap w:val="0"/>
            <w:vAlign w:val="center"/>
          </w:tcPr>
          <w:p>
            <w:pPr>
              <w:pStyle w:val="20"/>
              <w:snapToGrid w:val="0"/>
              <w:jc w:val="center"/>
              <w:rPr>
                <w:rFonts w:hint="eastAsia" w:hAnsi="宋体" w:cs="Courier New"/>
                <w:sz w:val="24"/>
                <w:szCs w:val="24"/>
                <w:highlight w:val="none"/>
                <w:lang w:val="en-US" w:eastAsia="zh-CN"/>
              </w:rPr>
            </w:pPr>
          </w:p>
        </w:tc>
        <w:tc>
          <w:tcPr>
            <w:tcW w:w="1698" w:type="dxa"/>
            <w:noWrap w:val="0"/>
            <w:vAlign w:val="center"/>
          </w:tcPr>
          <w:p>
            <w:pPr>
              <w:pStyle w:val="20"/>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20"/>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20"/>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9"/>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4"/>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甘肃省第二人民医院消毒供应中心</w:t>
      </w:r>
      <w:r>
        <w:rPr>
          <w:rFonts w:hint="eastAsia" w:ascii="宋体" w:hAnsi="宋体" w:eastAsia="宋体" w:cs="宋体"/>
          <w:sz w:val="24"/>
          <w:szCs w:val="24"/>
          <w:u w:val="single"/>
          <w:lang w:val="en-US" w:eastAsia="zh-CN"/>
        </w:rPr>
        <w:t>装修改造工程项目设计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10"/>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80%，待工程竣工验收后，无息支付全部剩余设计费。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w:t>
      </w:r>
      <w:r>
        <w:rPr>
          <w:rFonts w:hint="eastAsia" w:ascii="宋体" w:hAnsi="宋体" w:cs="宋体"/>
          <w:sz w:val="24"/>
          <w:szCs w:val="24"/>
          <w:lang w:eastAsia="zh-CN"/>
        </w:rPr>
        <w:t>甲方所在地</w:t>
      </w:r>
      <w:r>
        <w:rPr>
          <w:rFonts w:hint="eastAsia" w:ascii="宋体" w:hAnsi="宋体" w:eastAsia="宋体" w:cs="宋体"/>
          <w:sz w:val="24"/>
          <w:szCs w:val="24"/>
        </w:rPr>
        <w:t>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bookmarkStart w:id="278" w:name="_GoBack"/>
      <w:bookmarkEnd w:id="278"/>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pStyle w:val="29"/>
        <w:rPr>
          <w:rFonts w:ascii="宋体" w:hAnsi="宋体" w:cs="宋体"/>
          <w:color w:val="000000"/>
          <w:spacing w:val="10"/>
          <w:sz w:val="24"/>
          <w:szCs w:val="32"/>
        </w:rPr>
      </w:pPr>
    </w:p>
    <w:p>
      <w:pPr>
        <w:rPr>
          <w:rFonts w:ascii="宋体" w:hAnsi="宋体" w:cs="宋体"/>
          <w:color w:val="000000"/>
          <w:spacing w:val="10"/>
          <w:sz w:val="24"/>
          <w:szCs w:val="32"/>
        </w:rPr>
      </w:pPr>
    </w:p>
    <w:p>
      <w:pPr>
        <w:pStyle w:val="29"/>
        <w:rPr>
          <w:rFonts w:ascii="宋体" w:hAnsi="宋体" w:cs="宋体"/>
          <w:color w:val="000000"/>
          <w:spacing w:val="10"/>
          <w:sz w:val="24"/>
          <w:szCs w:val="32"/>
        </w:rPr>
      </w:pPr>
    </w:p>
    <w:p>
      <w:pPr>
        <w:rPr>
          <w:rFonts w:ascii="宋体" w:hAnsi="宋体" w:cs="宋体"/>
          <w:color w:val="000000"/>
          <w:spacing w:val="10"/>
          <w:sz w:val="24"/>
          <w:szCs w:val="32"/>
        </w:rPr>
      </w:pPr>
    </w:p>
    <w:p>
      <w:pPr>
        <w:pStyle w:val="29"/>
        <w:rPr>
          <w:rFonts w:ascii="宋体" w:hAnsi="宋体" w:cs="宋体"/>
          <w:color w:val="000000"/>
          <w:spacing w:val="10"/>
          <w:sz w:val="24"/>
          <w:szCs w:val="32"/>
        </w:rPr>
      </w:pPr>
    </w:p>
    <w:p/>
    <w:p>
      <w:pPr>
        <w:spacing w:line="360" w:lineRule="auto"/>
        <w:textAlignment w:val="baseline"/>
        <w:rPr>
          <w:rFonts w:ascii="宋体" w:hAnsi="宋体" w:cs="宋体"/>
          <w:color w:val="000000"/>
          <w:spacing w:val="10"/>
          <w:sz w:val="24"/>
          <w:szCs w:val="32"/>
        </w:rPr>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9"/>
        <w:rPr>
          <w:rFonts w:hint="eastAsia"/>
        </w:rPr>
      </w:pPr>
    </w:p>
    <w:p>
      <w:pPr>
        <w:pStyle w:val="3"/>
        <w:rPr>
          <w:rFonts w:hint="eastAsia" w:ascii="宋体" w:hAnsi="宋体" w:cs="宋体"/>
          <w:b/>
          <w:bCs/>
          <w:sz w:val="48"/>
          <w:szCs w:val="48"/>
        </w:rPr>
      </w:pPr>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8910F"/>
    <w:multiLevelType w:val="singleLevel"/>
    <w:tmpl w:val="8B58910F"/>
    <w:lvl w:ilvl="0" w:tentative="0">
      <w:start w:val="2"/>
      <w:numFmt w:val="decimal"/>
      <w:suff w:val="nothing"/>
      <w:lvlText w:val="%1）"/>
      <w:lvlJc w:val="left"/>
    </w:lvl>
  </w:abstractNum>
  <w:abstractNum w:abstractNumId="1">
    <w:nsid w:val="A36EE3D6"/>
    <w:multiLevelType w:val="singleLevel"/>
    <w:tmpl w:val="A36EE3D6"/>
    <w:lvl w:ilvl="0" w:tentative="0">
      <w:start w:val="1"/>
      <w:numFmt w:val="decimal"/>
      <w:suff w:val="nothing"/>
      <w:lvlText w:val="（%1）"/>
      <w:lvlJc w:val="left"/>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48D2BBA"/>
    <w:multiLevelType w:val="singleLevel"/>
    <w:tmpl w:val="048D2BBA"/>
    <w:lvl w:ilvl="0" w:tentative="0">
      <w:start w:val="4"/>
      <w:numFmt w:val="chineseCounting"/>
      <w:suff w:val="nothing"/>
      <w:lvlText w:val="第%1条、"/>
      <w:lvlJc w:val="left"/>
      <w:rPr>
        <w:rFonts w:hint="eastAsia"/>
      </w:rPr>
    </w:lvl>
  </w:abstractNum>
  <w:abstractNum w:abstractNumId="4">
    <w:nsid w:val="3EB15752"/>
    <w:multiLevelType w:val="singleLevel"/>
    <w:tmpl w:val="3EB15752"/>
    <w:lvl w:ilvl="0" w:tentative="0">
      <w:start w:val="1"/>
      <w:numFmt w:val="chineseCounting"/>
      <w:suff w:val="nothing"/>
      <w:lvlText w:val="%1．"/>
      <w:lvlJc w:val="left"/>
      <w:rPr>
        <w:rFonts w:hint="eastAsia"/>
      </w:rPr>
    </w:lvl>
  </w:abstractNum>
  <w:abstractNum w:abstractNumId="5">
    <w:nsid w:val="4FAD5BD0"/>
    <w:multiLevelType w:val="singleLevel"/>
    <w:tmpl w:val="4FAD5BD0"/>
    <w:lvl w:ilvl="0" w:tentative="0">
      <w:start w:val="1"/>
      <w:numFmt w:val="decimal"/>
      <w:lvlText w:val="%1."/>
      <w:lvlJc w:val="left"/>
      <w:pPr>
        <w:tabs>
          <w:tab w:val="left" w:pos="312"/>
        </w:tabs>
      </w:pPr>
    </w:lvl>
  </w:abstractNum>
  <w:abstractNum w:abstractNumId="6">
    <w:nsid w:val="58EEE2A9"/>
    <w:multiLevelType w:val="singleLevel"/>
    <w:tmpl w:val="58EEE2A9"/>
    <w:lvl w:ilvl="0" w:tentative="0">
      <w:start w:val="1"/>
      <w:numFmt w:val="decimal"/>
      <w:suff w:val="space"/>
      <w:lvlText w:val="%1)"/>
      <w:lvlJc w:val="left"/>
    </w:lvl>
  </w:abstractNum>
  <w:abstractNum w:abstractNumId="7">
    <w:nsid w:val="5983EC99"/>
    <w:multiLevelType w:val="singleLevel"/>
    <w:tmpl w:val="5983EC99"/>
    <w:lvl w:ilvl="0" w:tentative="0">
      <w:start w:val="3"/>
      <w:numFmt w:val="chineseCounting"/>
      <w:suff w:val="space"/>
      <w:lvlText w:val="第%1章"/>
      <w:lvlJc w:val="left"/>
    </w:lvl>
  </w:abstractNum>
  <w:abstractNum w:abstractNumId="8">
    <w:nsid w:val="59DF3391"/>
    <w:multiLevelType w:val="singleLevel"/>
    <w:tmpl w:val="59DF3391"/>
    <w:lvl w:ilvl="0" w:tentative="0">
      <w:start w:val="7"/>
      <w:numFmt w:val="decimal"/>
      <w:suff w:val="space"/>
      <w:lvlText w:val="%1."/>
      <w:lvlJc w:val="left"/>
    </w:lvl>
  </w:abstractNum>
  <w:abstractNum w:abstractNumId="9">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6"/>
  </w:num>
  <w:num w:numId="4">
    <w:abstractNumId w:val="9"/>
  </w:num>
  <w:num w:numId="5">
    <w:abstractNumId w:val="8"/>
  </w:num>
  <w:num w:numId="6">
    <w:abstractNumId w:val="1"/>
  </w:num>
  <w:num w:numId="7">
    <w:abstractNumId w:val="7"/>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3489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10C8A"/>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50AA8"/>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20B0F"/>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98F"/>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06113"/>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306D4"/>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544E6"/>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E90E18"/>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D7B90"/>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A7010"/>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D1713"/>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73F00"/>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7564F"/>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32F7B"/>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274D9"/>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1D9F"/>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E633E"/>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EA125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93206"/>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2E50"/>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10EC4"/>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41588"/>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B506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0FEB"/>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8"/>
    <w:qFormat/>
    <w:uiPriority w:val="99"/>
    <w:pPr>
      <w:spacing w:line="360" w:lineRule="auto"/>
      <w:jc w:val="center"/>
      <w:outlineLvl w:val="0"/>
    </w:pPr>
    <w:rPr>
      <w:b/>
      <w:bCs/>
      <w:kern w:val="44"/>
      <w:sz w:val="44"/>
      <w:szCs w:val="44"/>
    </w:rPr>
  </w:style>
  <w:style w:type="paragraph" w:styleId="5">
    <w:name w:val="heading 2"/>
    <w:basedOn w:val="1"/>
    <w:next w:val="6"/>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7">
    <w:name w:val="heading 3"/>
    <w:basedOn w:val="1"/>
    <w:next w:val="1"/>
    <w:link w:val="50"/>
    <w:qFormat/>
    <w:uiPriority w:val="99"/>
    <w:pPr>
      <w:spacing w:line="360" w:lineRule="auto"/>
      <w:ind w:firstLine="482" w:firstLineChars="200"/>
      <w:outlineLvl w:val="2"/>
    </w:pPr>
    <w:rPr>
      <w:b/>
      <w:bCs/>
      <w:kern w:val="0"/>
      <w:sz w:val="32"/>
      <w:szCs w:val="32"/>
    </w:rPr>
  </w:style>
  <w:style w:type="paragraph" w:styleId="8">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9">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10">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1">
    <w:name w:val="heading 7"/>
    <w:basedOn w:val="1"/>
    <w:next w:val="1"/>
    <w:link w:val="54"/>
    <w:qFormat/>
    <w:uiPriority w:val="99"/>
    <w:pPr>
      <w:keepNext/>
      <w:keepLines/>
      <w:spacing w:before="240" w:after="64" w:line="320" w:lineRule="auto"/>
      <w:outlineLvl w:val="6"/>
    </w:pPr>
    <w:rPr>
      <w:b/>
      <w:bCs/>
      <w:kern w:val="0"/>
      <w:sz w:val="24"/>
    </w:rPr>
  </w:style>
  <w:style w:type="paragraph" w:styleId="12">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3">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autoSpaceDE w:val="0"/>
      <w:autoSpaceDN w:val="0"/>
      <w:adjustRightInd w:val="0"/>
      <w:ind w:firstLine="420"/>
      <w:jc w:val="left"/>
    </w:pPr>
    <w:rPr>
      <w:rFonts w:ascii="宋体"/>
      <w:kern w:val="0"/>
      <w:sz w:val="20"/>
      <w:szCs w:val="20"/>
    </w:rPr>
  </w:style>
  <w:style w:type="paragraph" w:styleId="3">
    <w:name w:val="Body Text"/>
    <w:basedOn w:val="1"/>
    <w:link w:val="59"/>
    <w:qFormat/>
    <w:uiPriority w:val="99"/>
    <w:pPr>
      <w:snapToGrid w:val="0"/>
      <w:spacing w:line="300" w:lineRule="auto"/>
    </w:pPr>
    <w:rPr>
      <w:kern w:val="0"/>
      <w:sz w:val="24"/>
    </w:rPr>
  </w:style>
  <w:style w:type="paragraph" w:styleId="6">
    <w:name w:val="Normal Indent"/>
    <w:basedOn w:val="1"/>
    <w:qFormat/>
    <w:uiPriority w:val="99"/>
    <w:pPr>
      <w:spacing w:after="120" w:line="360" w:lineRule="auto"/>
      <w:ind w:firstLine="420"/>
    </w:pPr>
    <w:rPr>
      <w:sz w:val="24"/>
      <w:szCs w:val="20"/>
    </w:rPr>
  </w:style>
  <w:style w:type="paragraph" w:styleId="14">
    <w:name w:val="Note Heading"/>
    <w:basedOn w:val="1"/>
    <w:next w:val="1"/>
    <w:link w:val="57"/>
    <w:qFormat/>
    <w:uiPriority w:val="99"/>
    <w:pPr>
      <w:jc w:val="center"/>
    </w:pPr>
    <w:rPr>
      <w:kern w:val="0"/>
      <w:sz w:val="24"/>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58"/>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68"/>
    <w:qFormat/>
    <w:uiPriority w:val="99"/>
    <w:pPr>
      <w:spacing w:before="240" w:after="60"/>
      <w:jc w:val="center"/>
      <w:outlineLvl w:val="0"/>
    </w:pPr>
    <w:rPr>
      <w:rFonts w:ascii="Cambria" w:hAnsi="Cambria"/>
      <w:b/>
      <w:bCs/>
      <w:sz w:val="32"/>
      <w:szCs w:val="32"/>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4"/>
    <w:qFormat/>
    <w:locked/>
    <w:uiPriority w:val="99"/>
    <w:rPr>
      <w:rFonts w:cs="Times New Roman"/>
      <w:b/>
      <w:bCs/>
      <w:kern w:val="44"/>
      <w:sz w:val="44"/>
      <w:szCs w:val="44"/>
    </w:rPr>
  </w:style>
  <w:style w:type="character" w:customStyle="1" w:styleId="49">
    <w:name w:val="标题 2 Char"/>
    <w:link w:val="5"/>
    <w:semiHidden/>
    <w:qFormat/>
    <w:locked/>
    <w:uiPriority w:val="99"/>
    <w:rPr>
      <w:rFonts w:ascii="Cambria" w:hAnsi="Cambria" w:eastAsia="宋体" w:cs="黑体"/>
      <w:b/>
      <w:bCs/>
      <w:sz w:val="32"/>
      <w:szCs w:val="32"/>
    </w:rPr>
  </w:style>
  <w:style w:type="character" w:customStyle="1" w:styleId="50">
    <w:name w:val="标题 3 Char"/>
    <w:link w:val="7"/>
    <w:semiHidden/>
    <w:qFormat/>
    <w:locked/>
    <w:uiPriority w:val="99"/>
    <w:rPr>
      <w:rFonts w:cs="Times New Roman"/>
      <w:b/>
      <w:bCs/>
      <w:sz w:val="32"/>
      <w:szCs w:val="32"/>
    </w:rPr>
  </w:style>
  <w:style w:type="character" w:customStyle="1" w:styleId="51">
    <w:name w:val="标题 4 Char"/>
    <w:link w:val="8"/>
    <w:semiHidden/>
    <w:qFormat/>
    <w:locked/>
    <w:uiPriority w:val="99"/>
    <w:rPr>
      <w:rFonts w:ascii="Cambria" w:hAnsi="Cambria" w:eastAsia="宋体" w:cs="黑体"/>
      <w:b/>
      <w:bCs/>
      <w:sz w:val="28"/>
      <w:szCs w:val="28"/>
    </w:rPr>
  </w:style>
  <w:style w:type="character" w:customStyle="1" w:styleId="52">
    <w:name w:val="标题 5 Char"/>
    <w:link w:val="9"/>
    <w:semiHidden/>
    <w:qFormat/>
    <w:locked/>
    <w:uiPriority w:val="99"/>
    <w:rPr>
      <w:rFonts w:cs="Times New Roman"/>
      <w:b/>
      <w:bCs/>
      <w:sz w:val="28"/>
      <w:szCs w:val="28"/>
    </w:rPr>
  </w:style>
  <w:style w:type="character" w:customStyle="1" w:styleId="53">
    <w:name w:val="标题 6 Char"/>
    <w:link w:val="10"/>
    <w:semiHidden/>
    <w:qFormat/>
    <w:locked/>
    <w:uiPriority w:val="99"/>
    <w:rPr>
      <w:rFonts w:ascii="Cambria" w:hAnsi="Cambria" w:eastAsia="宋体" w:cs="黑体"/>
      <w:b/>
      <w:bCs/>
      <w:sz w:val="24"/>
      <w:szCs w:val="24"/>
    </w:rPr>
  </w:style>
  <w:style w:type="character" w:customStyle="1" w:styleId="54">
    <w:name w:val="标题 7 Char"/>
    <w:link w:val="11"/>
    <w:semiHidden/>
    <w:qFormat/>
    <w:locked/>
    <w:uiPriority w:val="99"/>
    <w:rPr>
      <w:rFonts w:cs="Times New Roman"/>
      <w:b/>
      <w:bCs/>
      <w:sz w:val="24"/>
      <w:szCs w:val="24"/>
    </w:rPr>
  </w:style>
  <w:style w:type="character" w:customStyle="1" w:styleId="55">
    <w:name w:val="标题 8 Char"/>
    <w:link w:val="12"/>
    <w:semiHidden/>
    <w:qFormat/>
    <w:locked/>
    <w:uiPriority w:val="99"/>
    <w:rPr>
      <w:rFonts w:ascii="Cambria" w:hAnsi="Cambria" w:eastAsia="宋体" w:cs="黑体"/>
      <w:sz w:val="24"/>
      <w:szCs w:val="24"/>
    </w:rPr>
  </w:style>
  <w:style w:type="character" w:customStyle="1" w:styleId="56">
    <w:name w:val="标题 9 Char"/>
    <w:link w:val="13"/>
    <w:semiHidden/>
    <w:qFormat/>
    <w:locked/>
    <w:uiPriority w:val="99"/>
    <w:rPr>
      <w:rFonts w:ascii="Cambria" w:hAnsi="Cambria" w:eastAsia="宋体" w:cs="黑体"/>
      <w:sz w:val="21"/>
      <w:szCs w:val="21"/>
    </w:rPr>
  </w:style>
  <w:style w:type="character" w:customStyle="1" w:styleId="57">
    <w:name w:val="注释标题 Char"/>
    <w:link w:val="14"/>
    <w:semiHidden/>
    <w:qFormat/>
    <w:locked/>
    <w:uiPriority w:val="99"/>
    <w:rPr>
      <w:rFonts w:cs="Times New Roman"/>
      <w:sz w:val="24"/>
      <w:szCs w:val="24"/>
    </w:rPr>
  </w:style>
  <w:style w:type="character" w:customStyle="1" w:styleId="58">
    <w:name w:val="文档结构图 Char"/>
    <w:link w:val="16"/>
    <w:semiHidden/>
    <w:qFormat/>
    <w:locked/>
    <w:uiPriority w:val="99"/>
    <w:rPr>
      <w:rFonts w:ascii="宋体" w:cs="Times New Roman"/>
      <w:kern w:val="2"/>
      <w:sz w:val="18"/>
      <w:szCs w:val="18"/>
    </w:rPr>
  </w:style>
  <w:style w:type="character" w:customStyle="1" w:styleId="59">
    <w:name w:val="正文文本 Char"/>
    <w:link w:val="3"/>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4"/>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2020-04-01T04:11:33Z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