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hint="eastAsia" w:ascii="宋体" w:hAnsi="宋体" w:cs="宋体"/>
          <w:b/>
          <w:bCs w:val="0"/>
          <w:kern w:val="0"/>
          <w:sz w:val="72"/>
          <w:szCs w:val="72"/>
          <w:lang w:eastAsia="zh-CN"/>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w:t>
      </w: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lang w:val="en-US" w:eastAsia="zh-CN"/>
        </w:rPr>
        <w:t>3号楼网络改造</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FF0000"/>
          <w:sz w:val="30"/>
          <w:szCs w:val="30"/>
          <w:lang w:val="en-US" w:eastAsia="zh-CN"/>
        </w:rPr>
        <w:t>SEY-2020YNCG-045</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FF0000"/>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FF0000"/>
          <w:kern w:val="0"/>
          <w:sz w:val="30"/>
          <w:szCs w:val="30"/>
        </w:rPr>
        <w:t>二</w:t>
      </w:r>
      <w:r>
        <w:rPr>
          <w:rFonts w:hint="eastAsia" w:ascii="宋体" w:hAnsi="宋体" w:cs="宋体"/>
          <w:b/>
          <w:bCs/>
          <w:color w:val="FF0000"/>
          <w:kern w:val="0"/>
          <w:sz w:val="30"/>
          <w:szCs w:val="30"/>
          <w:lang w:val="en-US" w:eastAsia="zh-CN"/>
        </w:rPr>
        <w:t>0二0</w:t>
      </w:r>
      <w:r>
        <w:rPr>
          <w:rFonts w:hint="eastAsia" w:ascii="宋体" w:hAnsi="宋体" w:cs="宋体"/>
          <w:b/>
          <w:bCs/>
          <w:color w:val="FF0000"/>
          <w:kern w:val="0"/>
          <w:sz w:val="30"/>
          <w:szCs w:val="30"/>
        </w:rPr>
        <w:t>年</w:t>
      </w:r>
      <w:r>
        <w:rPr>
          <w:rFonts w:hint="eastAsia" w:ascii="宋体" w:hAnsi="宋体" w:cs="宋体"/>
          <w:b/>
          <w:bCs/>
          <w:color w:val="FF0000"/>
          <w:kern w:val="0"/>
          <w:sz w:val="30"/>
          <w:szCs w:val="30"/>
          <w:lang w:eastAsia="zh-CN"/>
        </w:rPr>
        <w:t>四</w:t>
      </w:r>
      <w:r>
        <w:rPr>
          <w:rFonts w:hint="eastAsia" w:ascii="宋体" w:hAnsi="宋体" w:cs="宋体"/>
          <w:b/>
          <w:bCs/>
          <w:color w:val="FF0000"/>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327439434"/>
      <w:bookmarkStart w:id="3" w:name="_Toc128372729"/>
      <w:bookmarkStart w:id="4" w:name="_Toc128372051"/>
      <w:bookmarkStart w:id="5" w:name="_Toc139965325"/>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sz w:val="24"/>
        </w:rPr>
      </w:pPr>
      <w:r>
        <w:rPr>
          <w:rFonts w:hint="eastAsia" w:ascii="宋体" w:hAnsi="宋体" w:cs="宋体"/>
          <w:sz w:val="24"/>
          <w:lang w:eastAsia="zh-CN"/>
        </w:rPr>
        <w:t>根据相关科室需求，经院主管部门批准</w:t>
      </w:r>
      <w:r>
        <w:rPr>
          <w:rFonts w:hint="eastAsia" w:ascii="宋体" w:hAnsi="宋体" w:cs="宋体"/>
          <w:sz w:val="24"/>
        </w:rPr>
        <w:t>，</w:t>
      </w:r>
      <w:r>
        <w:rPr>
          <w:rFonts w:hint="eastAsia" w:ascii="宋体" w:hAnsi="宋体" w:cs="宋体"/>
          <w:sz w:val="24"/>
          <w:lang w:eastAsia="zh-CN"/>
        </w:rPr>
        <w:t>决定</w:t>
      </w:r>
      <w:r>
        <w:rPr>
          <w:rFonts w:hint="eastAsia" w:ascii="宋体" w:hAnsi="宋体" w:cs="宋体"/>
          <w:sz w:val="24"/>
        </w:rPr>
        <w:t>对</w:t>
      </w:r>
      <w:r>
        <w:rPr>
          <w:rFonts w:hint="eastAsia" w:ascii="宋体" w:hAnsi="宋体" w:cs="宋体"/>
          <w:bCs/>
          <w:color w:val="FF0000"/>
          <w:sz w:val="24"/>
          <w:lang w:eastAsia="zh-CN"/>
        </w:rPr>
        <w:t>甘肃省第二人民医院</w:t>
      </w:r>
      <w:r>
        <w:rPr>
          <w:rFonts w:hint="eastAsia" w:ascii="宋体" w:hAnsi="宋体" w:cs="宋体"/>
          <w:bCs/>
          <w:color w:val="FF0000"/>
          <w:sz w:val="24"/>
          <w:lang w:val="en-US" w:eastAsia="zh-CN"/>
        </w:rPr>
        <w:t>3号楼网络改造</w:t>
      </w:r>
      <w:r>
        <w:rPr>
          <w:rFonts w:hint="eastAsia" w:ascii="宋体" w:hAnsi="宋体" w:cs="宋体"/>
          <w:bCs/>
          <w:color w:val="FF0000"/>
          <w:sz w:val="24"/>
        </w:rPr>
        <w:t>项目</w:t>
      </w:r>
      <w:r>
        <w:rPr>
          <w:rFonts w:hint="eastAsia" w:ascii="宋体" w:hAnsi="宋体" w:cs="宋体"/>
          <w:color w:val="FF0000"/>
          <w:sz w:val="24"/>
        </w:rPr>
        <w:t>以公开招标形式进行采购</w:t>
      </w:r>
      <w:r>
        <w:rPr>
          <w:rFonts w:hint="eastAsia" w:ascii="宋体" w:hAnsi="宋体" w:cs="宋体"/>
          <w:sz w:val="24"/>
        </w:rPr>
        <w:t>，欢迎符合资格条件的投标人前来参加。</w:t>
      </w:r>
    </w:p>
    <w:p>
      <w:pPr>
        <w:spacing w:line="360" w:lineRule="auto"/>
        <w:rPr>
          <w:rFonts w:hint="eastAsia" w:ascii="宋体" w:hAnsi="宋体" w:eastAsia="宋体" w:cs="宋体"/>
          <w:b/>
          <w:sz w:val="24"/>
          <w:lang w:val="en-US" w:eastAsia="zh-CN"/>
        </w:rPr>
      </w:pPr>
      <w:r>
        <w:rPr>
          <w:rFonts w:hint="eastAsia" w:ascii="宋体" w:hAnsi="宋体" w:cs="宋体"/>
          <w:b/>
          <w:bCs/>
          <w:sz w:val="24"/>
        </w:rPr>
        <w:t>1.招标文件编号：</w:t>
      </w:r>
      <w:r>
        <w:rPr>
          <w:rFonts w:hint="eastAsia" w:ascii="宋体" w:hAnsi="宋体" w:cs="宋体"/>
          <w:color w:val="FF0000"/>
          <w:sz w:val="24"/>
          <w:lang w:eastAsia="zh-CN"/>
        </w:rPr>
        <w:t>SEY-2020YNCG-045</w:t>
      </w:r>
    </w:p>
    <w:p>
      <w:pPr>
        <w:pStyle w:val="19"/>
        <w:keepNext w:val="0"/>
        <w:keepLines w:val="0"/>
        <w:pageBreakBefore w:val="0"/>
        <w:kinsoku/>
        <w:wordWrap/>
        <w:overflowPunct/>
        <w:topLinePunct w:val="0"/>
        <w:autoSpaceDE/>
        <w:autoSpaceDN/>
        <w:bidi w:val="0"/>
        <w:spacing w:before="0" w:beforeAutospacing="0" w:line="420" w:lineRule="exact"/>
        <w:rPr>
          <w:rFonts w:ascii="宋体" w:hAnsi="宋体" w:cs="宋体"/>
          <w:sz w:val="24"/>
        </w:rPr>
      </w:pPr>
      <w:r>
        <w:rPr>
          <w:rFonts w:hint="eastAsia" w:ascii="宋体" w:hAnsi="宋体" w:cs="宋体"/>
          <w:b/>
          <w:bCs/>
          <w:sz w:val="24"/>
        </w:rPr>
        <w:t>2.招标内容：</w:t>
      </w:r>
      <w:r>
        <w:rPr>
          <w:rFonts w:hint="eastAsia" w:ascii="宋体" w:hAnsi="宋体" w:cs="宋体"/>
          <w:bCs/>
          <w:color w:val="FF0000"/>
          <w:sz w:val="24"/>
          <w:lang w:val="en-US" w:eastAsia="zh-CN"/>
        </w:rPr>
        <w:t>3号楼网络改造</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w:t>
      </w:r>
      <w:r>
        <w:rPr>
          <w:rFonts w:hint="eastAsia" w:ascii="宋体" w:hAnsi="宋体" w:cs="宋体"/>
          <w:sz w:val="24"/>
        </w:rPr>
        <w:t>目共一个包，具体招标要求详见招标文件)</w:t>
      </w:r>
    </w:p>
    <w:p>
      <w:pPr>
        <w:spacing w:line="360" w:lineRule="auto"/>
        <w:rPr>
          <w:rFonts w:ascii="宋体" w:hAnsi="宋体" w:cs="宋体"/>
          <w:b/>
          <w:bCs/>
          <w:sz w:val="24"/>
        </w:rPr>
      </w:pPr>
      <w:r>
        <w:rPr>
          <w:rFonts w:hint="eastAsia" w:ascii="宋体" w:hAnsi="宋体" w:cs="宋体"/>
          <w:b/>
          <w:bCs/>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2）投标人须具有安全技术防范工程设计施工资质三级或以上（复印件加盖公章）；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投标人须具有GB/T27922-2011五星售后服务认证证书（复印件加盖公章）；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）采购设备需与原有华为融合虚拟一体机对接，须提供融合虚拟一体机原厂授权</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spacing w:line="360" w:lineRule="auto"/>
        <w:rPr>
          <w:rFonts w:ascii="宋体" w:hAnsi="宋体" w:cs="宋体"/>
          <w:sz w:val="24"/>
        </w:rPr>
      </w:pPr>
      <w:r>
        <w:rPr>
          <w:rFonts w:hint="eastAsia" w:ascii="宋体" w:hAnsi="宋体" w:cs="宋体"/>
          <w:b/>
          <w:bCs/>
          <w:sz w:val="24"/>
          <w:lang w:val="en-US" w:eastAsia="zh-CN"/>
        </w:rPr>
        <w:t>4</w:t>
      </w:r>
      <w:r>
        <w:rPr>
          <w:rFonts w:hint="eastAsia" w:ascii="宋体" w:hAnsi="宋体" w:cs="宋体"/>
          <w:b/>
          <w:bCs/>
          <w:sz w:val="24"/>
        </w:rPr>
        <w:t>.项目预算：</w:t>
      </w:r>
      <w:r>
        <w:rPr>
          <w:rFonts w:hint="eastAsia" w:ascii="宋体" w:hAnsi="宋体" w:cs="宋体"/>
          <w:b/>
          <w:bCs/>
          <w:sz w:val="24"/>
          <w:lang w:val="en-US" w:eastAsia="zh-CN"/>
        </w:rPr>
        <w:t>20</w:t>
      </w:r>
      <w:r>
        <w:rPr>
          <w:rFonts w:hint="eastAsia" w:ascii="宋体" w:hAnsi="宋体" w:cs="宋体"/>
          <w:color w:val="FF0000"/>
          <w:sz w:val="24"/>
        </w:rPr>
        <w:t>万元</w:t>
      </w:r>
    </w:p>
    <w:p>
      <w:pPr>
        <w:pStyle w:val="28"/>
        <w:spacing w:line="360" w:lineRule="auto"/>
        <w:ind w:left="0" w:leftChars="0"/>
        <w:rPr>
          <w:rFonts w:ascii="宋体" w:hAnsi="宋体" w:cs="宋体"/>
          <w:color w:val="auto"/>
          <w:kern w:val="0"/>
          <w:sz w:val="24"/>
        </w:rPr>
      </w:pPr>
      <w:r>
        <w:rPr>
          <w:rFonts w:hint="eastAsia" w:ascii="宋体" w:hAnsi="宋体" w:cs="宋体"/>
          <w:b/>
          <w:bCs/>
          <w:sz w:val="24"/>
          <w:lang w:val="en-US" w:eastAsia="zh-CN"/>
        </w:rPr>
        <w:t>5</w:t>
      </w:r>
      <w:r>
        <w:rPr>
          <w:rFonts w:hint="eastAsia" w:ascii="宋体" w:hAnsi="宋体" w:cs="宋体"/>
          <w:b/>
          <w:bCs/>
          <w:sz w:val="24"/>
        </w:rPr>
        <w:t>.公告期限</w:t>
      </w:r>
      <w:r>
        <w:rPr>
          <w:rFonts w:hint="eastAsia" w:ascii="宋体" w:hAnsi="宋体" w:cs="宋体"/>
          <w:b/>
          <w:bCs/>
          <w:color w:val="FF0000"/>
          <w:sz w:val="24"/>
        </w:rPr>
        <w:t>：</w:t>
      </w:r>
      <w:r>
        <w:rPr>
          <w:rFonts w:hint="eastAsia" w:ascii="宋体" w:hAnsi="宋体" w:cs="宋体"/>
          <w:color w:val="FF0000"/>
          <w:kern w:val="0"/>
          <w:sz w:val="24"/>
        </w:rPr>
        <w:t>5个工作日（即自20</w:t>
      </w:r>
      <w:r>
        <w:rPr>
          <w:rFonts w:hint="eastAsia" w:ascii="宋体" w:hAnsi="宋体" w:cs="宋体"/>
          <w:color w:val="FF0000"/>
          <w:kern w:val="0"/>
          <w:sz w:val="24"/>
          <w:lang w:val="en-US" w:eastAsia="zh-CN"/>
        </w:rPr>
        <w:t>20</w:t>
      </w:r>
      <w:r>
        <w:rPr>
          <w:rFonts w:hint="eastAsia" w:ascii="宋体" w:hAnsi="宋体" w:cs="宋体"/>
          <w:color w:val="FF0000"/>
          <w:kern w:val="0"/>
          <w:sz w:val="24"/>
        </w:rPr>
        <w:t>年</w:t>
      </w:r>
      <w:r>
        <w:rPr>
          <w:rFonts w:hint="eastAsia" w:ascii="宋体" w:hAnsi="宋体" w:cs="宋体"/>
          <w:color w:val="FF0000"/>
          <w:kern w:val="0"/>
          <w:sz w:val="24"/>
          <w:lang w:val="en-US" w:eastAsia="zh-CN"/>
        </w:rPr>
        <w:t>4</w:t>
      </w:r>
      <w:r>
        <w:rPr>
          <w:rFonts w:hint="eastAsia" w:ascii="宋体" w:hAnsi="宋体" w:cs="宋体"/>
          <w:color w:val="FF0000"/>
          <w:kern w:val="0"/>
          <w:sz w:val="24"/>
        </w:rPr>
        <w:t>月</w:t>
      </w:r>
      <w:r>
        <w:rPr>
          <w:rFonts w:hint="eastAsia" w:ascii="宋体" w:hAnsi="宋体" w:cs="宋体"/>
          <w:color w:val="FF0000"/>
          <w:kern w:val="0"/>
          <w:sz w:val="24"/>
          <w:lang w:val="en-US" w:eastAsia="zh-CN"/>
        </w:rPr>
        <w:t>10</w:t>
      </w:r>
      <w:r>
        <w:rPr>
          <w:rFonts w:hint="eastAsia" w:ascii="宋体" w:hAnsi="宋体" w:cs="宋体"/>
          <w:color w:val="FF0000"/>
          <w:kern w:val="0"/>
          <w:sz w:val="24"/>
        </w:rPr>
        <w:t>日至20</w:t>
      </w:r>
      <w:r>
        <w:rPr>
          <w:rFonts w:hint="eastAsia" w:ascii="宋体" w:hAnsi="宋体" w:cs="宋体"/>
          <w:color w:val="FF0000"/>
          <w:kern w:val="0"/>
          <w:sz w:val="24"/>
          <w:lang w:val="en-US" w:eastAsia="zh-CN"/>
        </w:rPr>
        <w:t>20</w:t>
      </w:r>
      <w:r>
        <w:rPr>
          <w:rFonts w:hint="eastAsia" w:ascii="宋体" w:hAnsi="宋体" w:cs="宋体"/>
          <w:color w:val="FF0000"/>
          <w:kern w:val="0"/>
          <w:sz w:val="24"/>
        </w:rPr>
        <w:t>年</w:t>
      </w:r>
      <w:r>
        <w:rPr>
          <w:rFonts w:hint="eastAsia" w:ascii="宋体" w:hAnsi="宋体" w:cs="宋体"/>
          <w:color w:val="FF0000"/>
          <w:kern w:val="0"/>
          <w:sz w:val="24"/>
          <w:lang w:val="en-US" w:eastAsia="zh-CN"/>
        </w:rPr>
        <w:t>4</w:t>
      </w:r>
      <w:r>
        <w:rPr>
          <w:rFonts w:hint="eastAsia" w:ascii="宋体" w:hAnsi="宋体" w:cs="宋体"/>
          <w:color w:val="FF0000"/>
          <w:kern w:val="0"/>
          <w:sz w:val="24"/>
        </w:rPr>
        <w:t>月</w:t>
      </w:r>
      <w:r>
        <w:rPr>
          <w:rFonts w:hint="eastAsia" w:ascii="宋体" w:hAnsi="宋体" w:cs="宋体"/>
          <w:color w:val="FF0000"/>
          <w:kern w:val="0"/>
          <w:sz w:val="24"/>
          <w:lang w:val="en-US" w:eastAsia="zh-CN"/>
        </w:rPr>
        <w:t>16</w:t>
      </w:r>
      <w:r>
        <w:rPr>
          <w:rFonts w:hint="eastAsia" w:ascii="宋体" w:hAnsi="宋体" w:cs="宋体"/>
          <w:color w:val="FF0000"/>
          <w:kern w:val="0"/>
          <w:sz w:val="24"/>
        </w:rPr>
        <w:t>日止</w:t>
      </w:r>
      <w:r>
        <w:rPr>
          <w:rFonts w:hint="eastAsia" w:ascii="宋体" w:hAnsi="宋体" w:cs="宋体"/>
          <w:color w:val="auto"/>
          <w:kern w:val="0"/>
          <w:sz w:val="24"/>
        </w:rPr>
        <w:t>）</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10</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16</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5</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7</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39965326"/>
      <w:bookmarkStart w:id="9" w:name="_Toc327439435"/>
      <w:bookmarkStart w:id="10" w:name="_Toc128372052"/>
      <w:bookmarkStart w:id="11" w:name="_Toc128372730"/>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序号</w:t>
            </w:r>
          </w:p>
        </w:tc>
        <w:tc>
          <w:tcPr>
            <w:tcW w:w="262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条款名称</w:t>
            </w:r>
          </w:p>
        </w:tc>
        <w:tc>
          <w:tcPr>
            <w:tcW w:w="624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bCs/>
                <w:color w:val="auto"/>
                <w:sz w:val="24"/>
                <w:lang w:eastAsia="zh-CN"/>
              </w:rPr>
              <w:t>甘肃省第二人民医院</w:t>
            </w:r>
            <w:r>
              <w:rPr>
                <w:rFonts w:hint="eastAsia" w:ascii="宋体" w:hAnsi="宋体" w:cs="宋体"/>
                <w:bCs/>
                <w:color w:val="auto"/>
                <w:sz w:val="24"/>
                <w:lang w:val="en-US" w:eastAsia="zh-CN"/>
              </w:rPr>
              <w:t>3号楼网络改造</w:t>
            </w:r>
            <w:r>
              <w:rPr>
                <w:rFonts w:hint="eastAsia" w:ascii="宋体" w:hAnsi="宋体" w:cs="宋体"/>
                <w:bCs/>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仿宋" w:cs="宋体"/>
                <w:color w:val="auto"/>
                <w:sz w:val="24"/>
                <w:lang w:val="en-US" w:eastAsia="zh-CN"/>
              </w:rPr>
            </w:pPr>
            <w:r>
              <w:rPr>
                <w:rFonts w:hint="eastAsia" w:ascii="仿宋" w:hAnsi="仿宋" w:eastAsia="仿宋" w:cs="仿宋"/>
                <w:b w:val="0"/>
                <w:bCs/>
                <w:color w:val="auto"/>
                <w:sz w:val="28"/>
                <w:szCs w:val="28"/>
              </w:rPr>
              <w:t>S</w:t>
            </w:r>
            <w:r>
              <w:rPr>
                <w:rFonts w:hint="eastAsia" w:ascii="仿宋" w:hAnsi="仿宋" w:eastAsia="仿宋" w:cs="仿宋"/>
                <w:b w:val="0"/>
                <w:bCs/>
                <w:color w:val="auto"/>
                <w:sz w:val="28"/>
                <w:szCs w:val="28"/>
                <w:lang w:val="en-US" w:eastAsia="zh-CN"/>
              </w:rPr>
              <w:t>E</w:t>
            </w:r>
            <w:r>
              <w:rPr>
                <w:rFonts w:hint="eastAsia" w:ascii="仿宋" w:hAnsi="仿宋" w:eastAsia="仿宋" w:cs="仿宋"/>
                <w:b w:val="0"/>
                <w:bCs/>
                <w:color w:val="auto"/>
                <w:sz w:val="28"/>
                <w:szCs w:val="28"/>
              </w:rPr>
              <w:t>Y-2</w:t>
            </w:r>
            <w:r>
              <w:rPr>
                <w:rFonts w:hint="eastAsia" w:ascii="仿宋" w:hAnsi="仿宋" w:eastAsia="仿宋" w:cs="仿宋"/>
                <w:b w:val="0"/>
                <w:bCs/>
                <w:color w:val="auto"/>
                <w:sz w:val="28"/>
                <w:szCs w:val="28"/>
                <w:lang w:val="en-US" w:eastAsia="zh-CN"/>
              </w:rPr>
              <w:t>020</w:t>
            </w:r>
            <w:r>
              <w:rPr>
                <w:rFonts w:hint="eastAsia" w:ascii="仿宋" w:hAnsi="仿宋" w:eastAsia="仿宋" w:cs="仿宋"/>
                <w:b w:val="0"/>
                <w:bCs/>
                <w:color w:val="auto"/>
                <w:sz w:val="28"/>
                <w:szCs w:val="28"/>
              </w:rPr>
              <w:t>YNCG-0</w:t>
            </w:r>
            <w:r>
              <w:rPr>
                <w:rFonts w:hint="eastAsia" w:ascii="仿宋" w:hAnsi="仿宋" w:eastAsia="仿宋" w:cs="仿宋"/>
                <w:b w:val="0"/>
                <w:bCs/>
                <w:color w:val="auto"/>
                <w:sz w:val="28"/>
                <w:szCs w:val="28"/>
                <w:lang w:val="en-US" w:eastAsia="zh-CN"/>
              </w:rPr>
              <w:t>45</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szCs w:val="30"/>
                <w:lang w:eastAsia="zh-CN"/>
              </w:rPr>
            </w:pPr>
            <w:r>
              <w:rPr>
                <w:rFonts w:hint="eastAsia" w:ascii="宋体" w:hAnsi="宋体" w:cs="宋体"/>
                <w:color w:val="auto"/>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kern w:val="0"/>
                <w:sz w:val="24"/>
                <w:szCs w:val="22"/>
              </w:rPr>
            </w:pPr>
            <w:r>
              <w:rPr>
                <w:rFonts w:hint="eastAsia" w:ascii="宋体" w:hAnsi="宋体" w:cs="宋体"/>
                <w:color w:val="auto"/>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pPr>
              <w:spacing w:line="360" w:lineRule="auto"/>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2）投标人须具有安全技术防范工程设计施工资质三级或以上（复印件加盖公章）；</w:t>
            </w:r>
          </w:p>
          <w:p>
            <w:pPr>
              <w:pStyle w:val="28"/>
              <w:spacing w:line="360" w:lineRule="auto"/>
              <w:ind w:left="0" w:leftChars="0" w:firstLine="480" w:firstLineChars="200"/>
              <w:rPr>
                <w:rFonts w:hint="eastAsia"/>
                <w:color w:val="auto"/>
                <w:highlight w:val="none"/>
              </w:rPr>
            </w:pPr>
            <w:r>
              <w:rPr>
                <w:rFonts w:hint="eastAsia" w:ascii="宋体" w:hAnsi="宋体" w:eastAsia="宋体" w:cs="宋体"/>
                <w:color w:val="auto"/>
                <w:sz w:val="24"/>
                <w:szCs w:val="24"/>
                <w:highlight w:val="none"/>
                <w:lang w:val="en-US" w:eastAsia="zh-CN"/>
              </w:rPr>
              <w:t>3）</w:t>
            </w:r>
            <w:r>
              <w:rPr>
                <w:rFonts w:hint="eastAsia"/>
                <w:color w:val="auto"/>
                <w:sz w:val="24"/>
                <w:szCs w:val="24"/>
                <w:highlight w:val="none"/>
                <w:lang w:val="en-US" w:eastAsia="zh-CN"/>
              </w:rPr>
              <w:t>投标人须具有GB/T27922-2011五星售后服务认证证书（复印件加盖公章）；</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szCs w:val="24"/>
                <w:lang w:val="en-US" w:eastAsia="zh-CN"/>
              </w:rPr>
              <w:t>4</w:t>
            </w:r>
            <w:r>
              <w:rPr>
                <w:rFonts w:hint="eastAsia" w:ascii="宋体" w:hAnsi="宋体" w:cs="宋体"/>
                <w:color w:val="auto"/>
                <w:sz w:val="24"/>
                <w:szCs w:val="24"/>
              </w:rPr>
              <w:t>）采购设备需与原有华为融合虚拟一体机对接，须提供融合虚拟一体机原厂授权</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）本项目不接受联合体投标。</w:t>
            </w:r>
          </w:p>
          <w:p>
            <w:pPr>
              <w:widowControl/>
              <w:autoSpaceDN w:val="0"/>
              <w:spacing w:line="360" w:lineRule="auto"/>
              <w:rPr>
                <w:rFonts w:ascii="宋体" w:hAnsi="宋体" w:cs="宋体"/>
                <w:color w:val="auto"/>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noWrap w:val="0"/>
            <w:vAlign w:val="center"/>
          </w:tcPr>
          <w:p>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30</w:t>
            </w:r>
            <w:r>
              <w:rPr>
                <w:rFonts w:hint="eastAsia" w:ascii="宋体" w:hAnsi="宋体" w:cs="宋体"/>
                <w:color w:val="auto"/>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noWrap w:val="0"/>
            <w:vAlign w:val="center"/>
          </w:tcPr>
          <w:p>
            <w:pPr>
              <w:pStyle w:val="208"/>
              <w:spacing w:line="360" w:lineRule="auto"/>
              <w:jc w:val="both"/>
              <w:rPr>
                <w:rFonts w:hint="eastAsia"/>
                <w:color w:val="auto"/>
                <w:kern w:val="2"/>
              </w:rPr>
            </w:pPr>
            <w:r>
              <w:rPr>
                <w:rFonts w:hint="eastAsia"/>
                <w:color w:val="auto"/>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jc w:val="center"/>
              <w:rPr>
                <w:rFonts w:ascii="宋体" w:hAnsi="宋体" w:cs="宋体"/>
                <w:color w:val="auto"/>
                <w:spacing w:val="10"/>
                <w:sz w:val="24"/>
              </w:rPr>
            </w:pPr>
            <w:r>
              <w:rPr>
                <w:rFonts w:hint="eastAsia"/>
                <w:color w:val="auto"/>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color w:val="auto"/>
                <w:spacing w:val="10"/>
                <w:sz w:val="24"/>
              </w:rPr>
            </w:pPr>
            <w:r>
              <w:rPr>
                <w:rFonts w:hint="eastAsia"/>
                <w:color w:val="auto"/>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及电子版要求</w:t>
            </w:r>
          </w:p>
          <w:p>
            <w:pPr>
              <w:spacing w:line="360" w:lineRule="auto"/>
              <w:ind w:firstLine="520" w:firstLineChars="200"/>
              <w:rPr>
                <w:rFonts w:ascii="宋体" w:hAnsi="宋体" w:cs="宋体"/>
                <w:color w:val="auto"/>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rPr>
              <w:t>电子版</w:t>
            </w:r>
            <w:r>
              <w:rPr>
                <w:rFonts w:hint="eastAsia" w:ascii="宋体" w:hAnsi="宋体" w:cs="宋体"/>
                <w:color w:val="auto"/>
                <w:sz w:val="24"/>
                <w:szCs w:val="32"/>
                <w:lang w:eastAsia="zh-CN"/>
              </w:rPr>
              <w:t>壹</w:t>
            </w:r>
            <w:r>
              <w:rPr>
                <w:rFonts w:hint="eastAsia" w:ascii="宋体" w:hAnsi="宋体" w:eastAsia="宋体" w:cs="宋体"/>
                <w:color w:val="auto"/>
                <w:sz w:val="24"/>
                <w:szCs w:val="32"/>
              </w:rPr>
              <w:t>份：U盘</w:t>
            </w:r>
            <w:r>
              <w:rPr>
                <w:rFonts w:hint="eastAsia" w:ascii="宋体" w:hAnsi="宋体" w:eastAsia="宋体" w:cs="宋体"/>
                <w:color w:val="auto"/>
                <w:sz w:val="24"/>
                <w:szCs w:val="32"/>
                <w:lang w:eastAsia="zh-CN"/>
              </w:rPr>
              <w:t>壹</w:t>
            </w:r>
            <w:r>
              <w:rPr>
                <w:rFonts w:hint="eastAsia" w:ascii="宋体" w:hAnsi="宋体" w:eastAsia="宋体" w:cs="宋体"/>
                <w:color w:val="auto"/>
                <w:sz w:val="24"/>
                <w:szCs w:val="32"/>
              </w:rPr>
              <w:t>份，</w:t>
            </w:r>
            <w:r>
              <w:rPr>
                <w:rFonts w:hint="eastAsia" w:ascii="宋体" w:hAnsi="宋体" w:cs="宋体"/>
                <w:color w:val="auto"/>
                <w:sz w:val="24"/>
                <w:szCs w:val="32"/>
                <w:lang w:eastAsia="zh-CN"/>
              </w:rPr>
              <w:t>单独</w:t>
            </w:r>
            <w:r>
              <w:rPr>
                <w:rFonts w:hint="eastAsia" w:ascii="宋体" w:hAnsi="宋体" w:eastAsia="宋体" w:cs="宋体"/>
                <w:color w:val="auto"/>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color w:val="auto"/>
                <w:sz w:val="24"/>
                <w:szCs w:val="32"/>
                <w:lang w:val="zh-CN"/>
              </w:rPr>
            </w:pPr>
            <w:r>
              <w:rPr>
                <w:rFonts w:hint="eastAsia" w:ascii="宋体" w:hAnsi="宋体" w:eastAsia="宋体" w:cs="宋体"/>
                <w:color w:val="auto"/>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pPr>
              <w:numPr>
                <w:ilvl w:val="0"/>
                <w:numId w:val="3"/>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7</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甘肃省第二人民医院行政楼二楼会议室（暂定）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5</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7</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val="0"/>
                <w:bCs w:val="0"/>
                <w:color w:val="auto"/>
                <w:spacing w:val="10"/>
                <w:sz w:val="24"/>
              </w:rPr>
              <w:t>（北京时间）</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noWrap w:val="0"/>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ascii="宋体" w:hAnsi="宋体" w:eastAsia="宋体" w:cs="宋体"/>
                <w:color w:val="auto"/>
                <w:sz w:val="24"/>
                <w:szCs w:val="24"/>
                <w:highlight w:val="none"/>
              </w:rPr>
              <w:t>货物到达交货地点，</w:t>
            </w:r>
            <w:r>
              <w:rPr>
                <w:rFonts w:hint="eastAsia"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cs="宋体"/>
                <w:color w:val="auto"/>
                <w:sz w:val="24"/>
                <w:szCs w:val="24"/>
                <w:highlight w:val="none"/>
                <w:lang w:val="en-US" w:eastAsia="zh-CN"/>
              </w:rPr>
              <w:t>90</w:t>
            </w:r>
            <w:r>
              <w:rPr>
                <w:rFonts w:hint="eastAsia" w:ascii="宋体" w:hAnsi="宋体" w:eastAsia="宋体" w:cs="宋体"/>
                <w:color w:val="auto"/>
                <w:sz w:val="24"/>
                <w:szCs w:val="24"/>
                <w:highlight w:val="none"/>
              </w:rPr>
              <w:t>％，剩余的10%作为质量保证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质保期结束设备</w:t>
            </w:r>
            <w:r>
              <w:rPr>
                <w:rFonts w:hint="eastAsia" w:ascii="宋体" w:hAnsi="宋体" w:eastAsia="宋体" w:cs="宋体"/>
                <w:color w:val="auto"/>
                <w:sz w:val="24"/>
                <w:szCs w:val="24"/>
                <w:highlight w:val="none"/>
              </w:rPr>
              <w:t>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color w:val="auto"/>
                <w:spacing w:val="10"/>
                <w:sz w:val="24"/>
                <w:lang w:eastAsia="zh-CN"/>
              </w:rPr>
            </w:pPr>
            <w:r>
              <w:rPr>
                <w:rFonts w:hint="eastAsia" w:ascii="宋体" w:hAnsi="宋体" w:cs="宋体"/>
                <w:color w:val="auto"/>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jc w:val="center"/>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25223"/>
      <w:bookmarkStart w:id="18" w:name="_Toc11984"/>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9394"/>
      <w:bookmarkStart w:id="20" w:name="_Toc1806"/>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736"/>
      <w:bookmarkStart w:id="22" w:name="_Toc128372058"/>
      <w:bookmarkStart w:id="23" w:name="_Toc139965332"/>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14148"/>
      <w:bookmarkStart w:id="25" w:name="_Toc22890"/>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582210"/>
      <w:bookmarkStart w:id="30" w:name="_Toc217446039"/>
      <w:bookmarkStart w:id="31" w:name="_Toc183682347"/>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682348"/>
      <w:bookmarkStart w:id="35" w:name="_Toc183582211"/>
      <w:bookmarkStart w:id="36" w:name="_Toc217446040"/>
    </w:p>
    <w:p>
      <w:pPr>
        <w:pStyle w:val="4"/>
        <w:jc w:val="both"/>
        <w:rPr>
          <w:rFonts w:ascii="宋体" w:hAnsi="宋体" w:cs="宋体"/>
          <w:sz w:val="24"/>
          <w:lang w:val="zh-CN"/>
        </w:rPr>
      </w:pPr>
      <w:bookmarkStart w:id="37" w:name="_Toc9777"/>
      <w:bookmarkStart w:id="38" w:name="_Toc3119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217446041"/>
      <w:bookmarkStart w:id="40" w:name="_Toc183682350"/>
      <w:bookmarkStart w:id="41" w:name="_Toc208848971"/>
      <w:bookmarkStart w:id="42" w:name="_Toc183582213"/>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现场踏勘（投标商可自行前往踏勘现场）</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682351"/>
      <w:bookmarkStart w:id="46" w:name="_Toc89075876"/>
      <w:bookmarkStart w:id="47" w:name="_Toc217446042"/>
      <w:bookmarkStart w:id="48" w:name="_Toc183582214"/>
      <w:bookmarkStart w:id="49" w:name="_Toc77400780"/>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582215"/>
      <w:bookmarkStart w:id="52" w:name="_Toc217446043"/>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30487"/>
      <w:bookmarkStart w:id="55" w:name="_Toc21300"/>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9029"/>
      <w:bookmarkStart w:id="57" w:name="_Toc1665"/>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682353"/>
      <w:bookmarkStart w:id="59" w:name="_Toc217446044"/>
      <w:bookmarkStart w:id="60" w:name="_Toc183582216"/>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（1）投标产品的品牌、型号、配置；</w:t>
      </w:r>
    </w:p>
    <w:p>
      <w:pPr>
        <w:pStyle w:val="208"/>
        <w:spacing w:line="360" w:lineRule="auto"/>
        <w:ind w:firstLine="480" w:firstLineChars="200"/>
        <w:jc w:val="both"/>
        <w:rPr>
          <w:lang w:val="zh-CN"/>
        </w:rPr>
      </w:pPr>
      <w:r>
        <w:rPr>
          <w:rFonts w:hint="eastAsia"/>
          <w:lang w:val="zh-CN"/>
        </w:rPr>
        <w:t>（2）详细的技术指标和参数；</w:t>
      </w:r>
    </w:p>
    <w:p>
      <w:pPr>
        <w:pStyle w:val="208"/>
        <w:spacing w:line="360" w:lineRule="auto"/>
        <w:ind w:firstLine="480" w:firstLineChars="200"/>
        <w:jc w:val="both"/>
        <w:rPr>
          <w:lang w:val="zh-CN"/>
        </w:rPr>
      </w:pPr>
      <w:r>
        <w:rPr>
          <w:rFonts w:hint="eastAsia"/>
          <w:lang w:val="zh-CN"/>
        </w:rPr>
        <w:t>（3）技术方案、项目实施方案；</w:t>
      </w:r>
    </w:p>
    <w:p>
      <w:pPr>
        <w:pStyle w:val="208"/>
        <w:spacing w:line="360" w:lineRule="auto"/>
        <w:ind w:firstLine="480" w:firstLineChars="200"/>
        <w:jc w:val="both"/>
        <w:rPr>
          <w:lang w:val="zh-CN"/>
        </w:rPr>
      </w:pPr>
      <w:r>
        <w:rPr>
          <w:rFonts w:hint="eastAsia"/>
          <w:lang w:val="zh-CN"/>
        </w:rPr>
        <w:t>（4）技术偏离表；</w:t>
      </w:r>
    </w:p>
    <w:p>
      <w:pPr>
        <w:pStyle w:val="208"/>
        <w:spacing w:line="360" w:lineRule="auto"/>
        <w:ind w:firstLine="480" w:firstLineChars="200"/>
        <w:jc w:val="both"/>
        <w:rPr>
          <w:lang w:val="zh-CN"/>
        </w:rPr>
      </w:pPr>
      <w:r>
        <w:rPr>
          <w:rFonts w:hint="eastAsia"/>
          <w:lang w:val="zh-CN"/>
        </w:rPr>
        <w:t>（5）说明书或产品介绍或产品合格证等证明材料；</w:t>
      </w:r>
    </w:p>
    <w:p>
      <w:pPr>
        <w:pStyle w:val="208"/>
        <w:spacing w:line="360" w:lineRule="auto"/>
        <w:ind w:firstLine="480" w:firstLineChars="200"/>
        <w:jc w:val="both"/>
        <w:rPr>
          <w:lang w:val="zh-CN"/>
        </w:rPr>
      </w:pPr>
      <w:r>
        <w:rPr>
          <w:rFonts w:hint="eastAsia"/>
          <w:lang w:val="zh-CN"/>
        </w:rPr>
        <w:t>（6）产品工作环境条件；</w:t>
      </w:r>
    </w:p>
    <w:p>
      <w:pPr>
        <w:pStyle w:val="208"/>
        <w:spacing w:line="360" w:lineRule="auto"/>
        <w:ind w:firstLine="480" w:firstLineChars="200"/>
        <w:jc w:val="both"/>
        <w:rPr>
          <w:lang w:val="zh-CN"/>
        </w:rPr>
      </w:pPr>
      <w:r>
        <w:rPr>
          <w:rFonts w:hint="eastAsia"/>
          <w:lang w:val="zh-CN"/>
        </w:rPr>
        <w:t>（7）产品验收标准和验收方法；</w:t>
      </w:r>
    </w:p>
    <w:p>
      <w:pPr>
        <w:pStyle w:val="208"/>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8"/>
        <w:spacing w:line="360" w:lineRule="auto"/>
        <w:ind w:firstLine="480" w:firstLineChars="200"/>
        <w:jc w:val="both"/>
        <w:rPr>
          <w:highlight w:val="green"/>
          <w:lang w:val="zh-CN"/>
        </w:rPr>
      </w:pPr>
      <w:r>
        <w:rPr>
          <w:rFonts w:hint="eastAsia"/>
          <w:lang w:val="zh-CN"/>
        </w:rPr>
        <w:t>（9）投标人认为需要提供的文件和资料。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31286"/>
      <w:bookmarkStart w:id="87" w:name="_Toc183682361"/>
      <w:bookmarkStart w:id="88" w:name="_Toc183582224"/>
      <w:bookmarkStart w:id="89" w:name="_Toc28500"/>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4373"/>
      <w:bookmarkStart w:id="106" w:name="_Toc25881"/>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183582232"/>
      <w:bookmarkStart w:id="115" w:name="_Toc217446057"/>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32409"/>
      <w:bookmarkStart w:id="167" w:name="_Toc1308"/>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FF0000"/>
          <w:sz w:val="32"/>
          <w:szCs w:val="32"/>
        </w:rPr>
      </w:pPr>
      <w:bookmarkStart w:id="179" w:name="_Toc20581"/>
      <w:r>
        <w:rPr>
          <w:rFonts w:hint="eastAsia" w:ascii="宋体" w:hAnsi="宋体" w:cs="宋体"/>
          <w:color w:val="FF0000"/>
          <w:sz w:val="32"/>
          <w:szCs w:val="32"/>
          <w:lang w:val="en-US" w:eastAsia="zh-CN"/>
        </w:rPr>
        <w:t xml:space="preserve"> </w:t>
      </w:r>
      <w:r>
        <w:rPr>
          <w:rFonts w:hint="eastAsia" w:ascii="宋体" w:hAnsi="宋体" w:cs="宋体"/>
          <w:color w:val="FF0000"/>
          <w:sz w:val="32"/>
          <w:szCs w:val="32"/>
        </w:rPr>
        <w:t>采购需求及技术要求</w:t>
      </w:r>
      <w:bookmarkEnd w:id="179"/>
    </w:p>
    <w:p>
      <w:pPr>
        <w:pStyle w:val="220"/>
        <w:tabs>
          <w:tab w:val="left" w:pos="426"/>
          <w:tab w:val="left" w:pos="567"/>
        </w:tabs>
        <w:adjustRightInd w:val="0"/>
        <w:snapToGrid w:val="0"/>
        <w:spacing w:line="360" w:lineRule="auto"/>
        <w:ind w:firstLine="0" w:firstLineChars="0"/>
        <w:jc w:val="left"/>
        <w:rPr>
          <w:rFonts w:ascii="宋体" w:hAnsi="宋体" w:cs="Arial"/>
          <w:sz w:val="28"/>
          <w:szCs w:val="28"/>
        </w:rPr>
      </w:pPr>
    </w:p>
    <w:tbl>
      <w:tblPr>
        <w:tblStyle w:val="35"/>
        <w:tblW w:w="8865" w:type="dxa"/>
        <w:tblInd w:w="0" w:type="dxa"/>
        <w:shd w:val="clear" w:color="auto" w:fill="auto"/>
        <w:tblLayout w:type="autofit"/>
        <w:tblCellMar>
          <w:top w:w="0" w:type="dxa"/>
          <w:left w:w="0" w:type="dxa"/>
          <w:bottom w:w="0" w:type="dxa"/>
          <w:right w:w="0" w:type="dxa"/>
        </w:tblCellMar>
      </w:tblPr>
      <w:tblGrid>
        <w:gridCol w:w="566"/>
        <w:gridCol w:w="2093"/>
        <w:gridCol w:w="5074"/>
        <w:gridCol w:w="566"/>
        <w:gridCol w:w="566"/>
      </w:tblGrid>
      <w:tr>
        <w:tblPrEx>
          <w:shd w:val="clear" w:color="auto" w:fill="auto"/>
          <w:tblCellMar>
            <w:top w:w="0" w:type="dxa"/>
            <w:left w:w="0" w:type="dxa"/>
            <w:bottom w:w="0" w:type="dxa"/>
            <w:right w:w="0"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r>
      <w:tr>
        <w:tblPrEx>
          <w:tblCellMar>
            <w:top w:w="0" w:type="dxa"/>
            <w:left w:w="0" w:type="dxa"/>
            <w:bottom w:w="0" w:type="dxa"/>
            <w:right w:w="0" w:type="dxa"/>
          </w:tblCellMar>
        </w:tblPrEx>
        <w:trPr>
          <w:trHeight w:val="58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0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内网汇聚交换机（1台）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外网汇聚交换机（1台）</w:t>
            </w:r>
          </w:p>
        </w:tc>
        <w:tc>
          <w:tcPr>
            <w:tcW w:w="5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★交换容量≥650Gbps；包转发率≥440Mpps</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★为了提高设备可靠性，支持模块化可插拔双电源；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★配置24个千兆电口，8个万兆光口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★支持业务扩展插卡数≥1，可扩展支持4个40GE QSFP+端口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遵循IEEE 802.1d标准；MAC地址容量≥32K；支持MAC地址自动学习和老化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支持静态、动态、黑洞MAC表项；支持源MAC地址过滤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★支持4K个VLAN；支持Guest VLAN、Voice VLAN；支持GVRP协议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支持MUX VLAN功能；支持基于MAC/协议/IP子网/策略/端口的VLAN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支持1:1和N:1 VLAN Mapping功能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★支持端口隔离、端口安全、Sticky MAC；支持MFF；支持黑洞MAC地址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支持MAC地址学习数目限制；支持IEEE 802.1x认证，支持单端口最大用户数限制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支持AAA认证，支持Radius、HWTACACS、NAC等多种方式；支持SSH V2.0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支持HTTPS；支持CPU保护功能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★支持作为SVF client零配置即插即用；支持自动加载client的大包和补丁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支持业务一键式自动下发；client支持独立运行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★智能iStack堆叠；支持虚拟电缆检测(Virtual Cable Test)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支持SNMPv1/v2c/v3；支持RMON；支持网管系统、支持WEB网管特性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支持系统日志、分级告警；支持802.3az能效以太网EEE；支持sFlow；支持智能运维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r>
      <w:tr>
        <w:tblPrEx>
          <w:tblCellMar>
            <w:top w:w="0" w:type="dxa"/>
            <w:left w:w="0" w:type="dxa"/>
            <w:bottom w:w="0" w:type="dxa"/>
            <w:right w:w="0" w:type="dxa"/>
          </w:tblCellMar>
        </w:tblPrEx>
        <w:trPr>
          <w:trHeight w:val="35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0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内网接入交换机（5台）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外网接入交换机（5台）</w:t>
            </w:r>
          </w:p>
        </w:tc>
        <w:tc>
          <w:tcPr>
            <w:tcW w:w="5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★交换容量≥330Gbps，包转发率≥100Mpps</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★固定24个千兆电口，4个万兆光口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支持4K个VLAN，支持Voice VLAN，基于端口的VLAN，基于MAC的VLAN，基于协议的VLAN</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支持MAC地址≥8K</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支持静态路由，支持RIP、RIPng、OSPF协议；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支持802.1x认证、AAA认证、Radius等多种方式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支持端口隔离、端口安全，DHCP Snooping，CPU保护等功能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支持堆叠，支持纵向虚拟化；</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支持G.8032以太环保护协议；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支持能效以太网标准（EEE）；</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支持SNMP v1/v2/v3、Telnet远程维护、网管系统管理、WEB网管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★资质：提供工信部入网证书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r>
      <w:tr>
        <w:tblPrEx>
          <w:tblCellMar>
            <w:top w:w="0" w:type="dxa"/>
            <w:left w:w="0" w:type="dxa"/>
            <w:bottom w:w="0" w:type="dxa"/>
            <w:right w:w="0"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万兆多模光模块1</w:t>
            </w:r>
          </w:p>
        </w:tc>
        <w:tc>
          <w:tcPr>
            <w:tcW w:w="5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光模块-SFP+-10G-多模模块(850nm,0.3km,LC)，为了保证兼容性，须与交换机同品牌；备注：需要配置1块华三万兆多模光模块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r>
      <w:tr>
        <w:tblPrEx>
          <w:tblCellMar>
            <w:top w:w="0" w:type="dxa"/>
            <w:left w:w="0" w:type="dxa"/>
            <w:bottom w:w="0" w:type="dxa"/>
            <w:right w:w="0"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弱电间光纤跳线</w:t>
            </w:r>
          </w:p>
        </w:tc>
        <w:tc>
          <w:tcPr>
            <w:tcW w:w="5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光纤跳线（LC-LC 3米 万兆双芯多模光跳线）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r>
      <w:tr>
        <w:tblPrEx>
          <w:tblCellMar>
            <w:top w:w="0" w:type="dxa"/>
            <w:left w:w="0" w:type="dxa"/>
            <w:bottom w:w="0" w:type="dxa"/>
            <w:right w:w="0"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机房光纤跳线</w:t>
            </w:r>
          </w:p>
        </w:tc>
        <w:tc>
          <w:tcPr>
            <w:tcW w:w="5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光纤跳线（LC-LC 10米 万兆双芯多模光跳线）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r>
      <w:tr>
        <w:tblPrEx>
          <w:tblCellMar>
            <w:top w:w="0" w:type="dxa"/>
            <w:left w:w="0" w:type="dxa"/>
            <w:bottom w:w="0" w:type="dxa"/>
            <w:right w:w="0"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网络跳线</w:t>
            </w:r>
          </w:p>
        </w:tc>
        <w:tc>
          <w:tcPr>
            <w:tcW w:w="5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六类网络跳线（2米）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r>
      <w:tr>
        <w:tblPrEx>
          <w:tblCellMar>
            <w:top w:w="0" w:type="dxa"/>
            <w:left w:w="0" w:type="dxa"/>
            <w:bottom w:w="0" w:type="dxa"/>
            <w:right w:w="0"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无线网卡</w:t>
            </w:r>
          </w:p>
        </w:tc>
        <w:tc>
          <w:tcPr>
            <w:tcW w:w="5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网络标准：IEEE 802.11n，IEEE 802.11g，IEEE 802.11b；传输速率：150Mbps；发射功率：20dBm；含刻字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r>
    </w:tbl>
    <w:p/>
    <w:p>
      <w:pPr>
        <w:widowControl/>
        <w:spacing w:line="400" w:lineRule="exact"/>
        <w:rPr>
          <w:rFonts w:ascii="宋体" w:hAnsi="宋体" w:cs="宋体"/>
          <w:b/>
          <w:bCs/>
          <w:kern w:val="0"/>
          <w:sz w:val="32"/>
          <w:szCs w:val="32"/>
        </w:rPr>
      </w:pPr>
    </w:p>
    <w:p>
      <w:pPr>
        <w:pStyle w:val="3"/>
        <w:jc w:val="both"/>
        <w:rPr>
          <w:rFonts w:ascii="宋体" w:hAnsi="宋体" w:cs="宋体"/>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sz w:val="32"/>
          <w:szCs w:val="32"/>
          <w:lang w:val="en-US" w:eastAsia="zh-CN"/>
        </w:rPr>
      </w:pPr>
      <w:bookmarkStart w:id="180"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七、投标人须具有安全技术防范工程设计施工资质三级或以上（复印件加盖公章）（复印件加盖公章）；</w:t>
      </w:r>
    </w:p>
    <w:p>
      <w:pPr>
        <w:pStyle w:val="28"/>
        <w:spacing w:line="360" w:lineRule="auto"/>
        <w:ind w:left="0" w:leftChars="0" w:firstLine="0" w:firstLineChars="0"/>
        <w:rPr>
          <w:rFonts w:hint="eastAsia"/>
        </w:rPr>
      </w:pPr>
      <w:r>
        <w:rPr>
          <w:rFonts w:hint="eastAsia" w:ascii="宋体" w:hAnsi="宋体" w:cs="宋体"/>
          <w:sz w:val="24"/>
          <w:szCs w:val="24"/>
          <w:lang w:val="en-US" w:eastAsia="zh-CN"/>
        </w:rPr>
        <w:t>八、</w:t>
      </w:r>
      <w:r>
        <w:rPr>
          <w:rFonts w:hint="eastAsia"/>
          <w:sz w:val="24"/>
          <w:szCs w:val="24"/>
          <w:lang w:val="en-US" w:eastAsia="zh-CN"/>
        </w:rPr>
        <w:t>投标人须具有GB/T27922-2011五星售后服务认证证书（复印件加盖公章）（复印件加盖公章）；</w:t>
      </w:r>
    </w:p>
    <w:p>
      <w:pPr>
        <w:spacing w:before="0" w:line="360" w:lineRule="auto"/>
        <w:ind w:right="141"/>
        <w:jc w:val="both"/>
        <w:rPr>
          <w:rFonts w:hint="eastAsia" w:ascii="宋体" w:hAnsi="宋体" w:cs="宋体"/>
          <w:sz w:val="24"/>
          <w:szCs w:val="24"/>
          <w:lang w:eastAsia="zh-CN"/>
        </w:rPr>
      </w:pPr>
      <w:r>
        <w:rPr>
          <w:rFonts w:hint="eastAsia" w:ascii="宋体" w:hAnsi="宋体" w:cs="宋体"/>
          <w:b w:val="0"/>
          <w:bCs w:val="0"/>
          <w:color w:val="auto"/>
          <w:spacing w:val="4"/>
          <w:sz w:val="24"/>
          <w:szCs w:val="24"/>
          <w:lang w:eastAsia="zh-CN"/>
        </w:rPr>
        <w:t>九</w:t>
      </w:r>
      <w:r>
        <w:rPr>
          <w:rFonts w:hint="eastAsia" w:ascii="宋体" w:hAnsi="宋体" w:eastAsia="宋体" w:cs="宋体"/>
          <w:b w:val="0"/>
          <w:bCs w:val="0"/>
          <w:color w:val="auto"/>
          <w:spacing w:val="4"/>
          <w:sz w:val="24"/>
          <w:szCs w:val="24"/>
          <w:lang w:eastAsia="zh-CN"/>
        </w:rPr>
        <w:t>、</w:t>
      </w:r>
      <w:r>
        <w:rPr>
          <w:rFonts w:hint="eastAsia" w:ascii="宋体" w:hAnsi="宋体" w:cs="宋体"/>
          <w:sz w:val="24"/>
          <w:szCs w:val="24"/>
        </w:rPr>
        <w:t>采购设备需与原有华为融合虚拟一体机对接，须提供融合虚拟一体机原厂授权</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十、</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十一</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0553"/>
      <w:bookmarkStart w:id="182" w:name="_Toc9747"/>
      <w:bookmarkStart w:id="183" w:name="_Toc2580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rPr>
      </w:pPr>
    </w:p>
    <w:p>
      <w:pPr>
        <w:pStyle w:val="3"/>
        <w:jc w:val="both"/>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10288"/>
      <w:bookmarkStart w:id="186" w:name="_Toc7841"/>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11058"/>
      <w:bookmarkStart w:id="188" w:name="_Toc31035"/>
      <w:bookmarkStart w:id="189" w:name="_Toc21744609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8887" w:type="dxa"/>
        <w:tblInd w:w="0" w:type="dxa"/>
        <w:shd w:val="clear" w:color="auto" w:fill="auto"/>
        <w:tblLayout w:type="autofit"/>
        <w:tblCellMar>
          <w:top w:w="0" w:type="dxa"/>
          <w:left w:w="0" w:type="dxa"/>
          <w:bottom w:w="0" w:type="dxa"/>
          <w:right w:w="0" w:type="dxa"/>
        </w:tblCellMar>
      </w:tblPr>
      <w:tblGrid>
        <w:gridCol w:w="619"/>
        <w:gridCol w:w="1051"/>
        <w:gridCol w:w="698"/>
        <w:gridCol w:w="6519"/>
      </w:tblGrid>
      <w:tr>
        <w:tblPrEx>
          <w:shd w:val="clear" w:color="auto" w:fill="auto"/>
          <w:tblCellMar>
            <w:top w:w="0" w:type="dxa"/>
            <w:left w:w="0" w:type="dxa"/>
            <w:bottom w:w="0" w:type="dxa"/>
            <w:right w:w="0" w:type="dxa"/>
          </w:tblCellMar>
        </w:tblPrEx>
        <w:trPr>
          <w:trHeight w:val="288"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评分项目</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评分标准</w:t>
            </w:r>
          </w:p>
        </w:tc>
      </w:tr>
      <w:tr>
        <w:tblPrEx>
          <w:tblCellMar>
            <w:top w:w="0" w:type="dxa"/>
            <w:left w:w="0" w:type="dxa"/>
            <w:bottom w:w="0" w:type="dxa"/>
            <w:right w:w="0" w:type="dxa"/>
          </w:tblCellMar>
        </w:tblPrEx>
        <w:trPr>
          <w:trHeight w:val="1728"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 格</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（30分）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（1）投标报价超过采购预算的，投标无效，未超过采预算的投标报价按以下公式进行计算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满足招标文件实质性要求，且投标报价最低的为评标基准价，其报价得分为满分。其他投标人的报价得分分别按照下列公式计算：投标报价得分=（评标基准价/投标报价）×30（保留小数点后两位，第三位四舍五入）。</w:t>
            </w:r>
          </w:p>
        </w:tc>
      </w:tr>
      <w:tr>
        <w:tblPrEx>
          <w:tblCellMar>
            <w:top w:w="0" w:type="dxa"/>
            <w:left w:w="0" w:type="dxa"/>
            <w:bottom w:w="0" w:type="dxa"/>
            <w:right w:w="0" w:type="dxa"/>
          </w:tblCellMar>
        </w:tblPrEx>
        <w:trPr>
          <w:trHeight w:val="854" w:hRule="atLeast"/>
        </w:trPr>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商务部分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（15分）</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投标商具有ISO 9001质量管理体系认证、ISO 14001环境管理体系认证、OHSAS 18001职业健康安全管理体系认证；提供一项得2分，（满分6分）</w:t>
            </w:r>
          </w:p>
        </w:tc>
      </w:tr>
      <w:tr>
        <w:tblPrEx>
          <w:tblCellMar>
            <w:top w:w="0" w:type="dxa"/>
            <w:left w:w="0" w:type="dxa"/>
            <w:bottom w:w="0" w:type="dxa"/>
            <w:right w:w="0" w:type="dxa"/>
          </w:tblCellMar>
        </w:tblPrEx>
        <w:trPr>
          <w:trHeight w:val="864"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投标商具有AAA级信用企业证书，AAA级重合同守信用企业证书，AAA级诚信供应商企业证书，</w:t>
            </w:r>
            <w:r>
              <w:rPr>
                <w:rFonts w:hint="eastAsia" w:ascii="宋体" w:hAnsi="宋体" w:eastAsia="宋体" w:cs="宋体"/>
                <w:i w:val="0"/>
                <w:color w:val="000000"/>
                <w:kern w:val="0"/>
                <w:sz w:val="22"/>
                <w:szCs w:val="22"/>
                <w:u w:val="none"/>
                <w:lang w:val="en-US" w:eastAsia="zh-CN" w:bidi="ar"/>
              </w:rPr>
              <w:t>提供一项得2分，（满分6分）</w:t>
            </w:r>
          </w:p>
        </w:tc>
      </w:tr>
      <w:tr>
        <w:tblPrEx>
          <w:tblCellMar>
            <w:top w:w="0" w:type="dxa"/>
            <w:left w:w="0" w:type="dxa"/>
            <w:bottom w:w="0" w:type="dxa"/>
            <w:right w:w="0" w:type="dxa"/>
          </w:tblCellMar>
        </w:tblPrEx>
        <w:trPr>
          <w:trHeight w:val="576"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为保证交换机设备的性能和可靠性，提供原厂授权书及三年售后服务承诺函得5分，不提供者不得分；（满分5分）</w:t>
            </w:r>
          </w:p>
        </w:tc>
      </w:tr>
      <w:tr>
        <w:tblPrEx>
          <w:tblCellMar>
            <w:top w:w="0" w:type="dxa"/>
            <w:left w:w="0" w:type="dxa"/>
            <w:bottom w:w="0" w:type="dxa"/>
            <w:right w:w="0" w:type="dxa"/>
          </w:tblCellMar>
        </w:tblPrEx>
        <w:trPr>
          <w:trHeight w:val="1152" w:hRule="atLeast"/>
        </w:trPr>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技术部分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（45分）</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投标产品技术参数和配置完全满足或高于招标文件要求的，得25分；“技术参数”中用“★”符号标注的为关键参数，关键参数每有一项负偏离扣3分，非关键参数每有一项负偏离扣1分，扣完该项得分为止。</w:t>
            </w:r>
          </w:p>
        </w:tc>
      </w:tr>
      <w:tr>
        <w:tblPrEx>
          <w:tblCellMar>
            <w:top w:w="0" w:type="dxa"/>
            <w:left w:w="0" w:type="dxa"/>
            <w:bottom w:w="0" w:type="dxa"/>
            <w:right w:w="0" w:type="dxa"/>
          </w:tblCellMar>
        </w:tblPrEx>
        <w:trPr>
          <w:trHeight w:val="864"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提供交换机生产厂商《信息安全应急处理服务资质》（一级）复印件并加盖厂商鲜章得3分，没有不得分。（满分3分）</w:t>
            </w:r>
          </w:p>
        </w:tc>
      </w:tr>
      <w:tr>
        <w:tblPrEx>
          <w:tblCellMar>
            <w:top w:w="0" w:type="dxa"/>
            <w:left w:w="0" w:type="dxa"/>
            <w:bottom w:w="0" w:type="dxa"/>
            <w:right w:w="0" w:type="dxa"/>
          </w:tblCellMar>
        </w:tblPrEx>
        <w:trPr>
          <w:trHeight w:val="864"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提供交换机生产厂商《信息系统安全集成服务资质》（一级）复印件并加盖厂商鲜章得3分，没有不得分。（满分3分）</w:t>
            </w:r>
          </w:p>
        </w:tc>
      </w:tr>
      <w:tr>
        <w:tblPrEx>
          <w:tblCellMar>
            <w:top w:w="0" w:type="dxa"/>
            <w:left w:w="0" w:type="dxa"/>
            <w:bottom w:w="0" w:type="dxa"/>
            <w:right w:w="0" w:type="dxa"/>
          </w:tblCellMar>
        </w:tblPrEx>
        <w:trPr>
          <w:trHeight w:val="576"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提供交换机生产厂商TL9000 管理体系认证证书复印件并加盖厂商鲜章得3分，没有不得分。（满分3分）</w:t>
            </w:r>
          </w:p>
        </w:tc>
      </w:tr>
      <w:tr>
        <w:tblPrEx>
          <w:tblCellMar>
            <w:top w:w="0" w:type="dxa"/>
            <w:left w:w="0" w:type="dxa"/>
            <w:bottom w:w="0" w:type="dxa"/>
            <w:right w:w="0" w:type="dxa"/>
          </w:tblCellMar>
        </w:tblPrEx>
        <w:trPr>
          <w:trHeight w:val="1152"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根据投标商针对本项目的理解，提供详细的实施方案，包含项目组织架构、进度安排、人员安排、项目验收等环节，思路明确及评价较优着得6-8分，良好得2-5分，一般得1-2分，差着不得分。（满分8分）</w:t>
            </w:r>
          </w:p>
        </w:tc>
      </w:tr>
      <w:tr>
        <w:tblPrEx>
          <w:tblCellMar>
            <w:top w:w="0" w:type="dxa"/>
            <w:left w:w="0" w:type="dxa"/>
            <w:bottom w:w="0" w:type="dxa"/>
            <w:right w:w="0" w:type="dxa"/>
          </w:tblCellMar>
        </w:tblPrEx>
        <w:trPr>
          <w:trHeight w:val="1152" w:hRule="atLeast"/>
        </w:trPr>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售后部分（10分）</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标商能提供本地化服务证明（提供证明材料），具备完善的售后服务体系，满足招标文件要求且根据投标售后服务计划的可靠性、可行性及响应时间等因素，横向比较后分档给分，优得3-4分，良得1-2分，一般或较差不得分。（满分4分）</w:t>
            </w:r>
          </w:p>
        </w:tc>
      </w:tr>
      <w:tr>
        <w:tblPrEx>
          <w:tblCellMar>
            <w:top w:w="0" w:type="dxa"/>
            <w:left w:w="0" w:type="dxa"/>
            <w:bottom w:w="0" w:type="dxa"/>
            <w:right w:w="0" w:type="dxa"/>
          </w:tblCellMar>
        </w:tblPrEx>
        <w:trPr>
          <w:trHeight w:val="864"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具有详细的系统应用培训方案，包括培训计划、培训内容、培训方式等有详细的说明及承诺。横向比较后分档给分，优得3-4分，良得1-2分，一般或较差不得分。（满分4分）</w:t>
            </w:r>
          </w:p>
        </w:tc>
      </w:tr>
      <w:tr>
        <w:tblPrEx>
          <w:tblCellMar>
            <w:top w:w="0" w:type="dxa"/>
            <w:left w:w="0" w:type="dxa"/>
            <w:bottom w:w="0" w:type="dxa"/>
            <w:right w:w="0" w:type="dxa"/>
          </w:tblCellMar>
        </w:tblPrEx>
        <w:trPr>
          <w:trHeight w:val="400"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2分</w:t>
            </w:r>
          </w:p>
        </w:tc>
        <w:tc>
          <w:tcPr>
            <w:tcW w:w="65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投标商具有提供7×24 小时电话支持服务能力得2分，不提供者不得分。（满分2分）</w:t>
            </w:r>
          </w:p>
        </w:tc>
      </w:tr>
    </w:tbl>
    <w:p>
      <w:pPr>
        <w:spacing w:line="360" w:lineRule="auto"/>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217446105"/>
      <w:bookmarkStart w:id="191" w:name="_Toc183582297"/>
      <w:bookmarkStart w:id="192" w:name="_Toc183682432"/>
      <w:bookmarkStart w:id="193" w:name="_Toc20884902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2937"/>
      <w:bookmarkStart w:id="199" w:name="_Toc23996"/>
      <w:bookmarkStart w:id="200" w:name="_Toc1180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13676"/>
      <w:bookmarkStart w:id="204" w:name="_Toc22178"/>
      <w:bookmarkStart w:id="205" w:name="_Toc23429"/>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16816"/>
      <w:bookmarkStart w:id="209" w:name="_Toc10904"/>
      <w:bookmarkStart w:id="210" w:name="_Toc314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5783"/>
      <w:bookmarkStart w:id="213" w:name="_Toc10366"/>
      <w:bookmarkStart w:id="214" w:name="_Toc19965"/>
      <w:bookmarkStart w:id="215" w:name="_Toc3177"/>
      <w:bookmarkStart w:id="216" w:name="_Toc19360"/>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22060"/>
      <w:bookmarkStart w:id="218" w:name="_Toc12383"/>
      <w:bookmarkStart w:id="219" w:name="_Toc19163"/>
      <w:bookmarkStart w:id="220" w:name="_Toc6475"/>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16103"/>
      <w:bookmarkStart w:id="223"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8565"/>
      <w:bookmarkStart w:id="225"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348"/>
      <w:bookmarkStart w:id="227" w:name="_Toc17704"/>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0" w:name="_Toc12836"/>
      <w:bookmarkStart w:id="231" w:name="_Toc26303"/>
      <w:bookmarkStart w:id="232" w:name="_Toc16887"/>
      <w:bookmarkStart w:id="233" w:name="_Toc3392"/>
      <w:bookmarkStart w:id="234" w:name="_Toc10205"/>
      <w:bookmarkStart w:id="235" w:name="_Toc26432"/>
      <w:bookmarkStart w:id="236" w:name="_Toc4270"/>
      <w:bookmarkStart w:id="237" w:name="_Toc8733"/>
      <w:bookmarkStart w:id="238" w:name="_Toc27827"/>
      <w:bookmarkStart w:id="239" w:name="_Toc6233"/>
      <w:bookmarkStart w:id="240" w:name="_Toc7146"/>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13401"/>
      <w:bookmarkStart w:id="243" w:name="_Toc258923307"/>
      <w:bookmarkStart w:id="244" w:name="_Toc24708"/>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13727"/>
      <w:bookmarkStart w:id="250"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5303"/>
      <w:bookmarkStart w:id="253"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20408"/>
      <w:bookmarkStart w:id="264" w:name="_Toc15673"/>
      <w:bookmarkStart w:id="265" w:name="_Toc15095"/>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19846"/>
      <w:bookmarkStart w:id="268" w:name="_Toc9385"/>
      <w:bookmarkStart w:id="269" w:name="_Toc408"/>
      <w:bookmarkStart w:id="270" w:name="_Toc7530"/>
      <w:bookmarkStart w:id="271"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sz w:val="32"/>
          <w:szCs w:val="32"/>
          <w:lang w:val="en-US" w:eastAsia="zh-CN"/>
        </w:rPr>
        <w:t>(供参考）</w:t>
      </w:r>
    </w:p>
    <w:p>
      <w:pPr>
        <w:pStyle w:val="2"/>
        <w:rPr>
          <w:rFonts w:hint="eastAsia" w:ascii="宋体" w:hAnsi="宋体" w:cs="宋体"/>
          <w:b/>
          <w:bCs/>
          <w:sz w:val="48"/>
          <w:szCs w:val="48"/>
        </w:rPr>
      </w:pPr>
    </w:p>
    <w:p>
      <w:pPr>
        <w:jc w:val="center"/>
        <w:rPr>
          <w:rFonts w:ascii="宋体" w:hAnsi="宋体" w:cs="宋体"/>
          <w:b/>
          <w:bCs/>
          <w:sz w:val="48"/>
          <w:szCs w:val="48"/>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项目名称：甘肃省第二人民医院</w:t>
      </w:r>
      <w:r>
        <w:rPr>
          <w:rFonts w:hint="eastAsia" w:ascii="宋体" w:hAnsi="宋体" w:cs="宋体"/>
          <w:b/>
          <w:sz w:val="32"/>
          <w:szCs w:val="32"/>
          <w:u w:val="single"/>
        </w:rPr>
        <w:t xml:space="preserve">      </w:t>
      </w:r>
      <w:r>
        <w:rPr>
          <w:rFonts w:hint="eastAsia" w:ascii="宋体" w:hAnsi="宋体" w:cs="宋体"/>
          <w:b/>
          <w:sz w:val="32"/>
          <w:szCs w:val="32"/>
        </w:rPr>
        <w:t>采购项目</w:t>
      </w:r>
    </w:p>
    <w:p>
      <w:pPr>
        <w:spacing w:line="360" w:lineRule="auto"/>
        <w:ind w:firstLine="643" w:firstLineChars="200"/>
        <w:jc w:val="left"/>
        <w:rPr>
          <w:rFonts w:ascii="宋体" w:hAnsi="宋体" w:cs="宋体"/>
          <w:b/>
          <w:bCs/>
          <w:sz w:val="32"/>
          <w:szCs w:val="32"/>
          <w:u w:val="single"/>
        </w:rPr>
      </w:pPr>
      <w:r>
        <w:rPr>
          <w:rFonts w:hint="eastAsia" w:ascii="宋体" w:hAnsi="宋体" w:cs="宋体"/>
          <w:b/>
          <w:sz w:val="32"/>
          <w:szCs w:val="32"/>
        </w:rPr>
        <w:t>招标编号</w:t>
      </w:r>
      <w:r>
        <w:rPr>
          <w:rFonts w:hint="eastAsia" w:ascii="宋体" w:hAnsi="宋体" w:cs="宋体"/>
          <w:sz w:val="32"/>
          <w:szCs w:val="32"/>
        </w:rPr>
        <w:t>：</w:t>
      </w: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pStyle w:val="2"/>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甲方：甘肃省第二人民医院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4"/>
        <w:rPr>
          <w:rFonts w:ascii="宋体" w:hAnsi="宋体" w:cs="宋体"/>
          <w:sz w:val="24"/>
          <w:szCs w:val="24"/>
        </w:rPr>
      </w:pPr>
      <w:r>
        <w:rPr>
          <w:rFonts w:hint="eastAsia" w:ascii="宋体" w:hAnsi="宋体" w:cs="宋体"/>
          <w:sz w:val="24"/>
          <w:szCs w:val="24"/>
        </w:rPr>
        <w:br w:type="page"/>
      </w:r>
    </w:p>
    <w:p>
      <w:pPr>
        <w:spacing w:line="360" w:lineRule="auto"/>
        <w:ind w:firstLine="482" w:firstLineChars="200"/>
        <w:jc w:val="left"/>
        <w:rPr>
          <w:rFonts w:ascii="宋体" w:hAnsi="宋体" w:cs="宋体"/>
          <w:b/>
          <w:color w:val="auto"/>
          <w:sz w:val="24"/>
          <w:u w:val="single"/>
        </w:rPr>
      </w:pPr>
      <w:r>
        <w:rPr>
          <w:rFonts w:hint="eastAsia" w:ascii="宋体" w:hAnsi="宋体" w:cs="宋体"/>
          <w:b/>
          <w:sz w:val="24"/>
        </w:rPr>
        <w:t>甲方：甘</w:t>
      </w:r>
      <w:r>
        <w:rPr>
          <w:rFonts w:hint="eastAsia" w:ascii="宋体" w:hAnsi="宋体" w:cs="宋体"/>
          <w:b/>
          <w:color w:val="auto"/>
          <w:sz w:val="24"/>
        </w:rPr>
        <w:t>肃省第二人民医院</w:t>
      </w:r>
    </w:p>
    <w:p>
      <w:pPr>
        <w:spacing w:line="360" w:lineRule="auto"/>
        <w:ind w:firstLine="482" w:firstLineChars="200"/>
        <w:jc w:val="left"/>
        <w:rPr>
          <w:rFonts w:ascii="宋体" w:hAnsi="宋体" w:cs="宋体"/>
          <w:b/>
          <w:color w:val="auto"/>
          <w:sz w:val="24"/>
          <w:u w:val="single"/>
        </w:rPr>
      </w:pPr>
      <w:r>
        <w:rPr>
          <w:rFonts w:hint="eastAsia" w:ascii="宋体" w:hAnsi="宋体" w:cs="宋体"/>
          <w:b/>
          <w:color w:val="auto"/>
          <w:sz w:val="24"/>
        </w:rPr>
        <w:t>乙方：</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（以下简称甲方和乙方）</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一、项目名称</w:t>
      </w:r>
    </w:p>
    <w:p>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项目名称：甘肃省第二人民医院</w:t>
      </w:r>
      <w:r>
        <w:rPr>
          <w:rFonts w:hint="eastAsia" w:ascii="宋体" w:hAnsi="宋体" w:cs="宋体"/>
          <w:color w:val="auto"/>
          <w:sz w:val="24"/>
          <w:u w:val="single"/>
        </w:rPr>
        <w:t xml:space="preserve">     </w:t>
      </w:r>
      <w:r>
        <w:rPr>
          <w:rFonts w:hint="eastAsia" w:ascii="宋体" w:hAnsi="宋体" w:cs="宋体"/>
          <w:color w:val="auto"/>
          <w:sz w:val="24"/>
        </w:rPr>
        <w:t>采购项目</w:t>
      </w:r>
    </w:p>
    <w:p>
      <w:pPr>
        <w:numPr>
          <w:ilvl w:val="0"/>
          <w:numId w:val="7"/>
        </w:numPr>
        <w:spacing w:line="360" w:lineRule="auto"/>
        <w:ind w:firstLine="480" w:firstLineChars="200"/>
        <w:jc w:val="left"/>
        <w:rPr>
          <w:rFonts w:ascii="宋体" w:hAnsi="宋体" w:cs="宋体"/>
          <w:color w:val="auto"/>
          <w:sz w:val="24"/>
        </w:rPr>
      </w:pPr>
      <w:r>
        <w:rPr>
          <w:rFonts w:hint="eastAsia" w:ascii="宋体" w:hAnsi="宋体" w:cs="宋体"/>
          <w:color w:val="auto"/>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合计含税价(元)</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color w:val="auto"/>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color w:val="auto"/>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color w:val="auto"/>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color w:val="auto"/>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r>
      <w:tr>
        <w:tblPrEx>
          <w:tblCellMar>
            <w:top w:w="0" w:type="dxa"/>
            <w:left w:w="30" w:type="dxa"/>
            <w:bottom w:w="0" w:type="dxa"/>
            <w:right w:w="30" w:type="dxa"/>
          </w:tblCellMar>
        </w:tblPrEx>
        <w:trPr>
          <w:trHeight w:val="292" w:hRule="atLeast"/>
          <w:jc w:val="center"/>
        </w:trPr>
        <w:tc>
          <w:tcPr>
            <w:tcW w:w="1892"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auto"/>
                <w:sz w:val="24"/>
              </w:rPr>
            </w:pPr>
            <w:r>
              <w:rPr>
                <w:rFonts w:hint="eastAsia" w:ascii="宋体" w:hAnsi="宋体" w:cs="宋体"/>
                <w:color w:val="auto"/>
                <w:sz w:val="24"/>
              </w:rPr>
              <w:t>合计（含税价）</w:t>
            </w:r>
          </w:p>
        </w:tc>
        <w:tc>
          <w:tcPr>
            <w:tcW w:w="7523" w:type="dxa"/>
            <w:gridSpan w:val="7"/>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r>
    </w:tbl>
    <w:p>
      <w:pPr>
        <w:numPr>
          <w:ilvl w:val="0"/>
          <w:numId w:val="7"/>
        </w:numPr>
        <w:spacing w:line="360" w:lineRule="auto"/>
        <w:ind w:firstLine="480" w:firstLineChars="200"/>
        <w:jc w:val="left"/>
        <w:rPr>
          <w:rFonts w:ascii="宋体" w:hAnsi="宋体" w:cs="宋体"/>
          <w:color w:val="auto"/>
          <w:sz w:val="24"/>
        </w:rPr>
      </w:pPr>
      <w:r>
        <w:rPr>
          <w:rFonts w:hint="eastAsia" w:ascii="宋体" w:hAnsi="宋体" w:cs="宋体"/>
          <w:color w:val="auto"/>
          <w:sz w:val="24"/>
        </w:rPr>
        <w:t>合同金额</w:t>
      </w:r>
    </w:p>
    <w:p>
      <w:pPr>
        <w:pStyle w:val="28"/>
        <w:spacing w:line="360" w:lineRule="auto"/>
        <w:ind w:left="0" w:leftChars="0" w:firstLine="480" w:firstLineChars="200"/>
        <w:rPr>
          <w:rFonts w:ascii="宋体" w:hAnsi="宋体" w:cs="宋体"/>
          <w:color w:val="auto"/>
          <w:sz w:val="24"/>
          <w:u w:val="single"/>
        </w:rPr>
      </w:pPr>
      <w:r>
        <w:rPr>
          <w:rFonts w:hint="eastAsia" w:ascii="宋体" w:hAnsi="宋体" w:cs="宋体"/>
          <w:color w:val="auto"/>
          <w:sz w:val="24"/>
        </w:rPr>
        <w:t>1.合同金额：大写：</w:t>
      </w:r>
      <w:r>
        <w:rPr>
          <w:rFonts w:hint="eastAsia" w:ascii="宋体" w:hAnsi="宋体" w:cs="宋体"/>
          <w:color w:val="auto"/>
          <w:sz w:val="24"/>
          <w:u w:val="single"/>
        </w:rPr>
        <w:t xml:space="preserve">     </w:t>
      </w:r>
      <w:r>
        <w:rPr>
          <w:rFonts w:hint="eastAsia" w:ascii="宋体" w:hAnsi="宋体" w:cs="宋体"/>
          <w:color w:val="auto"/>
          <w:sz w:val="24"/>
        </w:rPr>
        <w:t>小写：</w:t>
      </w:r>
      <w:r>
        <w:rPr>
          <w:rFonts w:hint="eastAsia" w:ascii="宋体" w:hAnsi="宋体" w:cs="宋体"/>
          <w:color w:val="auto"/>
          <w:sz w:val="24"/>
          <w:u w:val="single"/>
        </w:rPr>
        <w:t xml:space="preserve">     </w:t>
      </w:r>
    </w:p>
    <w:p>
      <w:pPr>
        <w:spacing w:line="360" w:lineRule="auto"/>
        <w:ind w:firstLine="465"/>
        <w:jc w:val="left"/>
        <w:rPr>
          <w:rFonts w:ascii="宋体" w:hAnsi="宋体" w:cs="宋体"/>
          <w:color w:val="auto"/>
          <w:sz w:val="24"/>
        </w:rPr>
      </w:pPr>
      <w:r>
        <w:rPr>
          <w:rFonts w:hint="eastAsia" w:ascii="宋体" w:hAnsi="宋体" w:cs="宋体"/>
          <w:color w:val="auto"/>
          <w:sz w:val="24"/>
        </w:rPr>
        <w:t>2.合同总额以合同有效期内发生的实际交易金额为准，合同有效期为签订合同之日起</w:t>
      </w:r>
      <w:r>
        <w:rPr>
          <w:rFonts w:hint="eastAsia" w:ascii="宋体" w:hAnsi="宋体" w:cs="宋体"/>
          <w:color w:val="auto"/>
          <w:sz w:val="24"/>
          <w:lang w:eastAsia="zh-CN"/>
        </w:rPr>
        <w:t>三</w:t>
      </w:r>
      <w:r>
        <w:rPr>
          <w:rFonts w:hint="eastAsia" w:ascii="宋体" w:hAnsi="宋体" w:cs="宋体"/>
          <w:color w:val="auto"/>
          <w:sz w:val="24"/>
        </w:rPr>
        <w:t>年内。</w:t>
      </w:r>
    </w:p>
    <w:p>
      <w:pPr>
        <w:spacing w:line="360" w:lineRule="auto"/>
        <w:ind w:firstLine="465"/>
        <w:jc w:val="left"/>
        <w:rPr>
          <w:rFonts w:ascii="宋体" w:hAnsi="宋体" w:cs="宋体"/>
          <w:color w:val="auto"/>
          <w:sz w:val="24"/>
        </w:rPr>
      </w:pPr>
      <w:r>
        <w:rPr>
          <w:rFonts w:hint="eastAsia" w:ascii="宋体" w:hAnsi="宋体" w:cs="宋体"/>
          <w:color w:val="auto"/>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4.合同签订的货物单价为固定不变价，天数为日历日。</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四、货物产地及验收标准</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1.乙方按照合同规定将货物送达甲方指定地点后，由供需双方现场核查。</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5.国内制造的产品必须具备出厂合格证。</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rPr>
          <w:color w:val="auto"/>
        </w:rPr>
      </w:pPr>
      <w:r>
        <w:rPr>
          <w:rFonts w:hint="eastAsia" w:ascii="宋体" w:hAnsi="宋体" w:cs="宋体"/>
          <w:color w:val="auto"/>
          <w:sz w:val="24"/>
        </w:rPr>
        <w:t>8.完成交货及验收后，乙方须全权处理包装垃圾。</w:t>
      </w:r>
    </w:p>
    <w:p>
      <w:pPr>
        <w:spacing w:line="360" w:lineRule="auto"/>
        <w:ind w:firstLine="480" w:firstLineChars="200"/>
        <w:rPr>
          <w:rFonts w:ascii="宋体" w:hAnsi="宋体" w:cs="宋体"/>
          <w:color w:val="auto"/>
          <w:sz w:val="24"/>
        </w:rPr>
      </w:pPr>
      <w:r>
        <w:rPr>
          <w:rFonts w:hint="eastAsia" w:ascii="宋体" w:hAnsi="宋体" w:cs="宋体"/>
          <w:color w:val="auto"/>
          <w:sz w:val="24"/>
        </w:rPr>
        <w:t>五、付款方式：</w:t>
      </w:r>
    </w:p>
    <w:p>
      <w:pPr>
        <w:spacing w:line="360" w:lineRule="auto"/>
        <w:ind w:firstLine="480" w:firstLineChars="200"/>
        <w:rPr>
          <w:rFonts w:ascii="宋体" w:hAnsi="宋体" w:cs="宋体"/>
          <w:color w:val="auto"/>
          <w:sz w:val="24"/>
        </w:rPr>
      </w:pPr>
      <w:r>
        <w:rPr>
          <w:rFonts w:hint="eastAsia" w:ascii="宋体" w:hAnsi="宋体" w:cs="宋体"/>
          <w:color w:val="auto"/>
          <w:sz w:val="24"/>
        </w:rPr>
        <w:t>1）货物到达交货地点，卖方安装、调试、试运行、培训，经买方（使用单位）验收合格后，凭验收合格证明及按合同总价开具的发票（完税价），由买方支付合同总价款的</w:t>
      </w:r>
      <w:r>
        <w:rPr>
          <w:rFonts w:ascii="宋体" w:hAnsi="宋体" w:cs="宋体"/>
          <w:color w:val="auto"/>
          <w:sz w:val="24"/>
          <w:u w:val="single"/>
        </w:rPr>
        <w:t xml:space="preserve">   </w:t>
      </w:r>
      <w:r>
        <w:rPr>
          <w:rFonts w:hint="eastAsia" w:ascii="宋体" w:hAnsi="宋体" w:cs="宋体"/>
          <w:color w:val="auto"/>
          <w:sz w:val="24"/>
        </w:rPr>
        <w:t>％，剩余的</w:t>
      </w:r>
      <w:r>
        <w:rPr>
          <w:rFonts w:ascii="宋体" w:hAnsi="宋体" w:cs="宋体"/>
          <w:color w:val="auto"/>
          <w:sz w:val="24"/>
          <w:u w:val="single"/>
        </w:rPr>
        <w:t xml:space="preserve">  </w:t>
      </w:r>
      <w:r>
        <w:rPr>
          <w:rFonts w:hint="eastAsia" w:ascii="宋体" w:hAnsi="宋体" w:cs="宋体"/>
          <w:color w:val="auto"/>
          <w:sz w:val="24"/>
        </w:rPr>
        <w:t>%作为质量保证金待设备正常运行</w:t>
      </w:r>
      <w:r>
        <w:rPr>
          <w:rFonts w:hint="eastAsia" w:ascii="宋体" w:hAnsi="宋体" w:cs="宋体"/>
          <w:color w:val="auto"/>
          <w:sz w:val="24"/>
          <w:lang w:eastAsia="zh-CN"/>
        </w:rPr>
        <w:t>三</w:t>
      </w:r>
      <w:r>
        <w:rPr>
          <w:rFonts w:hint="eastAsia" w:ascii="宋体" w:hAnsi="宋体" w:cs="宋体"/>
          <w:color w:val="auto"/>
          <w:sz w:val="24"/>
        </w:rPr>
        <w:t>年（</w:t>
      </w:r>
      <w:r>
        <w:rPr>
          <w:rFonts w:hint="eastAsia" w:ascii="宋体" w:hAnsi="宋体" w:cs="宋体"/>
          <w:color w:val="auto"/>
          <w:sz w:val="24"/>
          <w:lang w:val="en-US" w:eastAsia="zh-CN"/>
        </w:rPr>
        <w:t>36</w:t>
      </w:r>
      <w:r>
        <w:rPr>
          <w:rFonts w:hint="eastAsia" w:ascii="宋体" w:hAnsi="宋体" w:cs="宋体"/>
          <w:color w:val="auto"/>
          <w:sz w:val="24"/>
        </w:rPr>
        <w:t>个月）无任何质量问题后，买方支付剩余的合同货款。</w:t>
      </w:r>
    </w:p>
    <w:p>
      <w:pPr>
        <w:spacing w:line="360" w:lineRule="auto"/>
        <w:ind w:firstLine="480"/>
        <w:jc w:val="left"/>
        <w:rPr>
          <w:rFonts w:ascii="宋体" w:hAnsi="宋体" w:cs="宋体"/>
          <w:bCs/>
          <w:color w:val="auto"/>
          <w:sz w:val="24"/>
        </w:rPr>
      </w:pPr>
      <w:r>
        <w:rPr>
          <w:rFonts w:hint="eastAsia" w:ascii="宋体" w:hAnsi="宋体" w:cs="宋体"/>
          <w:bCs/>
          <w:color w:val="auto"/>
          <w:sz w:val="24"/>
        </w:rPr>
        <w:t>六、质保期及售后服务要求</w:t>
      </w:r>
    </w:p>
    <w:p>
      <w:pPr>
        <w:spacing w:line="360" w:lineRule="auto"/>
        <w:ind w:firstLine="480"/>
        <w:jc w:val="left"/>
        <w:rPr>
          <w:rFonts w:ascii="宋体" w:hAnsi="宋体" w:cs="宋体"/>
          <w:color w:val="auto"/>
          <w:sz w:val="24"/>
        </w:rPr>
      </w:pPr>
      <w:r>
        <w:rPr>
          <w:rFonts w:hint="eastAsia" w:ascii="宋体" w:hAnsi="宋体" w:cs="宋体"/>
          <w:color w:val="auto"/>
          <w:sz w:val="24"/>
        </w:rPr>
        <w:t>（1）本合同整体设备的质量保证期为自甲方验收合格之日起</w:t>
      </w:r>
      <w:r>
        <w:rPr>
          <w:rFonts w:hint="eastAsia" w:ascii="宋体" w:hAnsi="宋体" w:cs="宋体"/>
          <w:color w:val="auto"/>
          <w:sz w:val="24"/>
          <w:lang w:eastAsia="zh-CN"/>
        </w:rPr>
        <w:t>三</w:t>
      </w:r>
      <w:r>
        <w:rPr>
          <w:rFonts w:hint="eastAsia" w:ascii="宋体" w:hAnsi="宋体" w:cs="宋体"/>
          <w:color w:val="auto"/>
          <w:sz w:val="24"/>
        </w:rPr>
        <w:t>年（</w:t>
      </w:r>
      <w:r>
        <w:rPr>
          <w:rFonts w:hint="eastAsia" w:ascii="宋体" w:hAnsi="宋体" w:cs="宋体"/>
          <w:color w:val="auto"/>
          <w:sz w:val="24"/>
          <w:lang w:val="en-US" w:eastAsia="zh-CN"/>
        </w:rPr>
        <w:t>36</w:t>
      </w:r>
      <w:r>
        <w:rPr>
          <w:rFonts w:hint="eastAsia" w:ascii="宋体" w:hAnsi="宋体" w:cs="宋体"/>
          <w:color w:val="auto"/>
          <w:sz w:val="24"/>
        </w:rPr>
        <w:t>个月），按厂家承诺执行，质保期内乙方对所供货物实行包修、包换、包退，不收取任何费用。</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（3）在质保期内有任何质量问题，乙方在接报后必须无条件予以退换。</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（4）维修更换之零部件的质保期自维修验收之日起1年。</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（6）设备安装现场乙方须对使用人员进行培训，培训人数不限。生产厂家应用实验室提供免费培训，培训人数不少于</w:t>
      </w:r>
      <w:r>
        <w:rPr>
          <w:rStyle w:val="47"/>
          <w:color w:val="auto"/>
        </w:rPr>
        <w:t>2</w:t>
      </w:r>
      <w:r>
        <w:rPr>
          <w:rFonts w:hint="eastAsia" w:ascii="宋体" w:hAnsi="宋体" w:cs="宋体"/>
          <w:color w:val="auto"/>
          <w:sz w:val="24"/>
        </w:rPr>
        <w:t>人。</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七、交货时间、交货地点和验收单位：</w:t>
      </w:r>
    </w:p>
    <w:p>
      <w:pPr>
        <w:spacing w:line="360" w:lineRule="auto"/>
        <w:ind w:firstLine="480"/>
        <w:rPr>
          <w:rFonts w:ascii="宋体" w:hAnsi="宋体" w:cs="宋体"/>
          <w:color w:val="auto"/>
          <w:sz w:val="24"/>
        </w:rPr>
      </w:pPr>
      <w:r>
        <w:rPr>
          <w:rFonts w:hint="eastAsia" w:ascii="宋体" w:hAnsi="宋体" w:cs="宋体"/>
          <w:color w:val="auto"/>
          <w:sz w:val="24"/>
        </w:rPr>
        <w:t>1.交付时间：合同签订之日起30天内。</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2.交货地点：</w:t>
      </w:r>
      <w:r>
        <w:rPr>
          <w:rFonts w:hint="eastAsia" w:ascii="宋体" w:hAnsi="宋体" w:cs="宋体"/>
          <w:color w:val="auto"/>
          <w:sz w:val="24"/>
          <w:u w:val="single"/>
        </w:rPr>
        <w:t xml:space="preserve">               </w:t>
      </w:r>
      <w:r>
        <w:rPr>
          <w:rFonts w:hint="eastAsia" w:ascii="宋体" w:hAnsi="宋体" w:cs="宋体"/>
          <w:color w:val="auto"/>
          <w:sz w:val="24"/>
        </w:rPr>
        <w:t>。</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3.验收单位：甘肃省第二人民医院</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八、经济责任：</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（一）乙方责任</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（1）乙方不履行合同或交付的货物全部或部分不符合合同要求的，甲方有权拒收不符合质量要求的全部或部分货物，乙方须向甲方支付拒收货物价款总额</w:t>
      </w:r>
      <w:r>
        <w:rPr>
          <w:rFonts w:ascii="宋体" w:hAnsi="宋体" w:cs="宋体"/>
          <w:color w:val="auto"/>
          <w:sz w:val="24"/>
        </w:rPr>
        <w:t>3</w:t>
      </w:r>
      <w:r>
        <w:rPr>
          <w:rFonts w:hint="eastAsia" w:ascii="宋体" w:hAnsi="宋体" w:cs="宋体"/>
          <w:color w:val="auto"/>
          <w:sz w:val="24"/>
        </w:rPr>
        <w:t>0%的违约金。</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（2）货物质量不符合合同规定时，甲方同意利用的按质论价，不能利用的，乙方负责包退包换。由于上述原因导致延误交货时间的，每延误一日，乙应方应按逾期交货部分货物价款总值的</w:t>
      </w:r>
      <w:r>
        <w:rPr>
          <w:rFonts w:hint="eastAsia" w:ascii="宋体" w:hAnsi="宋体" w:cs="宋体"/>
          <w:color w:val="auto"/>
          <w:sz w:val="24"/>
          <w:lang w:val="en-US" w:eastAsia="zh-CN"/>
        </w:rPr>
        <w:t>0.</w:t>
      </w:r>
      <w:r>
        <w:rPr>
          <w:rFonts w:hint="eastAsia" w:ascii="宋体" w:hAnsi="宋体" w:cs="宋体"/>
          <w:color w:val="auto"/>
          <w:sz w:val="24"/>
        </w:rPr>
        <w:t>5‰向甲方偿付违约金。</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（3）乙方每次按照甲方的订货通知单发货，在接到通知单后7日内交货，每逾期一日，中标人必须向甲方支付逾期交货部分货物总额</w:t>
      </w:r>
      <w:r>
        <w:rPr>
          <w:rFonts w:hint="eastAsia" w:ascii="宋体" w:hAnsi="宋体" w:cs="宋体"/>
          <w:color w:val="auto"/>
          <w:sz w:val="24"/>
          <w:lang w:val="en-US" w:eastAsia="zh-CN"/>
        </w:rPr>
        <w:t>0.</w:t>
      </w:r>
      <w:r>
        <w:rPr>
          <w:rFonts w:hint="eastAsia" w:ascii="宋体" w:hAnsi="宋体" w:cs="宋体"/>
          <w:color w:val="auto"/>
          <w:sz w:val="24"/>
        </w:rPr>
        <w:t>5‰的违约金。逾期交货超过30日，采购方有权解除合同，且履约保证金不予退还。</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（二）甲方责任</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甲方无正当理由，中途退货或拒绝收货，应向乙方支付退货部分货款总额10%的违约金，并承担因此造成的经济损失及运输费用。</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九、合同解释：</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十、合同执行过程中发生的一切争议，双方应通过友好协商解决，如协商不能解决，双方均可向甲方所在地人民法院诉讼解决。</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十一、其它未尽事宜由甲乙双方协商约定。</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十二、本合同一式肆份，甲方、乙方各执二份。</w:t>
      </w: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
      <w:pPr>
        <w:rPr>
          <w:rFonts w:ascii="宋体" w:hAnsi="宋体" w:cs="宋体"/>
          <w:sz w:val="24"/>
        </w:rPr>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8"/>
          <w:szCs w:val="36"/>
        </w:rPr>
      </w:pPr>
    </w:p>
    <w:p>
      <w:pPr>
        <w:rPr>
          <w:rFonts w:ascii="宋体" w:hAnsi="宋体" w:cs="宋体"/>
          <w:sz w:val="28"/>
          <w:szCs w:val="36"/>
        </w:rPr>
      </w:pPr>
    </w:p>
    <w:p>
      <w:pPr>
        <w:pStyle w:val="2"/>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2"/>
          <w:szCs w:val="28"/>
        </w:rPr>
      </w:pPr>
      <w:r>
        <w:rPr>
          <w:rFonts w:hint="eastAsia" w:ascii="宋体" w:hAnsi="宋体" w:cs="宋体"/>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rPr>
              <w:t>甲方法定代表人：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rPr>
              <w:t>乙方法定代表人：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bl>
    <w:p/>
    <w:p/>
    <w:p>
      <w:bookmarkStart w:id="278" w:name="_GoBack"/>
      <w:bookmarkEnd w:id="278"/>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EEE2A9"/>
    <w:multiLevelType w:val="singleLevel"/>
    <w:tmpl w:val="58EEE2A9"/>
    <w:lvl w:ilvl="0" w:tentative="0">
      <w:start w:val="1"/>
      <w:numFmt w:val="decimal"/>
      <w:suff w:val="space"/>
      <w:lvlText w:val="%1)"/>
      <w:lvlJc w:val="left"/>
    </w:lvl>
  </w:abstractNum>
  <w:abstractNum w:abstractNumId="3">
    <w:nsid w:val="5983EC99"/>
    <w:multiLevelType w:val="singleLevel"/>
    <w:tmpl w:val="5983EC99"/>
    <w:lvl w:ilvl="0" w:tentative="0">
      <w:start w:val="3"/>
      <w:numFmt w:val="chineseCounting"/>
      <w:suff w:val="space"/>
      <w:lvlText w:val="第%1章"/>
      <w:lvlJc w:val="left"/>
    </w:lvl>
  </w:abstractNum>
  <w:abstractNum w:abstractNumId="4">
    <w:nsid w:val="59DF3391"/>
    <w:multiLevelType w:val="singleLevel"/>
    <w:tmpl w:val="59DF3391"/>
    <w:lvl w:ilvl="0" w:tentative="0">
      <w:start w:val="7"/>
      <w:numFmt w:val="decimal"/>
      <w:suff w:val="space"/>
      <w:lvlText w:val="%1."/>
      <w:lvlJc w:val="left"/>
    </w:lvl>
  </w:abstractNum>
  <w:abstractNum w:abstractNumId="5">
    <w:nsid w:val="59E00BC4"/>
    <w:multiLevelType w:val="singleLevel"/>
    <w:tmpl w:val="59E00BC4"/>
    <w:lvl w:ilvl="0" w:tentative="0">
      <w:start w:val="2"/>
      <w:numFmt w:val="chineseCounting"/>
      <w:suff w:val="nothing"/>
      <w:lvlText w:val="%1、"/>
      <w:lvlJc w:val="left"/>
    </w:lvl>
  </w:abstractNum>
  <w:abstractNum w:abstractNumId="6">
    <w:nsid w:val="7DB1AA8B"/>
    <w:multiLevelType w:val="singleLevel"/>
    <w:tmpl w:val="7DB1AA8B"/>
    <w:lvl w:ilvl="0" w:tentative="0">
      <w:start w:val="3"/>
      <w:numFmt w:val="decimal"/>
      <w:suff w:val="nothing"/>
      <w:lvlText w:val="%1）"/>
      <w:lvlJc w:val="left"/>
    </w:lvl>
  </w:abstractNum>
  <w:num w:numId="1">
    <w:abstractNumId w:val="1"/>
  </w:num>
  <w:num w:numId="2">
    <w:abstractNumId w:val="2"/>
  </w:num>
  <w:num w:numId="3">
    <w:abstractNumId w:val="6"/>
  </w:num>
  <w:num w:numId="4">
    <w:abstractNumId w:val="4"/>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248F3"/>
    <w:rsid w:val="11544EA4"/>
    <w:rsid w:val="115C2DFD"/>
    <w:rsid w:val="1166194E"/>
    <w:rsid w:val="116F58D0"/>
    <w:rsid w:val="11715830"/>
    <w:rsid w:val="117C309E"/>
    <w:rsid w:val="118D07E2"/>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A447B"/>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1B0475"/>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27D5E"/>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A40D6B"/>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5534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6</TotalTime>
  <ScaleCrop>false</ScaleCrop>
  <LinksUpToDate>false</LinksUpToDate>
  <CharactersWithSpaces>36057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2020-04-09T02:08:57Z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