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adjustRightInd w:val="0"/>
        <w:snapToGrid w:val="0"/>
        <w:spacing w:line="360" w:lineRule="auto"/>
        <w:ind w:left="420" w:leftChars="200"/>
        <w:jc w:val="center"/>
        <w:rPr>
          <w:rFonts w:hint="eastAsia" w:ascii="宋体" w:hAnsi="宋体" w:cs="宋体"/>
          <w:b/>
          <w:sz w:val="28"/>
          <w:szCs w:val="28"/>
        </w:rPr>
      </w:pPr>
      <w:r>
        <w:rPr>
          <w:rFonts w:hint="eastAsia" w:ascii="宋体" w:hAnsi="宋体" w:cs="宋体"/>
          <w:b/>
          <w:bCs/>
          <w:sz w:val="72"/>
          <w:szCs w:val="72"/>
        </w:rPr>
        <w:t>甘肃省</w:t>
      </w:r>
      <w:r>
        <w:rPr>
          <w:rFonts w:hint="eastAsia" w:ascii="宋体" w:hAnsi="宋体" w:cs="宋体"/>
          <w:b/>
          <w:bCs/>
          <w:sz w:val="72"/>
          <w:szCs w:val="72"/>
          <w:lang w:eastAsia="zh-CN"/>
        </w:rPr>
        <w:t>第二人民医院互联网</w:t>
      </w:r>
      <w:r>
        <w:rPr>
          <w:rFonts w:hint="eastAsia" w:ascii="宋体" w:hAnsi="宋体" w:cs="宋体"/>
          <w:b/>
          <w:bCs/>
          <w:sz w:val="72"/>
          <w:szCs w:val="72"/>
          <w:lang w:val="en-US" w:eastAsia="zh-CN"/>
        </w:rPr>
        <w:t>500M带宽专线</w:t>
      </w:r>
      <w:r>
        <w:rPr>
          <w:rFonts w:hint="eastAsia" w:ascii="宋体" w:hAnsi="宋体" w:cs="宋体"/>
          <w:b/>
          <w:bCs/>
          <w:sz w:val="72"/>
          <w:szCs w:val="72"/>
        </w:rPr>
        <w:t>服务</w:t>
      </w:r>
      <w:r>
        <w:rPr>
          <w:rFonts w:hint="eastAsia" w:ascii="宋体" w:hAnsi="宋体" w:cs="宋体"/>
          <w:b/>
          <w:bCs/>
          <w:sz w:val="72"/>
          <w:szCs w:val="72"/>
          <w:lang w:val="en-US" w:eastAsia="zh-CN"/>
        </w:rPr>
        <w:t>采购</w:t>
      </w:r>
    </w:p>
    <w:p>
      <w:pPr>
        <w:spacing w:line="360" w:lineRule="auto"/>
        <w:rPr>
          <w:rFonts w:ascii="宋体" w:hAnsi="宋体" w:cs="宋体"/>
          <w:b/>
          <w:kern w:val="0"/>
          <w:sz w:val="52"/>
          <w:szCs w:val="52"/>
        </w:rPr>
      </w:pPr>
    </w:p>
    <w:p>
      <w:pPr>
        <w:pStyle w:val="28"/>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sz w:val="30"/>
          <w:szCs w:val="30"/>
        </w:rPr>
      </w:pPr>
      <w:r>
        <w:rPr>
          <w:rFonts w:hint="eastAsia" w:ascii="宋体" w:hAnsi="宋体" w:cs="宋体"/>
          <w:b/>
          <w:color w:val="auto"/>
          <w:sz w:val="72"/>
        </w:rPr>
        <w:t>招标文</w:t>
      </w:r>
      <w:r>
        <w:rPr>
          <w:rFonts w:hint="eastAsia" w:ascii="宋体" w:hAnsi="宋体" w:cs="宋体"/>
          <w:b/>
          <w:sz w:val="72"/>
        </w:rPr>
        <w:t>件</w:t>
      </w:r>
    </w:p>
    <w:p>
      <w:pPr>
        <w:widowControl/>
        <w:spacing w:line="360" w:lineRule="auto"/>
        <w:jc w:val="center"/>
        <w:rPr>
          <w:rFonts w:hint="default" w:ascii="宋体" w:hAnsi="宋体" w:eastAsia="宋体" w:cs="宋体"/>
          <w:b/>
          <w:bCs/>
          <w:color w:val="auto"/>
          <w:kern w:val="0"/>
          <w:sz w:val="30"/>
          <w:szCs w:val="30"/>
          <w:lang w:val="en-US" w:eastAsia="zh-CN"/>
        </w:rPr>
      </w:pPr>
      <w:r>
        <w:rPr>
          <w:rFonts w:hint="eastAsia" w:ascii="宋体" w:hAnsi="宋体" w:cs="宋体"/>
          <w:b/>
          <w:sz w:val="30"/>
          <w:szCs w:val="30"/>
        </w:rPr>
        <w:t>招标</w:t>
      </w:r>
      <w:r>
        <w:rPr>
          <w:rFonts w:hint="eastAsia" w:ascii="宋体" w:hAnsi="宋体" w:cs="宋体"/>
          <w:b/>
          <w:color w:val="auto"/>
          <w:sz w:val="30"/>
          <w:szCs w:val="30"/>
        </w:rPr>
        <w:t>编号：</w:t>
      </w:r>
      <w:r>
        <w:rPr>
          <w:rFonts w:hint="eastAsia" w:ascii="宋体" w:hAnsi="宋体" w:cs="宋体"/>
          <w:b/>
          <w:color w:val="auto"/>
          <w:sz w:val="30"/>
          <w:szCs w:val="30"/>
          <w:lang w:val="en-US" w:eastAsia="zh-CN"/>
        </w:rPr>
        <w:t>SEY-2020YNCG-054</w:t>
      </w:r>
    </w:p>
    <w:p>
      <w:pPr>
        <w:widowControl/>
        <w:spacing w:line="360" w:lineRule="auto"/>
        <w:rPr>
          <w:rFonts w:ascii="宋体" w:hAnsi="宋体" w:cs="宋体"/>
          <w:b/>
          <w:bCs/>
          <w:color w:val="auto"/>
          <w:kern w:val="0"/>
          <w:sz w:val="30"/>
          <w:szCs w:val="30"/>
        </w:rPr>
      </w:pPr>
    </w:p>
    <w:p>
      <w:pPr>
        <w:spacing w:line="360" w:lineRule="auto"/>
        <w:jc w:val="center"/>
        <w:rPr>
          <w:rFonts w:ascii="宋体" w:hAnsi="宋体" w:cs="宋体"/>
          <w:b/>
          <w:color w:val="auto"/>
          <w:sz w:val="52"/>
          <w:szCs w:val="52"/>
        </w:rPr>
      </w:pPr>
      <w:bookmarkStart w:id="278" w:name="_GoBack"/>
      <w:bookmarkEnd w:id="278"/>
    </w:p>
    <w:p>
      <w:pPr>
        <w:spacing w:line="360" w:lineRule="auto"/>
        <w:ind w:firstLine="590" w:firstLineChars="196"/>
        <w:jc w:val="center"/>
        <w:rPr>
          <w:rFonts w:ascii="宋体" w:hAnsi="宋体" w:cs="宋体"/>
          <w:b/>
          <w:color w:val="auto"/>
          <w:sz w:val="30"/>
          <w:szCs w:val="30"/>
        </w:rPr>
      </w:pPr>
    </w:p>
    <w:p>
      <w:pPr>
        <w:spacing w:line="360" w:lineRule="auto"/>
        <w:rPr>
          <w:rFonts w:ascii="宋体" w:hAnsi="宋体" w:cs="宋体"/>
          <w:color w:val="auto"/>
          <w:sz w:val="32"/>
        </w:rPr>
      </w:pPr>
    </w:p>
    <w:p>
      <w:pPr>
        <w:spacing w:line="360" w:lineRule="auto"/>
        <w:ind w:firstLine="2108" w:firstLineChars="700"/>
        <w:rPr>
          <w:rFonts w:hint="eastAsia" w:ascii="宋体" w:hAnsi="宋体" w:eastAsia="宋体" w:cs="宋体"/>
          <w:b/>
          <w:color w:val="auto"/>
          <w:sz w:val="30"/>
          <w:szCs w:val="30"/>
          <w:lang w:eastAsia="zh-CN"/>
        </w:rPr>
      </w:pPr>
      <w:r>
        <w:rPr>
          <w:rFonts w:hint="eastAsia" w:ascii="宋体" w:hAnsi="宋体" w:cs="宋体"/>
          <w:b/>
          <w:color w:val="auto"/>
          <w:sz w:val="30"/>
          <w:szCs w:val="30"/>
        </w:rPr>
        <w:t>采</w:t>
      </w:r>
      <w:r>
        <w:rPr>
          <w:rFonts w:hint="eastAsia" w:ascii="宋体" w:hAnsi="宋体" w:cs="宋体"/>
          <w:b/>
          <w:color w:val="auto"/>
          <w:sz w:val="30"/>
          <w:szCs w:val="30"/>
          <w:lang w:val="en-US" w:eastAsia="zh-CN"/>
        </w:rPr>
        <w:t xml:space="preserve"> </w:t>
      </w:r>
      <w:r>
        <w:rPr>
          <w:rFonts w:hint="eastAsia" w:ascii="宋体" w:hAnsi="宋体" w:cs="宋体"/>
          <w:b/>
          <w:color w:val="auto"/>
          <w:sz w:val="30"/>
          <w:szCs w:val="30"/>
        </w:rPr>
        <w:t>购</w:t>
      </w:r>
      <w:r>
        <w:rPr>
          <w:rFonts w:hint="eastAsia" w:ascii="宋体" w:hAnsi="宋体" w:cs="宋体"/>
          <w:b/>
          <w:color w:val="auto"/>
          <w:sz w:val="30"/>
          <w:szCs w:val="30"/>
          <w:lang w:val="en-US" w:eastAsia="zh-CN"/>
        </w:rPr>
        <w:t xml:space="preserve"> </w:t>
      </w:r>
      <w:r>
        <w:rPr>
          <w:rFonts w:hint="eastAsia" w:ascii="宋体" w:hAnsi="宋体" w:cs="宋体"/>
          <w:b/>
          <w:color w:val="auto"/>
          <w:sz w:val="30"/>
          <w:szCs w:val="30"/>
        </w:rPr>
        <w:t>人：</w:t>
      </w:r>
      <w:r>
        <w:rPr>
          <w:rFonts w:hint="eastAsia" w:ascii="宋体" w:hAnsi="宋体" w:cs="宋体"/>
          <w:b/>
          <w:color w:val="auto"/>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四</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25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26</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27</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46</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139965325"/>
      <w:bookmarkStart w:id="3" w:name="_Toc327439434"/>
      <w:bookmarkStart w:id="4" w:name="_Toc128372051"/>
      <w:bookmarkStart w:id="5" w:name="_Toc128372729"/>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5"/>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招标</w:t>
      </w:r>
      <w:r>
        <w:rPr>
          <w:rFonts w:hint="eastAsia" w:ascii="宋体" w:hAnsi="宋体" w:cs="宋体"/>
          <w:sz w:val="32"/>
          <w:szCs w:val="32"/>
          <w:lang w:eastAsia="zh-CN"/>
        </w:rPr>
        <w:t>公告</w:t>
      </w:r>
    </w:p>
    <w:p>
      <w:pPr>
        <w:spacing w:line="360" w:lineRule="auto"/>
        <w:ind w:firstLine="480" w:firstLineChars="200"/>
        <w:jc w:val="left"/>
        <w:rPr>
          <w:rFonts w:ascii="宋体" w:hAnsi="宋体" w:cs="宋体"/>
          <w:color w:val="auto"/>
          <w:sz w:val="24"/>
        </w:rPr>
      </w:pPr>
      <w:r>
        <w:rPr>
          <w:rFonts w:hint="eastAsia" w:ascii="宋体" w:hAnsi="宋体" w:cs="宋体"/>
          <w:sz w:val="24"/>
          <w:lang w:eastAsia="zh-CN"/>
        </w:rPr>
        <w:t>根据</w:t>
      </w:r>
      <w:r>
        <w:rPr>
          <w:rFonts w:hint="eastAsia" w:ascii="宋体" w:hAnsi="宋体" w:cs="宋体"/>
          <w:color w:val="auto"/>
          <w:sz w:val="24"/>
          <w:lang w:eastAsia="zh-CN"/>
        </w:rPr>
        <w:t>相关科室需求，经院主管部门批准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bCs/>
          <w:color w:val="auto"/>
          <w:sz w:val="24"/>
          <w:lang w:eastAsia="zh-CN"/>
        </w:rPr>
        <w:t>甘肃省第二人民医院互联网</w:t>
      </w:r>
      <w:r>
        <w:rPr>
          <w:rFonts w:hint="eastAsia" w:ascii="宋体" w:hAnsi="宋体" w:cs="宋体"/>
          <w:bCs/>
          <w:color w:val="auto"/>
          <w:sz w:val="24"/>
          <w:lang w:val="en-US" w:eastAsia="zh-CN"/>
        </w:rPr>
        <w:t>500M带宽专线服务</w:t>
      </w:r>
      <w:r>
        <w:rPr>
          <w:rFonts w:hint="eastAsia" w:ascii="宋体" w:hAnsi="宋体" w:cs="宋体"/>
          <w:bCs/>
          <w:color w:val="auto"/>
          <w:sz w:val="24"/>
        </w:rPr>
        <w:t>项目</w:t>
      </w:r>
      <w:r>
        <w:rPr>
          <w:rFonts w:hint="eastAsia" w:ascii="宋体" w:hAnsi="宋体" w:cs="宋体"/>
          <w:color w:val="auto"/>
          <w:sz w:val="24"/>
        </w:rPr>
        <w:t>以公开招标形式进行采购，欢迎符合资格条件的投标人前来参加。</w:t>
      </w:r>
    </w:p>
    <w:p>
      <w:pPr>
        <w:spacing w:line="360" w:lineRule="auto"/>
        <w:rPr>
          <w:rFonts w:hint="eastAsia" w:ascii="宋体" w:hAnsi="宋体" w:eastAsia="宋体" w:cs="宋体"/>
          <w:b/>
          <w:color w:val="auto"/>
          <w:sz w:val="24"/>
          <w:lang w:val="en-US" w:eastAsia="zh-CN"/>
        </w:rPr>
      </w:pPr>
      <w:r>
        <w:rPr>
          <w:rFonts w:hint="eastAsia" w:ascii="宋体" w:hAnsi="宋体" w:cs="宋体"/>
          <w:b/>
          <w:bCs/>
          <w:color w:val="auto"/>
          <w:sz w:val="24"/>
        </w:rPr>
        <w:t>1.招标文件编号：</w:t>
      </w:r>
      <w:r>
        <w:rPr>
          <w:rFonts w:hint="eastAsia" w:ascii="宋体" w:hAnsi="宋体" w:cs="宋体"/>
          <w:color w:val="auto"/>
          <w:sz w:val="24"/>
          <w:lang w:eastAsia="zh-CN"/>
        </w:rPr>
        <w:t>SEY-2020YNCG-054</w:t>
      </w:r>
    </w:p>
    <w:p>
      <w:pPr>
        <w:pStyle w:val="19"/>
        <w:keepNext w:val="0"/>
        <w:keepLines w:val="0"/>
        <w:pageBreakBefore w:val="0"/>
        <w:kinsoku/>
        <w:wordWrap/>
        <w:overflowPunct/>
        <w:topLinePunct w:val="0"/>
        <w:autoSpaceDE/>
        <w:autoSpaceDN/>
        <w:bidi w:val="0"/>
        <w:spacing w:before="0" w:beforeAutospacing="0" w:line="420" w:lineRule="exact"/>
        <w:rPr>
          <w:rFonts w:ascii="宋体" w:hAnsi="宋体" w:cs="宋体"/>
          <w:color w:val="auto"/>
          <w:sz w:val="24"/>
        </w:rPr>
      </w:pPr>
      <w:r>
        <w:rPr>
          <w:rFonts w:hint="eastAsia" w:ascii="宋体" w:hAnsi="宋体" w:cs="宋体"/>
          <w:b/>
          <w:bCs/>
          <w:color w:val="auto"/>
          <w:sz w:val="24"/>
        </w:rPr>
        <w:t>2.招标内容：</w:t>
      </w:r>
      <w:r>
        <w:rPr>
          <w:rFonts w:hint="eastAsia" w:ascii="宋体" w:hAnsi="宋体" w:cs="宋体"/>
          <w:bCs/>
          <w:color w:val="auto"/>
          <w:sz w:val="24"/>
          <w:lang w:eastAsia="zh-CN"/>
        </w:rPr>
        <w:t>互联网</w:t>
      </w:r>
      <w:r>
        <w:rPr>
          <w:rFonts w:hint="eastAsia" w:ascii="宋体" w:hAnsi="宋体" w:cs="宋体"/>
          <w:bCs/>
          <w:color w:val="auto"/>
          <w:sz w:val="24"/>
          <w:lang w:val="en-US" w:eastAsia="zh-CN"/>
        </w:rPr>
        <w:t>500M带宽专线</w:t>
      </w:r>
      <w:r>
        <w:rPr>
          <w:rFonts w:hint="eastAsia" w:hAnsi="宋体" w:cs="宋体"/>
          <w:bCs/>
          <w:color w:val="auto"/>
          <w:sz w:val="24"/>
          <w:lang w:val="en-US" w:eastAsia="zh-CN"/>
        </w:rPr>
        <w:t>服务</w:t>
      </w:r>
      <w:r>
        <w:rPr>
          <w:rFonts w:hint="eastAsia" w:ascii="Times New Roman" w:hAnsi="Times New Roman" w:eastAsia="宋体" w:cs="Times New Roman"/>
          <w:color w:val="auto"/>
          <w:sz w:val="24"/>
          <w:lang w:eastAsia="zh-CN"/>
        </w:rPr>
        <w:t>。</w:t>
      </w:r>
      <w:r>
        <w:rPr>
          <w:rFonts w:hint="eastAsia" w:ascii="宋体" w:hAnsi="宋体" w:cs="宋体"/>
          <w:color w:val="auto"/>
          <w:sz w:val="24"/>
        </w:rPr>
        <w:t>(本项目共一个包，具体招标要求详见招标文件)</w:t>
      </w:r>
    </w:p>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2）投标人须具有电信业务经营许可证(备案证)（复印件加盖公章）；</w:t>
      </w:r>
    </w:p>
    <w:p>
      <w:pPr>
        <w:spacing w:line="360" w:lineRule="auto"/>
        <w:ind w:firstLine="480" w:firstLineChars="200"/>
        <w:rPr>
          <w:rFonts w:ascii="宋体" w:hAnsi="宋体" w:cs="宋体"/>
          <w:sz w:val="24"/>
        </w:rPr>
      </w:pPr>
      <w:r>
        <w:rPr>
          <w:rFonts w:hint="eastAsia" w:ascii="宋体" w:hAnsi="宋体" w:cs="宋体"/>
          <w:sz w:val="24"/>
          <w:lang w:val="en-US" w:eastAsia="zh-CN"/>
        </w:rPr>
        <w:t>3</w:t>
      </w:r>
      <w:r>
        <w:rPr>
          <w:rFonts w:hint="eastAsia" w:ascii="宋体" w:hAnsi="宋体" w:cs="宋体"/>
          <w:sz w:val="24"/>
        </w:rPr>
        <w:t>）本项目不接受联合体投标。</w:t>
      </w:r>
    </w:p>
    <w:p>
      <w:pPr>
        <w:spacing w:line="360" w:lineRule="auto"/>
        <w:rPr>
          <w:rFonts w:ascii="宋体" w:hAnsi="宋体" w:cs="宋体"/>
          <w:color w:val="auto"/>
          <w:sz w:val="24"/>
        </w:rPr>
      </w:pPr>
      <w:r>
        <w:rPr>
          <w:rFonts w:hint="eastAsia" w:ascii="宋体" w:hAnsi="宋体" w:cs="宋体"/>
          <w:b/>
          <w:bCs/>
          <w:sz w:val="24"/>
          <w:lang w:val="en-US" w:eastAsia="zh-CN"/>
        </w:rPr>
        <w:t>4</w:t>
      </w:r>
      <w:r>
        <w:rPr>
          <w:rFonts w:hint="eastAsia" w:ascii="宋体" w:hAnsi="宋体" w:cs="宋体"/>
          <w:b/>
          <w:bCs/>
          <w:sz w:val="24"/>
        </w:rPr>
        <w:t>.项目预</w:t>
      </w:r>
      <w:r>
        <w:rPr>
          <w:rFonts w:hint="eastAsia" w:ascii="宋体" w:hAnsi="宋体" w:cs="宋体"/>
          <w:b/>
          <w:bCs/>
          <w:color w:val="auto"/>
          <w:sz w:val="24"/>
        </w:rPr>
        <w:t>算：</w:t>
      </w:r>
      <w:r>
        <w:rPr>
          <w:rFonts w:hint="eastAsia" w:ascii="宋体" w:hAnsi="宋体" w:cs="宋体"/>
          <w:b/>
          <w:bCs/>
          <w:color w:val="auto"/>
          <w:sz w:val="24"/>
          <w:lang w:val="en-US" w:eastAsia="zh-CN"/>
        </w:rPr>
        <w:t>18</w:t>
      </w:r>
      <w:r>
        <w:rPr>
          <w:rFonts w:hint="eastAsia" w:ascii="宋体" w:hAnsi="宋体" w:cs="宋体"/>
          <w:color w:val="auto"/>
          <w:sz w:val="24"/>
        </w:rPr>
        <w:t>万元</w:t>
      </w:r>
    </w:p>
    <w:p>
      <w:pPr>
        <w:pStyle w:val="28"/>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27</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5</w:t>
      </w:r>
      <w:r>
        <w:rPr>
          <w:rFonts w:hint="eastAsia" w:ascii="宋体" w:hAnsi="宋体" w:cs="宋体"/>
          <w:color w:val="auto"/>
          <w:kern w:val="0"/>
          <w:sz w:val="24"/>
        </w:rPr>
        <w:t>月</w:t>
      </w:r>
      <w:r>
        <w:rPr>
          <w:rFonts w:hint="eastAsia" w:ascii="宋体" w:hAnsi="宋体" w:cs="宋体"/>
          <w:color w:val="auto"/>
          <w:kern w:val="0"/>
          <w:sz w:val="24"/>
          <w:lang w:val="en-US" w:eastAsia="zh-CN"/>
        </w:rPr>
        <w:t>6</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27</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5</w:t>
      </w:r>
      <w:r>
        <w:rPr>
          <w:rFonts w:hint="eastAsia" w:ascii="宋体" w:hAnsi="宋体" w:cs="宋体"/>
          <w:color w:val="auto"/>
          <w:kern w:val="0"/>
          <w:sz w:val="24"/>
        </w:rPr>
        <w:t>月</w:t>
      </w:r>
      <w:r>
        <w:rPr>
          <w:rFonts w:hint="eastAsia" w:ascii="宋体" w:hAnsi="宋体" w:cs="宋体"/>
          <w:color w:val="auto"/>
          <w:kern w:val="0"/>
          <w:sz w:val="24"/>
          <w:lang w:val="en-US" w:eastAsia="zh-CN"/>
        </w:rPr>
        <w:t>6</w:t>
      </w:r>
      <w:r>
        <w:rPr>
          <w:rFonts w:hint="eastAsia" w:ascii="宋体" w:hAnsi="宋体" w:cs="宋体"/>
          <w:color w:val="auto"/>
          <w:kern w:val="0"/>
          <w:sz w:val="24"/>
        </w:rPr>
        <w:t>日</w:t>
      </w:r>
      <w:r>
        <w:rPr>
          <w:rFonts w:hint="eastAsia" w:ascii="宋体" w:hAnsi="宋体" w:cs="宋体"/>
          <w:b w:val="0"/>
          <w:bCs w:val="0"/>
          <w:color w:val="auto"/>
          <w:kern w:val="0"/>
          <w:sz w:val="24"/>
          <w:szCs w:val="22"/>
        </w:rPr>
        <w:t>（节</w:t>
      </w:r>
      <w:r>
        <w:rPr>
          <w:rFonts w:hint="eastAsia" w:ascii="宋体" w:hAnsi="宋体" w:cs="宋体"/>
          <w:b w:val="0"/>
          <w:bCs w:val="0"/>
          <w:color w:val="auto"/>
          <w:kern w:val="0"/>
          <w:sz w:val="24"/>
          <w:szCs w:val="22"/>
        </w:rPr>
        <w:t>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000000" w:themeColor="text1"/>
          <w:sz w:val="24"/>
          <w:lang w:val="en-US" w:eastAsia="zh-CN"/>
        </w:rPr>
        <w:t>9</w:t>
      </w:r>
      <w:r>
        <w:rPr>
          <w:rFonts w:hint="eastAsia" w:ascii="宋体" w:hAnsi="宋体" w:cs="宋体"/>
          <w:b/>
          <w:bCs/>
          <w:color w:val="000000" w:themeColor="text1"/>
          <w:sz w:val="24"/>
        </w:rPr>
        <w:t>.开标时间</w:t>
      </w:r>
      <w:r>
        <w:rPr>
          <w:rFonts w:hint="eastAsia" w:ascii="宋体" w:hAnsi="宋体" w:cs="宋体"/>
          <w:b/>
          <w:bCs/>
          <w:color w:val="auto"/>
          <w:sz w:val="24"/>
        </w:rPr>
        <w:t>：</w:t>
      </w:r>
      <w:r>
        <w:rPr>
          <w:rFonts w:hint="eastAsia" w:ascii="宋体" w:hAnsi="宋体" w:cs="宋体"/>
          <w:b/>
          <w:bCs/>
          <w:color w:val="auto"/>
          <w:kern w:val="0"/>
          <w:sz w:val="24"/>
          <w:szCs w:val="22"/>
        </w:rPr>
        <w:t>20</w:t>
      </w:r>
      <w:r>
        <w:rPr>
          <w:rFonts w:hint="eastAsia" w:ascii="宋体" w:hAnsi="宋体" w:cs="宋体"/>
          <w:b/>
          <w:bCs/>
          <w:color w:val="auto"/>
          <w:kern w:val="0"/>
          <w:sz w:val="24"/>
          <w:szCs w:val="22"/>
          <w:lang w:val="en-US" w:eastAsia="zh-CN"/>
        </w:rPr>
        <w:t>20</w:t>
      </w:r>
      <w:r>
        <w:rPr>
          <w:rFonts w:hint="eastAsia" w:ascii="宋体" w:hAnsi="宋体" w:cs="宋体"/>
          <w:b/>
          <w:bCs/>
          <w:color w:val="auto"/>
          <w:kern w:val="0"/>
          <w:sz w:val="24"/>
          <w:szCs w:val="22"/>
        </w:rPr>
        <w:t>年</w:t>
      </w:r>
      <w:r>
        <w:rPr>
          <w:rFonts w:hint="eastAsia" w:ascii="宋体" w:hAnsi="宋体" w:cs="宋体"/>
          <w:b/>
          <w:bCs/>
          <w:color w:val="auto"/>
          <w:kern w:val="0"/>
          <w:sz w:val="24"/>
          <w:szCs w:val="22"/>
          <w:lang w:val="en-US" w:eastAsia="zh-CN"/>
        </w:rPr>
        <w:t>5</w:t>
      </w:r>
      <w:r>
        <w:rPr>
          <w:rFonts w:hint="eastAsia" w:ascii="宋体" w:hAnsi="宋体" w:cs="宋体"/>
          <w:b/>
          <w:bCs/>
          <w:color w:val="auto"/>
          <w:kern w:val="0"/>
          <w:sz w:val="24"/>
          <w:szCs w:val="22"/>
        </w:rPr>
        <w:t>月</w:t>
      </w:r>
      <w:r>
        <w:rPr>
          <w:rFonts w:hint="eastAsia" w:ascii="宋体" w:hAnsi="宋体" w:cs="宋体"/>
          <w:b/>
          <w:bCs/>
          <w:color w:val="auto"/>
          <w:kern w:val="0"/>
          <w:sz w:val="24"/>
          <w:szCs w:val="22"/>
          <w:lang w:val="en-US" w:eastAsia="zh-CN"/>
        </w:rPr>
        <w:t>19</w:t>
      </w:r>
      <w:r>
        <w:rPr>
          <w:rFonts w:hint="eastAsia" w:ascii="宋体" w:hAnsi="宋体" w:cs="宋体"/>
          <w:b/>
          <w:bCs/>
          <w:color w:val="auto"/>
          <w:kern w:val="0"/>
          <w:sz w:val="24"/>
          <w:szCs w:val="22"/>
        </w:rPr>
        <w:t>日</w:t>
      </w:r>
      <w:r>
        <w:rPr>
          <w:rFonts w:hint="eastAsia" w:ascii="宋体" w:hAnsi="宋体" w:cs="宋体"/>
          <w:b/>
          <w:bCs/>
          <w:color w:val="auto"/>
          <w:kern w:val="0"/>
          <w:sz w:val="24"/>
          <w:szCs w:val="22"/>
          <w:lang w:eastAsia="zh-CN"/>
        </w:rPr>
        <w:t>下午15:00</w:t>
      </w:r>
      <w:r>
        <w:rPr>
          <w:rFonts w:hint="eastAsia" w:ascii="宋体" w:hAnsi="宋体" w:cs="宋体"/>
          <w:color w:val="auto"/>
          <w:kern w:val="0"/>
          <w:sz w:val="24"/>
          <w:szCs w:val="22"/>
        </w:rPr>
        <w:t>（北京时间）。</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甘肃省第二人民医院行政楼二楼会议室（暂定）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ind w:left="0" w:leftChars="0" w:firstLine="0" w:firstLineChars="0"/>
        <w:rPr>
          <w:rFonts w:ascii="宋体" w:hAnsi="宋体" w:cs="宋体"/>
        </w:rPr>
      </w:pPr>
    </w:p>
    <w:p>
      <w:pPr>
        <w:pStyle w:val="5"/>
        <w:ind w:left="0" w:leftChars="0" w:firstLine="0" w:firstLineChars="0"/>
        <w:rPr>
          <w:rFonts w:ascii="宋体" w:hAnsi="宋体" w:cs="宋体"/>
        </w:rPr>
      </w:pPr>
    </w:p>
    <w:p>
      <w:pPr>
        <w:pStyle w:val="5"/>
        <w:ind w:left="0" w:leftChars="0" w:firstLine="0" w:firstLineChars="0"/>
        <w:rPr>
          <w:rFonts w:ascii="宋体" w:hAnsi="宋体" w:cs="宋体"/>
        </w:rPr>
      </w:pPr>
    </w:p>
    <w:p/>
    <w:p>
      <w:pPr>
        <w:pStyle w:val="3"/>
        <w:rPr>
          <w:rFonts w:hint="eastAsia"/>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7"/>
      <w:bookmarkStart w:id="8" w:name="_Toc327439435"/>
      <w:bookmarkStart w:id="9" w:name="_Toc128372730"/>
      <w:bookmarkStart w:id="10" w:name="_Toc128372052"/>
      <w:bookmarkStart w:id="11" w:name="_Toc139965326"/>
    </w:p>
    <w:p>
      <w:pPr>
        <w:pStyle w:val="4"/>
        <w:rPr>
          <w:rFonts w:ascii="宋体" w:hAnsi="宋体" w:cs="宋体"/>
          <w:sz w:val="28"/>
          <w:szCs w:val="20"/>
        </w:rPr>
      </w:pPr>
      <w:bookmarkStart w:id="12" w:name="_Toc17569"/>
      <w:bookmarkStart w:id="13" w:name="_Toc18296"/>
      <w:r>
        <w:rPr>
          <w:rFonts w:hint="eastAsia" w:ascii="宋体" w:hAnsi="宋体" w:cs="宋体"/>
          <w:sz w:val="28"/>
          <w:szCs w:val="20"/>
        </w:rPr>
        <w:t>投标人须知前附表</w:t>
      </w:r>
      <w:bookmarkEnd w:id="12"/>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szCs w:val="30"/>
              </w:rPr>
              <w:t>项目名称</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甘肃省</w:t>
            </w:r>
            <w:r>
              <w:rPr>
                <w:rFonts w:hint="eastAsia" w:ascii="宋体" w:hAnsi="宋体" w:cs="宋体"/>
                <w:color w:val="auto"/>
                <w:sz w:val="24"/>
                <w:lang w:eastAsia="zh-CN"/>
              </w:rPr>
              <w:t>第二人民医院</w:t>
            </w:r>
            <w:r>
              <w:rPr>
                <w:rFonts w:hint="eastAsia" w:ascii="宋体" w:hAnsi="宋体" w:cs="宋体"/>
                <w:bCs/>
                <w:color w:val="auto"/>
                <w:sz w:val="24"/>
                <w:lang w:eastAsia="zh-CN"/>
              </w:rPr>
              <w:t>互联网</w:t>
            </w:r>
            <w:r>
              <w:rPr>
                <w:rFonts w:hint="eastAsia" w:ascii="宋体" w:hAnsi="宋体" w:cs="宋体"/>
                <w:bCs/>
                <w:color w:val="auto"/>
                <w:sz w:val="24"/>
                <w:lang w:val="en-US" w:eastAsia="zh-CN"/>
              </w:rPr>
              <w:t>500M带宽专线服务</w:t>
            </w:r>
            <w:r>
              <w:rPr>
                <w:rFonts w:hint="eastAsia" w:ascii="宋体" w:hAnsi="宋体" w:cs="宋体"/>
                <w:color w:val="auto"/>
                <w:sz w:val="24"/>
                <w:lang w:val="en-US" w:eastAsia="zh-CN"/>
              </w:rPr>
              <w:t>采购</w:t>
            </w:r>
            <w:r>
              <w:rPr>
                <w:rFonts w:hint="eastAsia" w:ascii="宋体" w:hAnsi="宋体" w:cs="宋体"/>
                <w:color w:val="auto"/>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szCs w:val="30"/>
              </w:rPr>
            </w:pPr>
            <w:r>
              <w:rPr>
                <w:rFonts w:hint="eastAsia" w:ascii="宋体" w:hAnsi="宋体" w:cs="宋体"/>
                <w:color w:val="auto"/>
                <w:sz w:val="24"/>
                <w:szCs w:val="30"/>
              </w:rPr>
              <w:t>招标文件编号</w:t>
            </w:r>
          </w:p>
        </w:tc>
        <w:tc>
          <w:tcPr>
            <w:tcW w:w="6245" w:type="dxa"/>
            <w:tcBorders>
              <w:tl2br w:val="nil"/>
              <w:tr2bl w:val="nil"/>
            </w:tcBorders>
            <w:noWrap w:val="0"/>
            <w:vAlign w:val="center"/>
          </w:tcPr>
          <w:p>
            <w:pPr>
              <w:spacing w:line="360" w:lineRule="auto"/>
              <w:rPr>
                <w:rFonts w:hint="default" w:ascii="宋体" w:hAnsi="宋体" w:eastAsia="仿宋" w:cs="宋体"/>
                <w:color w:val="auto"/>
                <w:sz w:val="24"/>
                <w:lang w:val="en-US" w:eastAsia="zh-CN"/>
              </w:rPr>
            </w:pPr>
            <w:r>
              <w:rPr>
                <w:rFonts w:hint="eastAsia" w:ascii="宋体" w:hAnsi="宋体" w:cs="宋体"/>
                <w:color w:val="auto"/>
                <w:sz w:val="24"/>
                <w:lang w:eastAsia="zh-CN"/>
              </w:rPr>
              <w:t>S</w:t>
            </w:r>
            <w:r>
              <w:rPr>
                <w:rFonts w:hint="eastAsia" w:ascii="宋体" w:hAnsi="宋体" w:cs="宋体"/>
                <w:color w:val="auto"/>
                <w:sz w:val="24"/>
                <w:lang w:val="en-US" w:eastAsia="zh-CN"/>
              </w:rPr>
              <w:t>E</w:t>
            </w:r>
            <w:r>
              <w:rPr>
                <w:rFonts w:hint="eastAsia" w:ascii="宋体" w:hAnsi="宋体" w:cs="宋体"/>
                <w:color w:val="auto"/>
                <w:sz w:val="24"/>
                <w:lang w:eastAsia="zh-CN"/>
              </w:rPr>
              <w:t>Y-2</w:t>
            </w:r>
            <w:r>
              <w:rPr>
                <w:rFonts w:hint="eastAsia" w:ascii="宋体" w:hAnsi="宋体" w:cs="宋体"/>
                <w:color w:val="auto"/>
                <w:sz w:val="24"/>
                <w:lang w:val="en-US" w:eastAsia="zh-CN"/>
              </w:rPr>
              <w:t>020</w:t>
            </w:r>
            <w:r>
              <w:rPr>
                <w:rFonts w:hint="eastAsia" w:ascii="宋体" w:hAnsi="宋体" w:cs="宋体"/>
                <w:color w:val="auto"/>
                <w:sz w:val="24"/>
                <w:lang w:eastAsia="zh-CN"/>
              </w:rPr>
              <w:t>YNCG-0</w:t>
            </w:r>
            <w:r>
              <w:rPr>
                <w:rFonts w:hint="eastAsia" w:ascii="宋体" w:hAnsi="宋体" w:cs="宋体"/>
                <w:color w:val="auto"/>
                <w:sz w:val="24"/>
                <w:lang w:val="en-US" w:eastAsia="zh-CN"/>
              </w:rPr>
              <w:t>54</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noWrap w:val="0"/>
            <w:vAlign w:val="top"/>
          </w:tcPr>
          <w:p>
            <w:pPr>
              <w:spacing w:line="360" w:lineRule="auto"/>
              <w:rPr>
                <w:rFonts w:hint="eastAsia" w:ascii="宋体" w:hAnsi="宋体" w:eastAsia="宋体" w:cs="宋体"/>
                <w:kern w:val="0"/>
                <w:sz w:val="24"/>
                <w:szCs w:val="22"/>
                <w:lang w:eastAsia="zh-CN"/>
              </w:rPr>
            </w:pPr>
            <w:r>
              <w:rPr>
                <w:rFonts w:hint="eastAsia" w:ascii="宋体" w:hAnsi="宋体" w:cs="宋体"/>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noWrap w:val="0"/>
            <w:vAlign w:val="top"/>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noWrap w:val="0"/>
            <w:vAlign w:val="top"/>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widowControl/>
              <w:autoSpaceDN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lang w:eastAsia="zh-CN"/>
              </w:rPr>
              <w:t>投标人的资格条件</w:t>
            </w:r>
          </w:p>
        </w:tc>
        <w:tc>
          <w:tcPr>
            <w:tcW w:w="6245" w:type="dxa"/>
            <w:tcBorders>
              <w:tl2br w:val="nil"/>
              <w:tr2bl w:val="nil"/>
            </w:tcBorders>
            <w:noWrap w:val="0"/>
            <w:vAlign w:val="center"/>
          </w:tcPr>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2）投标人须具有电信业务经营许可证(备案证)（复印件加盖公章）；</w:t>
            </w:r>
          </w:p>
          <w:p>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noWrap w:val="0"/>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pStyle w:val="208"/>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noWrap w:val="0"/>
            <w:vAlign w:val="center"/>
          </w:tcPr>
          <w:p>
            <w:pPr>
              <w:pStyle w:val="208"/>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pStyle w:val="208"/>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noWrap w:val="0"/>
            <w:vAlign w:val="center"/>
          </w:tcPr>
          <w:p>
            <w:pPr>
              <w:pStyle w:val="208"/>
              <w:spacing w:line="360" w:lineRule="auto"/>
              <w:jc w:val="both"/>
              <w:rPr>
                <w:rFonts w:hint="eastAsia" w:ascii="宋体" w:hAnsi="宋体" w:cs="宋体"/>
                <w:spacing w:val="10"/>
                <w:sz w:val="24"/>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noWrap w:val="0"/>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8"/>
              <w:numPr>
                <w:ilvl w:val="0"/>
                <w:numId w:val="3"/>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noWrap w:val="0"/>
            <w:vAlign w:val="center"/>
          </w:tcPr>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5</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19</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：00分（北京时间）</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rPr>
              <w:t>甘肃省第二人民医院行政楼二楼会议室（暂定）</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cs="宋体"/>
                <w:b w:val="0"/>
                <w:bCs w:val="0"/>
                <w:color w:val="auto"/>
                <w:kern w:val="0"/>
                <w:sz w:val="24"/>
                <w:szCs w:val="22"/>
              </w:rPr>
              <w:t>20</w:t>
            </w:r>
            <w:r>
              <w:rPr>
                <w:rFonts w:hint="eastAsia" w:ascii="宋体" w:hAnsi="宋体" w:cs="宋体"/>
                <w:b w:val="0"/>
                <w:bCs w:val="0"/>
                <w:color w:val="auto"/>
                <w:kern w:val="0"/>
                <w:sz w:val="24"/>
                <w:szCs w:val="22"/>
                <w:lang w:val="en-US" w:eastAsia="zh-CN"/>
              </w:rPr>
              <w:t>20</w:t>
            </w:r>
            <w:r>
              <w:rPr>
                <w:rFonts w:hint="eastAsia" w:ascii="宋体" w:hAnsi="宋体" w:cs="宋体"/>
                <w:b w:val="0"/>
                <w:bCs w:val="0"/>
                <w:color w:val="auto"/>
                <w:kern w:val="0"/>
                <w:sz w:val="24"/>
                <w:szCs w:val="22"/>
              </w:rPr>
              <w:t>年</w:t>
            </w:r>
            <w:r>
              <w:rPr>
                <w:rFonts w:hint="eastAsia" w:ascii="宋体" w:hAnsi="宋体" w:cs="宋体"/>
                <w:b w:val="0"/>
                <w:bCs w:val="0"/>
                <w:color w:val="auto"/>
                <w:kern w:val="0"/>
                <w:sz w:val="24"/>
                <w:szCs w:val="22"/>
                <w:lang w:val="en-US" w:eastAsia="zh-CN"/>
              </w:rPr>
              <w:t>5</w:t>
            </w:r>
            <w:r>
              <w:rPr>
                <w:rFonts w:hint="eastAsia" w:ascii="宋体" w:hAnsi="宋体" w:cs="宋体"/>
                <w:b w:val="0"/>
                <w:bCs w:val="0"/>
                <w:color w:val="auto"/>
                <w:kern w:val="0"/>
                <w:sz w:val="24"/>
                <w:szCs w:val="22"/>
              </w:rPr>
              <w:t>月</w:t>
            </w:r>
            <w:r>
              <w:rPr>
                <w:rFonts w:hint="eastAsia" w:ascii="宋体" w:hAnsi="宋体" w:cs="宋体"/>
                <w:b w:val="0"/>
                <w:bCs w:val="0"/>
                <w:color w:val="auto"/>
                <w:kern w:val="0"/>
                <w:sz w:val="24"/>
                <w:szCs w:val="22"/>
                <w:lang w:val="en-US" w:eastAsia="zh-CN"/>
              </w:rPr>
              <w:t>19</w:t>
            </w:r>
            <w:r>
              <w:rPr>
                <w:rFonts w:hint="eastAsia" w:ascii="宋体" w:hAnsi="宋体" w:cs="宋体"/>
                <w:b w:val="0"/>
                <w:bCs w:val="0"/>
                <w:color w:val="auto"/>
                <w:kern w:val="0"/>
                <w:sz w:val="24"/>
                <w:szCs w:val="22"/>
              </w:rPr>
              <w:t>日</w:t>
            </w:r>
            <w:r>
              <w:rPr>
                <w:rFonts w:hint="eastAsia" w:ascii="宋体" w:hAnsi="宋体" w:cs="宋体"/>
                <w:b w:val="0"/>
                <w:bCs w:val="0"/>
                <w:color w:val="auto"/>
                <w:kern w:val="0"/>
                <w:sz w:val="24"/>
                <w:szCs w:val="22"/>
                <w:lang w:eastAsia="zh-CN"/>
              </w:rPr>
              <w:t>下</w:t>
            </w:r>
            <w:r>
              <w:rPr>
                <w:rFonts w:hint="eastAsia" w:ascii="宋体" w:hAnsi="宋体" w:cs="宋体"/>
                <w:b w:val="0"/>
                <w:bCs w:val="0"/>
                <w:color w:val="auto"/>
                <w:kern w:val="0"/>
                <w:sz w:val="24"/>
                <w:szCs w:val="22"/>
              </w:rPr>
              <w:t>午</w:t>
            </w:r>
            <w:r>
              <w:rPr>
                <w:rFonts w:hint="eastAsia" w:ascii="宋体" w:hAnsi="宋体" w:cs="宋体"/>
                <w:b w:val="0"/>
                <w:bCs w:val="0"/>
                <w:color w:val="auto"/>
                <w:kern w:val="0"/>
                <w:sz w:val="24"/>
                <w:szCs w:val="22"/>
                <w:lang w:val="en-US" w:eastAsia="zh-CN"/>
              </w:rPr>
              <w:t>15</w:t>
            </w:r>
            <w:r>
              <w:rPr>
                <w:rFonts w:hint="eastAsia" w:ascii="宋体" w:hAnsi="宋体" w:cs="宋体"/>
                <w:b w:val="0"/>
                <w:bCs w:val="0"/>
                <w:color w:val="auto"/>
                <w:kern w:val="0"/>
                <w:sz w:val="24"/>
                <w:szCs w:val="22"/>
              </w:rPr>
              <w:t>：00分</w:t>
            </w:r>
            <w:r>
              <w:rPr>
                <w:rFonts w:hint="eastAsia" w:ascii="宋体" w:hAnsi="宋体" w:cs="宋体"/>
                <w:b w:val="0"/>
                <w:bCs w:val="0"/>
                <w:color w:val="auto"/>
                <w:spacing w:val="10"/>
                <w:sz w:val="24"/>
              </w:rPr>
              <w:t>（北京时间）</w:t>
            </w:r>
          </w:p>
          <w:p>
            <w:pPr>
              <w:spacing w:line="360" w:lineRule="auto"/>
              <w:rPr>
                <w:rFonts w:ascii="宋体" w:hAnsi="宋体" w:cs="宋体"/>
                <w:color w:val="auto"/>
              </w:rPr>
            </w:pPr>
            <w:r>
              <w:rPr>
                <w:rFonts w:hint="eastAsia" w:ascii="宋体" w:hAnsi="宋体" w:cs="宋体"/>
                <w:color w:val="auto"/>
                <w:sz w:val="24"/>
              </w:rPr>
              <w:t>2）开标地点：</w:t>
            </w:r>
            <w:r>
              <w:rPr>
                <w:rFonts w:hint="eastAsia" w:ascii="宋体" w:hAnsi="宋体" w:cs="宋体"/>
                <w:color w:val="auto"/>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noWrap w:val="0"/>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noWrap w:val="0"/>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pStyle w:val="28"/>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noWrap w:val="0"/>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lang w:val="zh-CN"/>
              </w:rPr>
            </w:pPr>
            <w:r>
              <w:rPr>
                <w:rFonts w:hint="eastAsia" w:cs="宋体"/>
                <w:color w:val="auto"/>
                <w:sz w:val="24"/>
                <w:szCs w:val="24"/>
                <w:highlight w:val="none"/>
                <w:lang w:eastAsia="zh-CN"/>
              </w:rPr>
              <w:t>卖</w:t>
            </w:r>
            <w:r>
              <w:rPr>
                <w:rFonts w:hint="eastAsia" w:ascii="宋体" w:hAnsi="宋体" w:eastAsia="宋体" w:cs="宋体"/>
                <w:color w:val="auto"/>
                <w:sz w:val="24"/>
                <w:szCs w:val="24"/>
                <w:highlight w:val="none"/>
              </w:rPr>
              <w:t>方安装、调试、试运行、培训，</w:t>
            </w:r>
            <w:r>
              <w:rPr>
                <w:rFonts w:hint="eastAsia" w:cs="宋体"/>
                <w:color w:val="auto"/>
                <w:sz w:val="24"/>
                <w:szCs w:val="24"/>
                <w:highlight w:val="none"/>
                <w:lang w:eastAsia="zh-CN"/>
              </w:rPr>
              <w:t>经买方（使用单位）</w:t>
            </w:r>
            <w:r>
              <w:rPr>
                <w:rFonts w:hint="eastAsia" w:ascii="宋体" w:hAnsi="宋体" w:eastAsia="宋体" w:cs="宋体"/>
                <w:color w:val="auto"/>
                <w:sz w:val="24"/>
                <w:szCs w:val="24"/>
                <w:highlight w:val="none"/>
              </w:rPr>
              <w:t>验收合格后，凭验收合格证明及按合同总价开具的发票（完税价），由买方支付合同总价款的</w:t>
            </w:r>
            <w:r>
              <w:rPr>
                <w:rFonts w:hint="eastAsia" w:cs="宋体"/>
                <w:color w:val="auto"/>
                <w:sz w:val="24"/>
                <w:szCs w:val="24"/>
                <w:highlight w:val="none"/>
                <w:lang w:val="en-US" w:eastAsia="zh-CN"/>
              </w:rPr>
              <w:t>90</w:t>
            </w:r>
            <w:r>
              <w:rPr>
                <w:rFonts w:hint="eastAsia" w:ascii="宋体" w:hAnsi="宋体" w:eastAsia="宋体" w:cs="宋体"/>
                <w:color w:val="auto"/>
                <w:sz w:val="24"/>
                <w:szCs w:val="24"/>
                <w:highlight w:val="none"/>
              </w:rPr>
              <w:t>％，剩余的10%作为质量保证</w:t>
            </w:r>
            <w:r>
              <w:rPr>
                <w:rFonts w:hint="eastAsia" w:cs="宋体"/>
                <w:color w:val="auto"/>
                <w:sz w:val="24"/>
                <w:szCs w:val="24"/>
                <w:highlight w:val="none"/>
                <w:lang w:val="en-US" w:eastAsia="zh-CN"/>
              </w:rPr>
              <w:t>金</w:t>
            </w:r>
            <w:r>
              <w:rPr>
                <w:rFonts w:hint="eastAsia" w:ascii="宋体" w:hAnsi="宋体" w:eastAsia="宋体" w:cs="宋体"/>
                <w:color w:val="auto"/>
                <w:sz w:val="24"/>
                <w:szCs w:val="24"/>
                <w:highlight w:val="none"/>
              </w:rPr>
              <w:t>待</w:t>
            </w:r>
            <w:r>
              <w:rPr>
                <w:rFonts w:hint="eastAsia" w:cs="宋体"/>
                <w:color w:val="auto"/>
                <w:sz w:val="24"/>
                <w:szCs w:val="24"/>
                <w:highlight w:val="none"/>
                <w:lang w:eastAsia="zh-CN"/>
              </w:rPr>
              <w:t>质保期结束设备</w:t>
            </w:r>
            <w:r>
              <w:rPr>
                <w:rFonts w:hint="eastAsia" w:ascii="宋体" w:hAnsi="宋体" w:eastAsia="宋体" w:cs="宋体"/>
                <w:color w:val="auto"/>
                <w:sz w:val="24"/>
                <w:szCs w:val="24"/>
                <w:highlight w:val="none"/>
              </w:rPr>
              <w:t>无任何质量问题后，买方支付剩余的合同货款。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noWrap w:val="0"/>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noWrap w:val="0"/>
            <w:vAlign w:val="center"/>
          </w:tcPr>
          <w:p>
            <w:pPr>
              <w:spacing w:line="360" w:lineRule="auto"/>
              <w:rPr>
                <w:rFonts w:ascii="宋体" w:hAnsi="宋体" w:cs="宋体"/>
                <w:spacing w:val="10"/>
                <w:sz w:val="24"/>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noWrap w:val="0"/>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noWrap w:val="0"/>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kern w:val="0"/>
          <w:sz w:val="24"/>
          <w:lang w:eastAsia="zh-CN"/>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jc w:val="center"/>
        <w:rPr>
          <w:rFonts w:hint="eastAsia" w:ascii="宋体" w:hAnsi="宋体" w:cs="宋体"/>
          <w:sz w:val="32"/>
          <w:szCs w:val="32"/>
        </w:rPr>
      </w:pPr>
    </w:p>
    <w:p>
      <w:pPr>
        <w:rPr>
          <w:rFonts w:hint="eastAsia" w:ascii="宋体" w:hAnsi="宋体" w:cs="宋体"/>
          <w:sz w:val="32"/>
          <w:szCs w:val="32"/>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3"/>
        <w:jc w:val="center"/>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4"/>
        <w:jc w:val="both"/>
        <w:rPr>
          <w:rFonts w:ascii="宋体" w:hAnsi="宋体" w:cs="宋体"/>
          <w:sz w:val="24"/>
          <w:lang w:val="zh-CN"/>
        </w:rPr>
      </w:pPr>
      <w:bookmarkStart w:id="14" w:name="_Toc23166"/>
      <w:bookmarkStart w:id="15" w:name="_Toc8673"/>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11984"/>
      <w:bookmarkStart w:id="18" w:name="_Toc25223"/>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1806"/>
      <w:bookmarkStart w:id="20" w:name="_Toc9394"/>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39965332"/>
      <w:bookmarkStart w:id="22" w:name="_Toc128372058"/>
      <w:bookmarkStart w:id="23" w:name="_Toc128372736"/>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22890"/>
      <w:bookmarkStart w:id="25" w:name="_Toc14148"/>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4654"/>
      <w:bookmarkStart w:id="27" w:name="_Toc29398"/>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183682347"/>
      <w:bookmarkStart w:id="30" w:name="_Toc217446039"/>
      <w:bookmarkStart w:id="31" w:name="_Toc183582210"/>
    </w:p>
    <w:p>
      <w:pPr>
        <w:pStyle w:val="4"/>
        <w:jc w:val="both"/>
        <w:rPr>
          <w:rFonts w:ascii="宋体" w:hAnsi="宋体" w:cs="宋体"/>
          <w:sz w:val="24"/>
          <w:lang w:val="zh-CN"/>
        </w:rPr>
      </w:pPr>
      <w:bookmarkStart w:id="32" w:name="_Toc14154"/>
      <w:bookmarkStart w:id="33" w:name="_Toc3450"/>
      <w:r>
        <w:rPr>
          <w:rFonts w:hint="eastAsia" w:ascii="宋体" w:hAnsi="宋体" w:cs="宋体"/>
          <w:sz w:val="24"/>
          <w:lang w:val="zh-CN"/>
        </w:rPr>
        <w:t>5．招标文件的构成</w:t>
      </w:r>
      <w:bookmarkEnd w:id="29"/>
      <w:bookmarkEnd w:id="30"/>
      <w:bookmarkEnd w:id="31"/>
      <w:bookmarkEnd w:id="32"/>
      <w:bookmarkEnd w:id="33"/>
    </w:p>
    <w:p>
      <w:pPr>
        <w:pStyle w:val="208"/>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8"/>
        <w:spacing w:line="360" w:lineRule="auto"/>
        <w:jc w:val="both"/>
        <w:rPr>
          <w:lang w:val="zh-CN"/>
        </w:rPr>
      </w:pPr>
      <w:r>
        <w:rPr>
          <w:rFonts w:hint="eastAsia"/>
          <w:lang w:val="zh-CN"/>
        </w:rPr>
        <w:t>5.1.1</w:t>
      </w:r>
      <w:r>
        <w:rPr>
          <w:rFonts w:hint="eastAsia"/>
          <w:color w:val="auto"/>
          <w:lang w:val="zh-CN"/>
        </w:rPr>
        <w:t>招标公告；</w:t>
      </w:r>
    </w:p>
    <w:p>
      <w:pPr>
        <w:pStyle w:val="208"/>
        <w:spacing w:line="360" w:lineRule="auto"/>
        <w:jc w:val="both"/>
        <w:rPr>
          <w:lang w:val="zh-CN"/>
        </w:rPr>
      </w:pPr>
      <w:r>
        <w:rPr>
          <w:rFonts w:hint="eastAsia"/>
          <w:lang w:val="zh-CN"/>
        </w:rPr>
        <w:t>5.1.2投标人须知；</w:t>
      </w:r>
    </w:p>
    <w:p>
      <w:pPr>
        <w:pStyle w:val="208"/>
        <w:spacing w:line="360" w:lineRule="auto"/>
        <w:jc w:val="both"/>
        <w:rPr>
          <w:lang w:val="zh-CN"/>
        </w:rPr>
      </w:pPr>
      <w:r>
        <w:rPr>
          <w:rFonts w:hint="eastAsia"/>
          <w:lang w:val="zh-CN"/>
        </w:rPr>
        <w:t>5.1.3投标文件格式；</w:t>
      </w:r>
    </w:p>
    <w:p>
      <w:pPr>
        <w:pStyle w:val="208"/>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8"/>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8"/>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8"/>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582211"/>
      <w:bookmarkStart w:id="35" w:name="_Toc183682348"/>
      <w:bookmarkStart w:id="36" w:name="_Toc217446040"/>
    </w:p>
    <w:p>
      <w:pPr>
        <w:pStyle w:val="4"/>
        <w:jc w:val="both"/>
        <w:rPr>
          <w:rFonts w:ascii="宋体" w:hAnsi="宋体" w:cs="宋体"/>
          <w:sz w:val="24"/>
          <w:lang w:val="zh-CN"/>
        </w:rPr>
      </w:pPr>
      <w:bookmarkStart w:id="37" w:name="_Toc31197"/>
      <w:bookmarkStart w:id="38" w:name="_Toc977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8"/>
        <w:spacing w:line="360" w:lineRule="auto"/>
        <w:jc w:val="both"/>
        <w:rPr>
          <w:lang w:val="zh-CN"/>
        </w:rPr>
      </w:pPr>
      <w:bookmarkStart w:id="39" w:name="_Toc183582213"/>
      <w:bookmarkStart w:id="40" w:name="_Toc208848971"/>
      <w:bookmarkStart w:id="41" w:name="_Toc183682350"/>
      <w:bookmarkStart w:id="42" w:name="_Toc217446041"/>
      <w:r>
        <w:rPr>
          <w:rFonts w:hint="eastAsia"/>
          <w:lang w:val="zh-CN"/>
        </w:rPr>
        <w:t>6.1在投标截止时间前，招标采购单位无论出于何种原因，可以对招标文件进行澄清或者修改。</w:t>
      </w:r>
    </w:p>
    <w:p>
      <w:pPr>
        <w:pStyle w:val="208"/>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8"/>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8"/>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8"/>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8"/>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8"/>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FF0000"/>
          <w:sz w:val="24"/>
          <w:lang w:val="zh-CN"/>
        </w:rPr>
      </w:pPr>
      <w:bookmarkStart w:id="43" w:name="_Toc14435"/>
      <w:bookmarkStart w:id="44" w:name="_Toc30906"/>
      <w:r>
        <w:rPr>
          <w:rFonts w:hint="eastAsia" w:ascii="宋体" w:hAnsi="宋体" w:cs="宋体"/>
          <w:color w:val="FF0000"/>
          <w:sz w:val="24"/>
          <w:lang w:val="zh-CN"/>
        </w:rPr>
        <w:t>现场踏勘（投标商可自行踏勘现场）</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77400780"/>
      <w:bookmarkStart w:id="46" w:name="_Toc183582214"/>
      <w:bookmarkStart w:id="47" w:name="_Toc217446042"/>
      <w:bookmarkStart w:id="48" w:name="_Toc89075876"/>
      <w:bookmarkStart w:id="49" w:name="_Toc183682351"/>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217446043"/>
      <w:bookmarkStart w:id="52" w:name="_Toc183582215"/>
      <w:bookmarkStart w:id="53" w:name="_Toc183682352"/>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21300"/>
      <w:bookmarkStart w:id="55" w:name="_Toc30487"/>
      <w:r>
        <w:rPr>
          <w:rFonts w:hint="eastAsia" w:ascii="宋体" w:hAnsi="宋体" w:cs="宋体"/>
          <w:sz w:val="24"/>
          <w:lang w:val="zh-CN"/>
        </w:rPr>
        <w:t>8．要求</w:t>
      </w:r>
      <w:bookmarkEnd w:id="54"/>
      <w:bookmarkEnd w:id="55"/>
    </w:p>
    <w:p>
      <w:pPr>
        <w:pStyle w:val="208"/>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8"/>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8"/>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1665"/>
      <w:bookmarkStart w:id="57" w:name="_Toc9029"/>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8"/>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8"/>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582216"/>
      <w:bookmarkStart w:id="59" w:name="_Toc217446044"/>
      <w:bookmarkStart w:id="60" w:name="_Toc183682353"/>
      <w:r>
        <w:rPr>
          <w:rFonts w:hint="eastAsia"/>
          <w:lang w:val="zh-CN"/>
        </w:rPr>
        <w:t>除签名、盖章、专用名称等特殊情形外，以中文以外的文字表述的投标文件，评标委员会有权拒绝其投标。</w:t>
      </w:r>
    </w:p>
    <w:bookmarkEnd w:id="58"/>
    <w:bookmarkEnd w:id="59"/>
    <w:bookmarkEnd w:id="60"/>
    <w:p>
      <w:pPr>
        <w:pStyle w:val="208"/>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28136"/>
      <w:bookmarkStart w:id="63" w:name="_Toc14511"/>
      <w:r>
        <w:rPr>
          <w:rFonts w:hint="eastAsia" w:ascii="宋体" w:hAnsi="宋体" w:cs="宋体"/>
          <w:sz w:val="24"/>
          <w:lang w:val="zh-CN"/>
        </w:rPr>
        <w:t>10.投标货币</w:t>
      </w:r>
      <w:bookmarkEnd w:id="61"/>
      <w:bookmarkEnd w:id="62"/>
      <w:bookmarkEnd w:id="63"/>
    </w:p>
    <w:p>
      <w:pPr>
        <w:pStyle w:val="208"/>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8"/>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20228"/>
      <w:bookmarkStart w:id="69" w:name="_Toc13413"/>
      <w:r>
        <w:rPr>
          <w:rFonts w:hint="eastAsia" w:ascii="宋体" w:hAnsi="宋体" w:cs="宋体"/>
          <w:sz w:val="24"/>
          <w:lang w:val="zh-CN"/>
        </w:rPr>
        <w:t>12.知识产权</w:t>
      </w:r>
      <w:bookmarkEnd w:id="67"/>
      <w:bookmarkEnd w:id="68"/>
      <w:bookmarkEnd w:id="69"/>
    </w:p>
    <w:p>
      <w:pPr>
        <w:pStyle w:val="208"/>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8"/>
        <w:spacing w:line="360" w:lineRule="auto"/>
        <w:jc w:val="both"/>
        <w:rPr>
          <w:lang w:val="zh-CN"/>
        </w:rPr>
      </w:pPr>
      <w:r>
        <w:rPr>
          <w:rFonts w:hint="eastAsia"/>
          <w:lang w:val="zh-CN"/>
        </w:rPr>
        <w:t>12.2采购人享有本项目实施过程中产生的知识成果及知识产权。</w:t>
      </w:r>
    </w:p>
    <w:p>
      <w:pPr>
        <w:pStyle w:val="208"/>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8"/>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183582217"/>
      <w:bookmarkStart w:id="71" w:name="_Toc183682354"/>
      <w:bookmarkStart w:id="72" w:name="_Toc217446048"/>
    </w:p>
    <w:p>
      <w:pPr>
        <w:pStyle w:val="4"/>
        <w:jc w:val="both"/>
        <w:rPr>
          <w:rFonts w:ascii="宋体" w:hAnsi="宋体" w:cs="宋体"/>
          <w:sz w:val="24"/>
          <w:lang w:val="zh-CN"/>
        </w:rPr>
      </w:pPr>
      <w:bookmarkStart w:id="73" w:name="_Toc30454"/>
      <w:bookmarkStart w:id="74" w:name="_Toc14077"/>
      <w:r>
        <w:rPr>
          <w:rFonts w:hint="eastAsia" w:ascii="宋体" w:hAnsi="宋体" w:cs="宋体"/>
          <w:sz w:val="24"/>
          <w:lang w:val="zh-CN"/>
        </w:rPr>
        <w:t>13．投标文件的组成</w:t>
      </w:r>
      <w:bookmarkEnd w:id="70"/>
      <w:bookmarkEnd w:id="71"/>
      <w:bookmarkEnd w:id="72"/>
      <w:bookmarkEnd w:id="73"/>
      <w:bookmarkEnd w:id="74"/>
    </w:p>
    <w:p>
      <w:pPr>
        <w:pStyle w:val="208"/>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8"/>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8"/>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8"/>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8"/>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8"/>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8"/>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8"/>
        <w:spacing w:line="360" w:lineRule="auto"/>
        <w:ind w:firstLine="480" w:firstLineChars="200"/>
        <w:jc w:val="both"/>
        <w:rPr>
          <w:lang w:val="zh-CN"/>
        </w:rPr>
      </w:pPr>
      <w:r>
        <w:rPr>
          <w:rFonts w:hint="eastAsia"/>
          <w:lang w:val="zh-CN"/>
        </w:rPr>
        <w:t>（1）投标产品的品牌、型号、配置；</w:t>
      </w:r>
    </w:p>
    <w:p>
      <w:pPr>
        <w:pStyle w:val="208"/>
        <w:spacing w:line="360" w:lineRule="auto"/>
        <w:ind w:firstLine="480" w:firstLineChars="200"/>
        <w:jc w:val="both"/>
        <w:rPr>
          <w:lang w:val="zh-CN"/>
        </w:rPr>
      </w:pPr>
      <w:r>
        <w:rPr>
          <w:rFonts w:hint="eastAsia"/>
          <w:lang w:val="zh-CN"/>
        </w:rPr>
        <w:t>（2）详细的技术指标和参数；</w:t>
      </w:r>
    </w:p>
    <w:p>
      <w:pPr>
        <w:pStyle w:val="208"/>
        <w:spacing w:line="360" w:lineRule="auto"/>
        <w:ind w:firstLine="480" w:firstLineChars="200"/>
        <w:jc w:val="both"/>
        <w:rPr>
          <w:lang w:val="zh-CN"/>
        </w:rPr>
      </w:pPr>
      <w:r>
        <w:rPr>
          <w:rFonts w:hint="eastAsia"/>
          <w:lang w:val="zh-CN"/>
        </w:rPr>
        <w:t>（3）技术方案、项目实施方案；</w:t>
      </w:r>
    </w:p>
    <w:p>
      <w:pPr>
        <w:pStyle w:val="208"/>
        <w:spacing w:line="360" w:lineRule="auto"/>
        <w:ind w:firstLine="480" w:firstLineChars="200"/>
        <w:jc w:val="both"/>
        <w:rPr>
          <w:lang w:val="zh-CN"/>
        </w:rPr>
      </w:pPr>
      <w:r>
        <w:rPr>
          <w:rFonts w:hint="eastAsia"/>
          <w:lang w:val="zh-CN"/>
        </w:rPr>
        <w:t>（4）技术偏离表；</w:t>
      </w:r>
    </w:p>
    <w:p>
      <w:pPr>
        <w:pStyle w:val="208"/>
        <w:spacing w:line="360" w:lineRule="auto"/>
        <w:ind w:firstLine="480" w:firstLineChars="200"/>
        <w:jc w:val="both"/>
        <w:rPr>
          <w:lang w:val="zh-CN"/>
        </w:rPr>
      </w:pPr>
      <w:r>
        <w:rPr>
          <w:rFonts w:hint="eastAsia"/>
          <w:lang w:val="zh-CN"/>
        </w:rPr>
        <w:t>（5）说明书或产品介绍或产品合格证等证明材料；</w:t>
      </w:r>
    </w:p>
    <w:p>
      <w:pPr>
        <w:pStyle w:val="208"/>
        <w:spacing w:line="360" w:lineRule="auto"/>
        <w:ind w:firstLine="480" w:firstLineChars="200"/>
        <w:jc w:val="both"/>
        <w:rPr>
          <w:lang w:val="zh-CN"/>
        </w:rPr>
      </w:pPr>
      <w:r>
        <w:rPr>
          <w:rFonts w:hint="eastAsia"/>
          <w:lang w:val="zh-CN"/>
        </w:rPr>
        <w:t>（6）产品工作环境条件；</w:t>
      </w:r>
    </w:p>
    <w:p>
      <w:pPr>
        <w:pStyle w:val="208"/>
        <w:spacing w:line="360" w:lineRule="auto"/>
        <w:ind w:firstLine="480" w:firstLineChars="200"/>
        <w:jc w:val="both"/>
        <w:rPr>
          <w:lang w:val="zh-CN"/>
        </w:rPr>
      </w:pPr>
      <w:r>
        <w:rPr>
          <w:rFonts w:hint="eastAsia"/>
          <w:lang w:val="zh-CN"/>
        </w:rPr>
        <w:t>（7）产品验收标准和验收方法；</w:t>
      </w:r>
    </w:p>
    <w:p>
      <w:pPr>
        <w:pStyle w:val="208"/>
        <w:spacing w:line="360" w:lineRule="auto"/>
        <w:ind w:firstLine="480" w:firstLineChars="200"/>
        <w:jc w:val="both"/>
        <w:rPr>
          <w:lang w:val="zh-CN"/>
        </w:rPr>
      </w:pPr>
      <w:r>
        <w:rPr>
          <w:rFonts w:hint="eastAsia"/>
          <w:lang w:val="zh-CN"/>
        </w:rPr>
        <w:t>（8）产品验收清单（注明各部件的品名、数量、价格、规格型号和原产地或生产厂家）；</w:t>
      </w:r>
    </w:p>
    <w:p>
      <w:pPr>
        <w:pStyle w:val="208"/>
        <w:spacing w:line="360" w:lineRule="auto"/>
        <w:ind w:firstLine="480" w:firstLineChars="200"/>
        <w:jc w:val="both"/>
        <w:rPr>
          <w:highlight w:val="green"/>
          <w:lang w:val="zh-CN"/>
        </w:rPr>
      </w:pPr>
      <w:r>
        <w:rPr>
          <w:rFonts w:hint="eastAsia"/>
          <w:lang w:val="zh-CN"/>
        </w:rPr>
        <w:t>（9）投标人认为需要提供的文件和资料。</w:t>
      </w:r>
    </w:p>
    <w:p>
      <w:pPr>
        <w:pStyle w:val="208"/>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8"/>
        <w:spacing w:line="360" w:lineRule="auto"/>
        <w:jc w:val="both"/>
        <w:rPr>
          <w:rFonts w:hint="eastAsia"/>
          <w:lang w:val="en-US" w:eastAsia="zh-CN"/>
        </w:rPr>
      </w:pPr>
      <w:r>
        <w:rPr>
          <w:rFonts w:hint="eastAsia"/>
          <w:lang w:val="en-US" w:eastAsia="zh-CN"/>
        </w:rPr>
        <w:t>13.3.1投标人资格证明文件</w:t>
      </w:r>
    </w:p>
    <w:p>
      <w:pPr>
        <w:pStyle w:val="208"/>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8"/>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8"/>
        <w:spacing w:line="360" w:lineRule="auto"/>
        <w:ind w:firstLine="480" w:firstLineChars="200"/>
        <w:jc w:val="both"/>
        <w:rPr>
          <w:rFonts w:hint="eastAsia"/>
          <w:lang w:val="en-US" w:eastAsia="zh-CN"/>
        </w:rPr>
      </w:pPr>
      <w:r>
        <w:rPr>
          <w:rFonts w:hint="eastAsia"/>
          <w:lang w:val="en-US" w:eastAsia="zh-CN"/>
        </w:rPr>
        <w:t>（1）投标函</w:t>
      </w:r>
    </w:p>
    <w:p>
      <w:pPr>
        <w:pStyle w:val="208"/>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8"/>
        <w:spacing w:line="360" w:lineRule="auto"/>
        <w:ind w:firstLine="480" w:firstLineChars="200"/>
        <w:jc w:val="both"/>
        <w:rPr>
          <w:rFonts w:hint="eastAsia"/>
          <w:lang w:val="en-US" w:eastAsia="zh-CN"/>
        </w:rPr>
      </w:pPr>
      <w:r>
        <w:rPr>
          <w:rFonts w:hint="eastAsia"/>
          <w:lang w:val="en-US" w:eastAsia="zh-CN"/>
        </w:rPr>
        <w:t>（3）商务偏离表</w:t>
      </w:r>
    </w:p>
    <w:p>
      <w:pPr>
        <w:pStyle w:val="208"/>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8"/>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8"/>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29764"/>
      <w:bookmarkStart w:id="76" w:name="_Toc217446049"/>
      <w:bookmarkStart w:id="77" w:name="_Toc28852"/>
      <w:bookmarkStart w:id="78" w:name="_Toc183582218"/>
      <w:bookmarkStart w:id="79" w:name="_Toc183682355"/>
      <w:r>
        <w:rPr>
          <w:rFonts w:hint="eastAsia" w:ascii="宋体" w:hAnsi="宋体" w:cs="宋体"/>
          <w:sz w:val="24"/>
          <w:lang w:val="zh-CN"/>
        </w:rPr>
        <w:t>14．投标文件格式</w:t>
      </w:r>
      <w:bookmarkEnd w:id="75"/>
      <w:bookmarkEnd w:id="76"/>
      <w:bookmarkEnd w:id="77"/>
      <w:bookmarkEnd w:id="78"/>
      <w:bookmarkEnd w:id="79"/>
    </w:p>
    <w:p>
      <w:pPr>
        <w:pStyle w:val="208"/>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8"/>
        <w:spacing w:line="360" w:lineRule="auto"/>
        <w:jc w:val="both"/>
        <w:rPr>
          <w:lang w:val="zh-CN"/>
        </w:rPr>
      </w:pPr>
      <w:r>
        <w:rPr>
          <w:rFonts w:hint="eastAsia"/>
          <w:lang w:val="zh-CN"/>
        </w:rPr>
        <w:t>14.2对于没有格式要求的投标文件由投标人自行编写。</w:t>
      </w:r>
      <w:bookmarkStart w:id="80" w:name="_Toc217446050"/>
      <w:bookmarkStart w:id="81" w:name="_Toc183582223"/>
      <w:bookmarkStart w:id="82" w:name="_Toc183682360"/>
    </w:p>
    <w:p>
      <w:pPr>
        <w:pStyle w:val="4"/>
        <w:jc w:val="both"/>
        <w:rPr>
          <w:rFonts w:ascii="宋体" w:hAnsi="宋体" w:cs="宋体"/>
          <w:sz w:val="24"/>
          <w:lang w:val="zh-CN"/>
        </w:rPr>
      </w:pPr>
      <w:bookmarkStart w:id="83" w:name="_Toc23893"/>
      <w:bookmarkStart w:id="84" w:name="_Toc28112"/>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17446051"/>
      <w:bookmarkStart w:id="86" w:name="_Toc31286"/>
      <w:bookmarkStart w:id="87" w:name="_Toc183682361"/>
      <w:bookmarkStart w:id="88" w:name="_Toc183582224"/>
      <w:bookmarkStart w:id="89" w:name="_Toc28500"/>
      <w:r>
        <w:rPr>
          <w:rFonts w:hint="eastAsia" w:ascii="宋体" w:hAnsi="宋体" w:cs="宋体"/>
          <w:sz w:val="24"/>
          <w:lang w:val="zh-CN"/>
        </w:rPr>
        <w:t>16．投标有效期</w:t>
      </w:r>
      <w:bookmarkEnd w:id="85"/>
      <w:bookmarkEnd w:id="86"/>
      <w:bookmarkEnd w:id="87"/>
      <w:bookmarkEnd w:id="88"/>
      <w:bookmarkEnd w:id="89"/>
    </w:p>
    <w:p>
      <w:pPr>
        <w:pStyle w:val="208"/>
        <w:spacing w:line="360" w:lineRule="auto"/>
        <w:jc w:val="both"/>
        <w:rPr>
          <w:lang w:val="zh-CN"/>
        </w:rPr>
      </w:pPr>
      <w:r>
        <w:rPr>
          <w:rFonts w:hint="eastAsia"/>
          <w:lang w:val="zh-CN"/>
        </w:rPr>
        <w:t>16.1投标有效期见投标人须知前附表。投标有效期短于此规定期限的投标，将被拒绝。</w:t>
      </w:r>
    </w:p>
    <w:p>
      <w:pPr>
        <w:pStyle w:val="208"/>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217446052"/>
      <w:bookmarkStart w:id="92" w:name="_Toc183582225"/>
    </w:p>
    <w:p>
      <w:pPr>
        <w:pStyle w:val="4"/>
        <w:jc w:val="both"/>
        <w:rPr>
          <w:rFonts w:ascii="宋体" w:hAnsi="宋体" w:cs="宋体"/>
          <w:sz w:val="24"/>
          <w:lang w:val="zh-CN"/>
        </w:rPr>
      </w:pPr>
      <w:bookmarkStart w:id="93" w:name="_Toc596"/>
      <w:bookmarkStart w:id="94" w:name="_Toc16741"/>
      <w:r>
        <w:rPr>
          <w:rFonts w:hint="eastAsia" w:ascii="宋体" w:hAnsi="宋体" w:cs="宋体"/>
          <w:sz w:val="24"/>
          <w:lang w:val="zh-CN"/>
        </w:rPr>
        <w:t>17．投标文件的印制和签署</w:t>
      </w:r>
      <w:bookmarkEnd w:id="90"/>
      <w:bookmarkEnd w:id="91"/>
      <w:bookmarkEnd w:id="92"/>
      <w:bookmarkEnd w:id="93"/>
      <w:bookmarkEnd w:id="94"/>
    </w:p>
    <w:p>
      <w:pPr>
        <w:pStyle w:val="208"/>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8"/>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8"/>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8"/>
        <w:spacing w:line="360" w:lineRule="auto"/>
        <w:jc w:val="both"/>
        <w:rPr>
          <w:lang w:val="zh-CN"/>
        </w:rPr>
      </w:pPr>
      <w:r>
        <w:rPr>
          <w:rFonts w:hint="eastAsia"/>
          <w:lang w:val="zh-CN"/>
        </w:rPr>
        <w:t>17.4投标文件正本和副本必须装订成册并逐页编目编码且使用无线胶装。</w:t>
      </w:r>
    </w:p>
    <w:p>
      <w:pPr>
        <w:pStyle w:val="208"/>
        <w:spacing w:line="360" w:lineRule="auto"/>
        <w:jc w:val="both"/>
        <w:rPr>
          <w:lang w:val="zh-CN"/>
        </w:rPr>
      </w:pPr>
      <w:r>
        <w:rPr>
          <w:rFonts w:hint="eastAsia"/>
          <w:lang w:val="zh-CN"/>
        </w:rPr>
        <w:t>17.5投标文件应根据招标文件的要求制作，签署、盖章和内容应完整，如有遗漏，将被视为无效投标。</w:t>
      </w:r>
    </w:p>
    <w:p>
      <w:pPr>
        <w:pStyle w:val="208"/>
        <w:spacing w:line="360" w:lineRule="auto"/>
        <w:jc w:val="both"/>
        <w:rPr>
          <w:lang w:val="zh-CN"/>
        </w:rPr>
      </w:pPr>
      <w:r>
        <w:rPr>
          <w:rFonts w:hint="eastAsia"/>
          <w:lang w:val="zh-CN"/>
        </w:rPr>
        <w:t>17.6投标文件统一用A4幅面纸印制。</w:t>
      </w:r>
    </w:p>
    <w:p>
      <w:pPr>
        <w:pStyle w:val="208"/>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77400781"/>
      <w:bookmarkStart w:id="97" w:name="_Toc183582226"/>
      <w:bookmarkStart w:id="98" w:name="_Toc89075877"/>
      <w:bookmarkStart w:id="99" w:name="_Toc217446053"/>
    </w:p>
    <w:p>
      <w:pPr>
        <w:pStyle w:val="4"/>
        <w:jc w:val="both"/>
        <w:rPr>
          <w:rFonts w:ascii="宋体" w:hAnsi="宋体" w:cs="宋体"/>
          <w:sz w:val="24"/>
          <w:lang w:val="zh-CN"/>
        </w:rPr>
      </w:pPr>
      <w:bookmarkStart w:id="100" w:name="_Toc17395"/>
      <w:bookmarkStart w:id="101" w:name="_Toc22719"/>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582227"/>
      <w:bookmarkStart w:id="103" w:name="_Toc183682364"/>
      <w:bookmarkStart w:id="104" w:name="_Toc217446054"/>
    </w:p>
    <w:p>
      <w:pPr>
        <w:pStyle w:val="208"/>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8"/>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8"/>
        <w:spacing w:line="360" w:lineRule="auto"/>
        <w:jc w:val="both"/>
        <w:rPr>
          <w:rFonts w:hint="eastAsia"/>
          <w:lang w:val="zh-CN"/>
        </w:rPr>
      </w:pPr>
      <w:r>
        <w:rPr>
          <w:rFonts w:hint="eastAsia"/>
          <w:lang w:val="zh-CN"/>
        </w:rPr>
        <w:t>采购人：</w:t>
      </w:r>
      <w:r>
        <w:rPr>
          <w:rFonts w:hint="eastAsia"/>
          <w:lang w:val="zh-CN"/>
        </w:rPr>
        <w:tab/>
      </w:r>
    </w:p>
    <w:p>
      <w:pPr>
        <w:pStyle w:val="208"/>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招标文件编号：</w:t>
      </w:r>
      <w:r>
        <w:rPr>
          <w:rFonts w:hint="eastAsia"/>
          <w:lang w:val="zh-CN"/>
        </w:rPr>
        <w:tab/>
      </w:r>
    </w:p>
    <w:p>
      <w:pPr>
        <w:pStyle w:val="208"/>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详细地址：</w:t>
      </w:r>
      <w:r>
        <w:rPr>
          <w:rFonts w:hint="eastAsia"/>
          <w:lang w:val="zh-CN"/>
        </w:rPr>
        <w:tab/>
      </w:r>
    </w:p>
    <w:p>
      <w:pPr>
        <w:pStyle w:val="208"/>
        <w:spacing w:line="360" w:lineRule="auto"/>
        <w:jc w:val="both"/>
        <w:rPr>
          <w:rFonts w:hint="eastAsia"/>
          <w:lang w:val="zh-CN"/>
        </w:rPr>
      </w:pPr>
      <w:r>
        <w:rPr>
          <w:rFonts w:hint="eastAsia"/>
          <w:lang w:val="zh-CN"/>
        </w:rPr>
        <w:t>日期：</w:t>
      </w:r>
    </w:p>
    <w:p>
      <w:pPr>
        <w:pStyle w:val="208"/>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5881"/>
      <w:bookmarkStart w:id="106" w:name="_Toc24373"/>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8"/>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8"/>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8"/>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716"/>
      <w:bookmarkStart w:id="111" w:name="_Toc15644"/>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8"/>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8"/>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8"/>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183682369"/>
      <w:bookmarkStart w:id="114" w:name="_Toc183582232"/>
      <w:bookmarkStart w:id="115" w:name="_Toc217446057"/>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8"/>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8"/>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8"/>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8"/>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7344"/>
      <w:bookmarkStart w:id="120"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8"/>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8"/>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8"/>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8"/>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8"/>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8"/>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8"/>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8"/>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8"/>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8"/>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8"/>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8"/>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8"/>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8"/>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8"/>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8"/>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8"/>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8"/>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8"/>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8"/>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8"/>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8"/>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8"/>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8"/>
        <w:spacing w:line="360" w:lineRule="auto"/>
        <w:jc w:val="both"/>
        <w:rPr>
          <w:rFonts w:hint="eastAsia"/>
          <w:b/>
          <w:bCs/>
          <w:lang w:val="en-US" w:eastAsia="zh-CN"/>
        </w:rPr>
      </w:pPr>
      <w:r>
        <w:rPr>
          <w:rFonts w:hint="eastAsia"/>
          <w:b/>
          <w:bCs/>
          <w:lang w:val="en-US" w:eastAsia="zh-CN"/>
        </w:rPr>
        <w:t>25.投标的评估和比较</w:t>
      </w:r>
    </w:p>
    <w:p>
      <w:pPr>
        <w:pStyle w:val="208"/>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8"/>
        <w:spacing w:line="360" w:lineRule="auto"/>
        <w:jc w:val="both"/>
        <w:rPr>
          <w:rFonts w:hint="eastAsia"/>
          <w:b/>
          <w:bCs/>
          <w:lang w:val="en-US" w:eastAsia="zh-CN"/>
        </w:rPr>
      </w:pPr>
      <w:r>
        <w:rPr>
          <w:rFonts w:hint="eastAsia"/>
          <w:b/>
          <w:bCs/>
          <w:lang w:val="en-US" w:eastAsia="zh-CN"/>
        </w:rPr>
        <w:t>26.评标原则和评标方法</w:t>
      </w:r>
    </w:p>
    <w:p>
      <w:pPr>
        <w:pStyle w:val="208"/>
        <w:spacing w:line="360" w:lineRule="auto"/>
        <w:jc w:val="both"/>
        <w:rPr>
          <w:rFonts w:hint="eastAsia"/>
          <w:lang w:val="en-US" w:eastAsia="zh-CN"/>
        </w:rPr>
      </w:pPr>
      <w:r>
        <w:rPr>
          <w:rFonts w:hint="eastAsia"/>
          <w:lang w:val="en-US" w:eastAsia="zh-CN"/>
        </w:rPr>
        <w:t>26.1评标原则</w:t>
      </w:r>
    </w:p>
    <w:p>
      <w:pPr>
        <w:pStyle w:val="208"/>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8"/>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8"/>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8"/>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8"/>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8"/>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8"/>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8"/>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8"/>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8"/>
        <w:spacing w:line="360" w:lineRule="auto"/>
        <w:jc w:val="both"/>
        <w:rPr>
          <w:rFonts w:hint="eastAsia"/>
          <w:lang w:val="en-US" w:eastAsia="zh-CN"/>
        </w:rPr>
      </w:pPr>
      <w:r>
        <w:rPr>
          <w:rFonts w:hint="eastAsia"/>
          <w:lang w:val="en-US" w:eastAsia="zh-CN"/>
        </w:rPr>
        <w:t>26.2.2最低评标价法</w:t>
      </w:r>
    </w:p>
    <w:p>
      <w:pPr>
        <w:pStyle w:val="208"/>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8"/>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8"/>
        <w:spacing w:line="360" w:lineRule="auto"/>
        <w:jc w:val="both"/>
        <w:rPr>
          <w:rFonts w:hint="eastAsia"/>
          <w:b/>
          <w:bCs/>
          <w:lang w:val="en-US" w:eastAsia="zh-CN"/>
        </w:rPr>
      </w:pPr>
      <w:r>
        <w:rPr>
          <w:rFonts w:hint="eastAsia"/>
          <w:b/>
          <w:bCs/>
          <w:lang w:val="en-US" w:eastAsia="zh-CN"/>
        </w:rPr>
        <w:t>27.其他注意事项</w:t>
      </w:r>
    </w:p>
    <w:p>
      <w:pPr>
        <w:pStyle w:val="208"/>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8"/>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8"/>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25683"/>
      <w:bookmarkStart w:id="124"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8"/>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8"/>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41"/>
      <w:bookmarkStart w:id="130" w:name="_Toc25170"/>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582240"/>
      <w:bookmarkStart w:id="133" w:name="_Toc183682377"/>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8"/>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8"/>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8"/>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334"/>
      <w:bookmarkStart w:id="139" w:name="_Toc217446066"/>
      <w:bookmarkStart w:id="140" w:name="_Toc1905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8"/>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8"/>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8"/>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13021"/>
      <w:bookmarkStart w:id="143"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8"/>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8"/>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8"/>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8"/>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8"/>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8"/>
        <w:spacing w:line="360" w:lineRule="auto"/>
        <w:ind w:firstLine="480" w:firstLineChars="200"/>
        <w:jc w:val="both"/>
        <w:rPr>
          <w:lang w:val="zh-CN"/>
        </w:rPr>
      </w:pPr>
      <w:r>
        <w:rPr>
          <w:rFonts w:hint="eastAsia"/>
          <w:lang w:val="zh-CN"/>
        </w:rPr>
        <w:t>（2）出现影响采购公正的违法、违规行为的；</w:t>
      </w:r>
    </w:p>
    <w:p>
      <w:pPr>
        <w:pStyle w:val="208"/>
        <w:spacing w:line="360" w:lineRule="auto"/>
        <w:ind w:firstLine="480" w:firstLineChars="200"/>
        <w:jc w:val="both"/>
        <w:rPr>
          <w:lang w:val="zh-CN"/>
        </w:rPr>
      </w:pPr>
      <w:r>
        <w:rPr>
          <w:rFonts w:hint="eastAsia"/>
          <w:lang w:val="zh-CN"/>
        </w:rPr>
        <w:t>（3）投标人的报价均超过了采购预算，采购人不能支付的；</w:t>
      </w:r>
    </w:p>
    <w:p>
      <w:pPr>
        <w:pStyle w:val="208"/>
        <w:spacing w:line="360" w:lineRule="auto"/>
        <w:ind w:firstLine="480" w:firstLineChars="200"/>
        <w:jc w:val="both"/>
        <w:rPr>
          <w:lang w:val="zh-CN"/>
        </w:rPr>
      </w:pPr>
      <w:r>
        <w:rPr>
          <w:rFonts w:hint="eastAsia"/>
          <w:lang w:val="zh-CN"/>
        </w:rPr>
        <w:t>（4）因重大变故，采购任务取消的。</w:t>
      </w:r>
    </w:p>
    <w:p>
      <w:pPr>
        <w:pStyle w:val="208"/>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8"/>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8"/>
        <w:spacing w:line="360" w:lineRule="auto"/>
        <w:jc w:val="both"/>
        <w:rPr>
          <w:rFonts w:hint="eastAsia"/>
          <w:lang w:val="en-US" w:eastAsia="zh-CN"/>
        </w:rPr>
      </w:pPr>
      <w:r>
        <w:rPr>
          <w:rFonts w:hint="eastAsia"/>
          <w:lang w:val="en-US" w:eastAsia="zh-CN"/>
        </w:rPr>
        <w:t>（一）不同投标人的投标文件由同一单位或者个人编制；</w:t>
      </w:r>
    </w:p>
    <w:p>
      <w:pPr>
        <w:pStyle w:val="208"/>
        <w:spacing w:line="360" w:lineRule="auto"/>
        <w:jc w:val="both"/>
        <w:rPr>
          <w:rFonts w:hint="eastAsia"/>
          <w:lang w:val="en-US" w:eastAsia="zh-CN"/>
        </w:rPr>
      </w:pPr>
      <w:r>
        <w:rPr>
          <w:rFonts w:hint="eastAsia"/>
          <w:lang w:val="en-US" w:eastAsia="zh-CN"/>
        </w:rPr>
        <w:t>（二）不同投标人委托同一单位或者个人办理投标事宜；</w:t>
      </w:r>
    </w:p>
    <w:p>
      <w:pPr>
        <w:pStyle w:val="208"/>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8"/>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8"/>
        <w:spacing w:line="360" w:lineRule="auto"/>
        <w:jc w:val="both"/>
        <w:rPr>
          <w:rFonts w:hint="eastAsia"/>
          <w:lang w:val="en-US" w:eastAsia="zh-CN"/>
        </w:rPr>
      </w:pPr>
      <w:r>
        <w:rPr>
          <w:rFonts w:hint="eastAsia"/>
          <w:lang w:val="en-US" w:eastAsia="zh-CN"/>
        </w:rPr>
        <w:t>（五）不同投标人的投标文件相互混装；</w:t>
      </w:r>
    </w:p>
    <w:p>
      <w:pPr>
        <w:pStyle w:val="208"/>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2938"/>
      <w:bookmarkStart w:id="159"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8"/>
        <w:spacing w:line="360" w:lineRule="auto"/>
        <w:ind w:firstLine="480" w:firstLineChars="200"/>
        <w:jc w:val="both"/>
        <w:rPr>
          <w:lang w:val="zh-CN"/>
        </w:rPr>
      </w:pPr>
      <w:r>
        <w:rPr>
          <w:rFonts w:hint="eastAsia"/>
          <w:lang w:val="zh-CN"/>
        </w:rPr>
        <w:t>投标人参加投标不得有下列情形：</w:t>
      </w:r>
    </w:p>
    <w:p>
      <w:pPr>
        <w:pStyle w:val="208"/>
        <w:spacing w:line="360" w:lineRule="auto"/>
        <w:ind w:firstLine="480" w:firstLineChars="200"/>
        <w:jc w:val="both"/>
        <w:rPr>
          <w:lang w:val="zh-CN"/>
        </w:rPr>
      </w:pPr>
      <w:r>
        <w:rPr>
          <w:rFonts w:hint="eastAsia"/>
          <w:lang w:val="zh-CN"/>
        </w:rPr>
        <w:t>（1）提供虚假材料谋取中标；</w:t>
      </w:r>
    </w:p>
    <w:p>
      <w:pPr>
        <w:pStyle w:val="208"/>
        <w:spacing w:line="360" w:lineRule="auto"/>
        <w:ind w:firstLine="480" w:firstLineChars="200"/>
        <w:jc w:val="both"/>
        <w:rPr>
          <w:lang w:val="zh-CN"/>
        </w:rPr>
      </w:pPr>
      <w:r>
        <w:rPr>
          <w:rFonts w:hint="eastAsia"/>
          <w:lang w:val="zh-CN"/>
        </w:rPr>
        <w:t>（2）采取不正当手段诋毁、排挤其他投标人；</w:t>
      </w:r>
    </w:p>
    <w:p>
      <w:pPr>
        <w:pStyle w:val="208"/>
        <w:spacing w:line="360" w:lineRule="auto"/>
        <w:ind w:firstLine="480" w:firstLineChars="200"/>
        <w:jc w:val="both"/>
        <w:rPr>
          <w:lang w:val="zh-CN"/>
        </w:rPr>
      </w:pPr>
      <w:r>
        <w:rPr>
          <w:rFonts w:hint="eastAsia"/>
          <w:lang w:val="zh-CN"/>
        </w:rPr>
        <w:t>（3）与招标采购单位、其他投标人恶意串通；</w:t>
      </w:r>
    </w:p>
    <w:p>
      <w:pPr>
        <w:pStyle w:val="208"/>
        <w:spacing w:line="360" w:lineRule="auto"/>
        <w:ind w:firstLine="480" w:firstLineChars="200"/>
        <w:jc w:val="both"/>
        <w:rPr>
          <w:lang w:val="zh-CN"/>
        </w:rPr>
      </w:pPr>
      <w:r>
        <w:rPr>
          <w:rFonts w:hint="eastAsia"/>
          <w:lang w:val="zh-CN"/>
        </w:rPr>
        <w:t>（4）向招标采购单位、评标委员会成员行贿或者提供其他不正当利益；</w:t>
      </w:r>
    </w:p>
    <w:p>
      <w:pPr>
        <w:pStyle w:val="208"/>
        <w:spacing w:line="360" w:lineRule="auto"/>
        <w:ind w:firstLine="480" w:firstLineChars="200"/>
        <w:jc w:val="both"/>
        <w:rPr>
          <w:lang w:val="zh-CN"/>
        </w:rPr>
      </w:pPr>
      <w:r>
        <w:rPr>
          <w:rFonts w:hint="eastAsia"/>
          <w:lang w:val="zh-CN"/>
        </w:rPr>
        <w:t>（5）在招标过程中与招标采购单位进行协商谈判；</w:t>
      </w:r>
    </w:p>
    <w:p>
      <w:pPr>
        <w:pStyle w:val="208"/>
        <w:spacing w:line="360" w:lineRule="auto"/>
        <w:ind w:firstLine="480" w:firstLineChars="200"/>
        <w:jc w:val="both"/>
        <w:rPr>
          <w:lang w:val="zh-CN"/>
        </w:rPr>
      </w:pPr>
      <w:r>
        <w:rPr>
          <w:rFonts w:hint="eastAsia"/>
          <w:lang w:val="zh-CN"/>
        </w:rPr>
        <w:t>（6）拒绝有关部门的监督检查或者向监督检查部门提供虚假情况。</w:t>
      </w:r>
    </w:p>
    <w:p>
      <w:pPr>
        <w:pStyle w:val="208"/>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8"/>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32433"/>
      <w:bookmarkStart w:id="164" w:name="_Toc8012"/>
      <w:bookmarkStart w:id="165" w:name="_Toc25131"/>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32409"/>
      <w:bookmarkStart w:id="167" w:name="_Toc1308"/>
      <w:bookmarkStart w:id="168" w:name="_Toc23620"/>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3368"/>
      <w:bookmarkStart w:id="170" w:name="_Toc4489"/>
      <w:bookmarkStart w:id="171" w:name="_Toc20085"/>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16202"/>
      <w:bookmarkStart w:id="176" w:name="_Toc8333"/>
      <w:bookmarkStart w:id="177" w:name="_Toc28450"/>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color w:val="000000" w:themeColor="text1"/>
          <w:sz w:val="32"/>
          <w:szCs w:val="32"/>
          <w14:textFill>
            <w14:solidFill>
              <w14:schemeClr w14:val="tx1"/>
            </w14:solidFill>
          </w14:textFill>
        </w:rPr>
      </w:pPr>
      <w:bookmarkStart w:id="179" w:name="_Toc20581"/>
      <w:r>
        <w:rPr>
          <w:rFonts w:hint="eastAsia" w:ascii="宋体" w:hAnsi="宋体" w:cs="宋体"/>
          <w:color w:val="000000" w:themeColor="text1"/>
          <w:sz w:val="32"/>
          <w:szCs w:val="32"/>
          <w:lang w:val="en-US" w:eastAsia="zh-CN"/>
          <w14:textFill>
            <w14:solidFill>
              <w14:schemeClr w14:val="tx1"/>
            </w14:solidFill>
          </w14:textFill>
        </w:rPr>
        <w:t xml:space="preserve"> </w:t>
      </w:r>
      <w:r>
        <w:rPr>
          <w:rFonts w:hint="eastAsia" w:ascii="宋体" w:hAnsi="宋体" w:cs="宋体"/>
          <w:color w:val="000000" w:themeColor="text1"/>
          <w:sz w:val="32"/>
          <w:szCs w:val="32"/>
          <w14:textFill>
            <w14:solidFill>
              <w14:schemeClr w14:val="tx1"/>
            </w14:solidFill>
          </w14:textFill>
        </w:rPr>
        <w:t>采购需求及技术要求</w:t>
      </w:r>
      <w:bookmarkEnd w:id="179"/>
    </w:p>
    <w:p>
      <w:pPr>
        <w:pStyle w:val="220"/>
        <w:tabs>
          <w:tab w:val="left" w:pos="426"/>
          <w:tab w:val="left" w:pos="567"/>
        </w:tabs>
        <w:adjustRightInd w:val="0"/>
        <w:snapToGrid w:val="0"/>
        <w:spacing w:line="360" w:lineRule="auto"/>
        <w:ind w:firstLine="0" w:firstLineChars="0"/>
        <w:jc w:val="left"/>
        <w:rPr>
          <w:rFonts w:hint="default" w:ascii="宋体" w:hAnsi="宋体" w:eastAsia="宋体" w:cs="Arial"/>
          <w:sz w:val="28"/>
          <w:szCs w:val="28"/>
          <w:lang w:val="en-US" w:eastAsia="zh-CN"/>
        </w:rPr>
      </w:pPr>
      <w:r>
        <w:rPr>
          <w:rFonts w:hint="eastAsia" w:ascii="宋体" w:hAnsi="宋体" w:cs="Arial"/>
          <w:sz w:val="28"/>
          <w:szCs w:val="28"/>
          <w:lang w:eastAsia="zh-CN"/>
        </w:rPr>
        <w:t>要求提供相应的硬件配套设施，提供</w:t>
      </w:r>
      <w:r>
        <w:rPr>
          <w:rFonts w:hint="eastAsia" w:ascii="宋体" w:hAnsi="宋体" w:cs="Arial"/>
          <w:sz w:val="28"/>
          <w:szCs w:val="28"/>
          <w:lang w:val="en-US" w:eastAsia="zh-CN"/>
        </w:rPr>
        <w:t>500M带宽服务。</w:t>
      </w:r>
    </w:p>
    <w:p/>
    <w:p>
      <w:pPr>
        <w:widowControl/>
        <w:spacing w:line="400" w:lineRule="exact"/>
        <w:rPr>
          <w:rFonts w:ascii="宋体" w:hAnsi="宋体" w:cs="宋体"/>
          <w:b/>
          <w:bCs/>
          <w:kern w:val="0"/>
          <w:sz w:val="32"/>
          <w:szCs w:val="32"/>
        </w:rPr>
      </w:pPr>
    </w:p>
    <w:p>
      <w:pPr>
        <w:pStyle w:val="3"/>
        <w:jc w:val="both"/>
        <w:rPr>
          <w:rFonts w:ascii="宋体" w:hAnsi="宋体" w:cs="宋体"/>
        </w:rPr>
        <w:sectPr>
          <w:headerReference r:id="rId10" w:type="firs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3"/>
        <w:rPr>
          <w:rFonts w:hint="eastAsia" w:ascii="宋体" w:hAnsi="宋体" w:cs="宋体"/>
          <w:color w:val="000000" w:themeColor="text1"/>
          <w:sz w:val="32"/>
          <w:szCs w:val="32"/>
          <w:lang w:val="en-US" w:eastAsia="zh-CN"/>
          <w14:textFill>
            <w14:solidFill>
              <w14:schemeClr w14:val="tx1"/>
            </w14:solidFill>
          </w14:textFill>
        </w:rPr>
      </w:pPr>
      <w:bookmarkStart w:id="180" w:name="_Toc20396"/>
      <w:r>
        <w:rPr>
          <w:rFonts w:hint="eastAsia" w:ascii="宋体" w:hAnsi="宋体" w:cs="宋体"/>
          <w:sz w:val="32"/>
          <w:szCs w:val="32"/>
          <w:lang w:eastAsia="zh-CN"/>
        </w:rPr>
        <w:t>第四章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14:textFill>
            <w14:solidFill>
              <w14:schemeClr w14:val="tx1"/>
            </w14:solidFill>
          </w14:textFill>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color w:val="000000" w:themeColor="text1"/>
          <w:spacing w:val="4"/>
          <w:sz w:val="24"/>
          <w:szCs w:val="24"/>
          <w14:textFill>
            <w14:solidFill>
              <w14:schemeClr w14:val="tx1"/>
            </w14:solidFill>
          </w14:textFill>
        </w:rPr>
        <w:t>一、投标人有效的营业执照，或事业单位法人证书，或自然人</w:t>
      </w:r>
      <w:r>
        <w:rPr>
          <w:rFonts w:hint="eastAsia" w:ascii="宋体" w:hAnsi="宋体" w:eastAsia="宋体" w:cs="宋体"/>
          <w:b w:val="0"/>
          <w:bCs w:val="0"/>
          <w:spacing w:val="4"/>
          <w:sz w:val="24"/>
          <w:szCs w:val="24"/>
        </w:rPr>
        <w:t>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五、投标人须具有基础、增值电信业务经营许可证(备案证)（复印件加盖公章）；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sz w:val="24"/>
          <w:szCs w:val="24"/>
          <w:lang w:val="en-US" w:eastAsia="zh-CN"/>
        </w:rPr>
        <w:t>六、</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七</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25803"/>
      <w:bookmarkStart w:id="182" w:name="_Toc20553"/>
      <w:bookmarkStart w:id="183" w:name="_Toc9747"/>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rPr>
          <w:rFonts w:hint="eastAsia" w:ascii="宋体" w:hAnsi="宋体" w:cs="宋体"/>
          <w:sz w:val="32"/>
          <w:szCs w:val="32"/>
        </w:rPr>
      </w:pPr>
    </w:p>
    <w:p>
      <w:pPr>
        <w:pStyle w:val="28"/>
        <w:rPr>
          <w:rFonts w:hint="eastAsia"/>
        </w:rPr>
      </w:pPr>
    </w:p>
    <w:p>
      <w:pPr>
        <w:rPr>
          <w:rFonts w:hint="eastAsia"/>
        </w:rPr>
      </w:pPr>
    </w:p>
    <w:p>
      <w:pPr>
        <w:pStyle w:val="2"/>
        <w:rPr>
          <w:rFonts w:hint="eastAsia"/>
        </w:rPr>
      </w:pPr>
    </w:p>
    <w:p>
      <w:pPr>
        <w:pStyle w:val="2"/>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7841"/>
      <w:bookmarkStart w:id="186" w:name="_Toc10288"/>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11058"/>
      <w:bookmarkStart w:id="188" w:name="_Toc31035"/>
      <w:bookmarkStart w:id="189" w:name="_Toc217446098"/>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1"/>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1"/>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1"/>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1"/>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1"/>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1"/>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1"/>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1"/>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1"/>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1"/>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lang w:val="en-US" w:eastAsia="zh-CN"/>
        </w:rPr>
      </w:pPr>
      <w:r>
        <w:rPr>
          <w:rFonts w:hint="eastAsia" w:ascii="宋体" w:hAnsi="宋体" w:cs="宋体"/>
          <w:sz w:val="24"/>
        </w:rPr>
        <w:t>（4）综合评分明细表：以科学合理、降低评标委员会自由裁量权为原则</w:t>
      </w:r>
    </w:p>
    <w:tbl>
      <w:tblPr>
        <w:tblW w:w="8976" w:type="dxa"/>
        <w:tblInd w:w="0" w:type="dxa"/>
        <w:shd w:val="clear"/>
        <w:tblLayout w:type="autofit"/>
        <w:tblCellMar>
          <w:top w:w="0" w:type="dxa"/>
          <w:left w:w="0" w:type="dxa"/>
          <w:bottom w:w="0" w:type="dxa"/>
          <w:right w:w="0" w:type="dxa"/>
        </w:tblCellMar>
      </w:tblPr>
      <w:tblGrid>
        <w:gridCol w:w="972"/>
        <w:gridCol w:w="1128"/>
        <w:gridCol w:w="1272"/>
        <w:gridCol w:w="5604"/>
      </w:tblGrid>
      <w:tr>
        <w:tblPrEx>
          <w:shd w:val="clear"/>
          <w:tblCellMar>
            <w:top w:w="0" w:type="dxa"/>
            <w:left w:w="0" w:type="dxa"/>
            <w:bottom w:w="0" w:type="dxa"/>
            <w:right w:w="0" w:type="dxa"/>
          </w:tblCellMar>
        </w:tblPrEx>
        <w:trPr>
          <w:trHeight w:val="1000" w:hRule="atLeast"/>
        </w:trPr>
        <w:tc>
          <w:tcPr>
            <w:tcW w:w="972" w:type="dxa"/>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序号</w:t>
            </w:r>
          </w:p>
        </w:tc>
        <w:tc>
          <w:tcPr>
            <w:tcW w:w="240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评审因素</w:t>
            </w: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评标原则与标准</w:t>
            </w:r>
          </w:p>
        </w:tc>
      </w:tr>
      <w:tr>
        <w:tblPrEx>
          <w:tblCellMar>
            <w:top w:w="0" w:type="dxa"/>
            <w:left w:w="0" w:type="dxa"/>
            <w:bottom w:w="0" w:type="dxa"/>
            <w:right w:w="0"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c>
          <w:tcPr>
            <w:tcW w:w="2400"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价格部分(15分)</w:t>
            </w: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采用低价优先法计算，即满足招标文件要求且投标价格最低的投标报价为评标基准价，其价格分为满分。投标报价得分＝（评标基准价/投标报价）×15</w:t>
            </w:r>
          </w:p>
        </w:tc>
      </w:tr>
      <w:tr>
        <w:tblPrEx>
          <w:tblCellMar>
            <w:top w:w="0" w:type="dxa"/>
            <w:left w:w="0" w:type="dxa"/>
            <w:bottom w:w="0" w:type="dxa"/>
            <w:right w:w="0" w:type="dxa"/>
          </w:tblCellMar>
        </w:tblPrEx>
        <w:trPr>
          <w:trHeight w:val="10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112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商务评议(35分)</w:t>
            </w:r>
          </w:p>
        </w:tc>
        <w:tc>
          <w:tcPr>
            <w:tcW w:w="12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服务案例（5分）</w:t>
            </w:r>
          </w:p>
        </w:tc>
        <w:tc>
          <w:tcPr>
            <w:tcW w:w="5604"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近5年内，参与兰州地区三甲医院互联网专线项目，提供与行业单位签订的业务合同，每个案例得1分，最多不超过5分（需提供合同复印件并加盖公章）；</w:t>
            </w:r>
          </w:p>
        </w:tc>
      </w:tr>
      <w:tr>
        <w:tblPrEx>
          <w:tblCellMar>
            <w:top w:w="0" w:type="dxa"/>
            <w:left w:w="0" w:type="dxa"/>
            <w:bottom w:w="0" w:type="dxa"/>
            <w:right w:w="0" w:type="dxa"/>
          </w:tblCellMar>
        </w:tblPrEx>
        <w:trPr>
          <w:trHeight w:val="6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12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1272"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供应商能力（30分）</w:t>
            </w: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1、投标人具有中华人民共和国基础电信业务经营许可证，具有得3分，没有不得分。</w:t>
            </w:r>
          </w:p>
        </w:tc>
      </w:tr>
      <w:tr>
        <w:tblPrEx>
          <w:tblCellMar>
            <w:top w:w="0" w:type="dxa"/>
            <w:left w:w="0" w:type="dxa"/>
            <w:bottom w:w="0" w:type="dxa"/>
            <w:right w:w="0" w:type="dxa"/>
          </w:tblCellMar>
        </w:tblPrEx>
        <w:trPr>
          <w:trHeight w:val="7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12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127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2、投标人具有中华人民共和国增值电信业务经营许可证，具有得3分，没有不得分。</w:t>
            </w:r>
          </w:p>
        </w:tc>
      </w:tr>
      <w:tr>
        <w:tblPrEx>
          <w:tblCellMar>
            <w:top w:w="0" w:type="dxa"/>
            <w:left w:w="0" w:type="dxa"/>
            <w:bottom w:w="0" w:type="dxa"/>
            <w:right w:w="0" w:type="dxa"/>
          </w:tblCellMar>
        </w:tblPrEx>
        <w:trPr>
          <w:trHeight w:val="7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12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127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2、投标人具有信息安全管理体系认证证书ISO27001，具有得3分，没有不得分。</w:t>
            </w:r>
          </w:p>
        </w:tc>
      </w:tr>
      <w:tr>
        <w:tblPrEx>
          <w:tblCellMar>
            <w:top w:w="0" w:type="dxa"/>
            <w:left w:w="0" w:type="dxa"/>
            <w:bottom w:w="0" w:type="dxa"/>
            <w:right w:w="0" w:type="dxa"/>
          </w:tblCellMar>
        </w:tblPrEx>
        <w:trPr>
          <w:trHeight w:val="6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12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127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3、投标人具有信息技术服务管理体系认证证书ISO20000,具有得3分，没有不得分。</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12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127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4、投标人具有信息技术服务管理体系认证证书 ISO9001,具有得3分，没有不得分。</w:t>
            </w:r>
          </w:p>
        </w:tc>
      </w:tr>
      <w:tr>
        <w:tblPrEx>
          <w:tblCellMar>
            <w:top w:w="0" w:type="dxa"/>
            <w:left w:w="0" w:type="dxa"/>
            <w:bottom w:w="0" w:type="dxa"/>
            <w:right w:w="0"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12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127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5、投标人具有环境管理体系认证证书 ISO14001,具有得3分，没有不得分。</w:t>
            </w:r>
          </w:p>
        </w:tc>
      </w:tr>
      <w:tr>
        <w:tblPrEx>
          <w:tblCellMar>
            <w:top w:w="0" w:type="dxa"/>
            <w:left w:w="0" w:type="dxa"/>
            <w:bottom w:w="0" w:type="dxa"/>
            <w:right w:w="0" w:type="dxa"/>
          </w:tblCellMar>
        </w:tblPrEx>
        <w:trPr>
          <w:trHeight w:val="16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12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127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7、投标人具有Uptime Tier III设计资质，具有得3分，没有不得分。</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以上内容须提供复印件加盖公章，原件备查。不提供原件或少提供原件者，涉及项不得分</w:t>
            </w:r>
          </w:p>
        </w:tc>
      </w:tr>
      <w:tr>
        <w:tblPrEx>
          <w:tblCellMar>
            <w:top w:w="0" w:type="dxa"/>
            <w:left w:w="0" w:type="dxa"/>
            <w:bottom w:w="0" w:type="dxa"/>
            <w:right w:w="0" w:type="dxa"/>
          </w:tblCellMar>
        </w:tblPrEx>
        <w:trPr>
          <w:trHeight w:val="10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12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127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8、投标人具有中国数据中心产业发展联盟颁发的数据中心优秀运营服务单位证书，得3分，没有不得分。</w:t>
            </w:r>
          </w:p>
        </w:tc>
      </w:tr>
      <w:tr>
        <w:tblPrEx>
          <w:tblCellMar>
            <w:top w:w="0" w:type="dxa"/>
            <w:left w:w="0" w:type="dxa"/>
            <w:bottom w:w="0" w:type="dxa"/>
            <w:right w:w="0" w:type="dxa"/>
          </w:tblCellMar>
        </w:tblPrEx>
        <w:trPr>
          <w:trHeight w:val="1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12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1272"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9、投标人具有PMP（国际高级项目经理）1名、高级信息系统项目管理师2名、系统集成项目管理工程师1名、国家注册信息安全专业人员（CISP)2名，提供2个以上得3分，全部提供得6分。</w:t>
            </w:r>
          </w:p>
        </w:tc>
      </w:tr>
      <w:tr>
        <w:tblPrEx>
          <w:tblCellMar>
            <w:top w:w="0" w:type="dxa"/>
            <w:left w:w="0" w:type="dxa"/>
            <w:bottom w:w="0" w:type="dxa"/>
            <w:right w:w="0" w:type="dxa"/>
          </w:tblCellMar>
        </w:tblPrEx>
        <w:trPr>
          <w:trHeight w:val="16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w:t>
            </w:r>
          </w:p>
        </w:tc>
        <w:tc>
          <w:tcPr>
            <w:tcW w:w="112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技术方案(50分)</w:t>
            </w:r>
          </w:p>
        </w:tc>
        <w:tc>
          <w:tcPr>
            <w:tcW w:w="12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对项目建设目标了解程度（10分）</w:t>
            </w: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对项目的需求、目标和现状调研充分，了解全面。按前期业务合作情况评分，如属对原有业务扩容，得：6-10分，如新建线路按方案准备情况，得1-5分。</w:t>
            </w:r>
          </w:p>
        </w:tc>
      </w:tr>
      <w:tr>
        <w:tblPrEx>
          <w:tblCellMar>
            <w:top w:w="0" w:type="dxa"/>
            <w:left w:w="0" w:type="dxa"/>
            <w:bottom w:w="0" w:type="dxa"/>
            <w:right w:w="0" w:type="dxa"/>
          </w:tblCellMar>
        </w:tblPrEx>
        <w:trPr>
          <w:trHeight w:val="24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12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针对本项目全面、整体的技术方案（10分）</w:t>
            </w: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1、技术方案：针对本项目，投标人提出的方案结合实际，对现网结构影响最小，具有全面性、可行性、合理性的，满足招标文件技术要求的，根据响应情况得1-5分。</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2、合理化建议：针对本项目，投标人提出切实可行的合理化建议和优化措施的，根据响应情况得1-5分。</w:t>
            </w:r>
          </w:p>
        </w:tc>
      </w:tr>
      <w:tr>
        <w:tblPrEx>
          <w:tblCellMar>
            <w:top w:w="0" w:type="dxa"/>
            <w:left w:w="0" w:type="dxa"/>
            <w:bottom w:w="0" w:type="dxa"/>
            <w:right w:w="0" w:type="dxa"/>
          </w:tblCellMar>
        </w:tblPrEx>
        <w:trPr>
          <w:trHeight w:val="2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12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项目实施能力能力（10分）</w:t>
            </w: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1、项目实施方案：投标人有详细的项目组织方案与实施组织架构，能够明确各职责方职责及配套设施的，按方案详细程度得1-5分。</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2、项目验收：有详细的项目验收方案，验收方案及验收标准客观明确。按方案详细程度得1-5分。</w:t>
            </w:r>
          </w:p>
        </w:tc>
      </w:tr>
      <w:tr>
        <w:tblPrEx>
          <w:tblCellMar>
            <w:top w:w="0" w:type="dxa"/>
            <w:left w:w="0" w:type="dxa"/>
            <w:bottom w:w="0" w:type="dxa"/>
            <w:right w:w="0" w:type="dxa"/>
          </w:tblCellMar>
        </w:tblPrEx>
        <w:trPr>
          <w:trHeight w:val="21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12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运维服务（10分）</w:t>
            </w: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1、故障处理及售后保障：售后方案具体详细，全面响应招标要求，运维方案可操作性强，有详细的故障申告流程及故障响应策略。按照方案详细程度得1-5分。</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2、线路割接、调整。有详细的割接流程和网络调整流程的，得1-5分。</w:t>
            </w:r>
          </w:p>
        </w:tc>
      </w:tr>
      <w:tr>
        <w:tblPrEx>
          <w:tblCellMar>
            <w:top w:w="0" w:type="dxa"/>
            <w:left w:w="0" w:type="dxa"/>
            <w:bottom w:w="0" w:type="dxa"/>
            <w:right w:w="0" w:type="dxa"/>
          </w:tblCellMar>
        </w:tblPrEx>
        <w:trPr>
          <w:trHeight w:val="1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12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应急保障（10）</w:t>
            </w:r>
          </w:p>
        </w:tc>
        <w:tc>
          <w:tcPr>
            <w:tcW w:w="560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运营商具有专业的光纤资源维护队伍，有专职的省、市干线光缆传输网应急保障、抢修机构和队伍并能提供相关证明材料，有省级的得1分，每增加1个市级应急保障机构的，得1分，最高10分</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0" w:name="_Toc208849022"/>
      <w:bookmarkStart w:id="191" w:name="_Toc183682432"/>
      <w:bookmarkStart w:id="192" w:name="_Toc217446105"/>
      <w:bookmarkStart w:id="193" w:name="_Toc183582297"/>
      <w:bookmarkStart w:id="194" w:name="_Toc26707"/>
      <w:bookmarkStart w:id="195" w:name="_Toc30936"/>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25902"/>
      <w:bookmarkStart w:id="197" w:name="_Toc7845"/>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11807"/>
      <w:bookmarkStart w:id="199" w:name="_Toc23996"/>
      <w:bookmarkStart w:id="200" w:name="_Toc12937"/>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rPr>
      </w:pPr>
    </w:p>
    <w:p>
      <w:pPr>
        <w:pStyle w:val="28"/>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23429"/>
      <w:bookmarkStart w:id="204" w:name="_Toc22178"/>
      <w:bookmarkStart w:id="205" w:name="_Toc13676"/>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139965361"/>
      <w:bookmarkStart w:id="207" w:name="_Toc327439490"/>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1"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numPr>
          <w:ilvl w:val="0"/>
          <w:numId w:val="0"/>
        </w:numPr>
        <w:spacing w:before="0" w:after="0"/>
        <w:ind w:firstLine="3092" w:firstLineChars="1100"/>
        <w:jc w:val="left"/>
        <w:rPr>
          <w:rFonts w:hint="eastAsia" w:ascii="宋体" w:hAnsi="宋体" w:cs="宋体"/>
          <w:sz w:val="28"/>
          <w:szCs w:val="28"/>
        </w:rPr>
      </w:pPr>
      <w:bookmarkStart w:id="208" w:name="_Toc10904"/>
      <w:bookmarkStart w:id="209" w:name="_Toc16816"/>
      <w:bookmarkStart w:id="210" w:name="_Toc3146"/>
      <w:bookmarkStart w:id="211"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5783"/>
      <w:bookmarkStart w:id="213" w:name="_Toc3177"/>
      <w:bookmarkStart w:id="214" w:name="_Toc19965"/>
      <w:bookmarkStart w:id="215" w:name="_Toc10366"/>
      <w:bookmarkStart w:id="216" w:name="_Toc19360"/>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19163"/>
      <w:bookmarkStart w:id="218" w:name="_Toc12383"/>
      <w:bookmarkStart w:id="219" w:name="_Toc6475"/>
      <w:bookmarkStart w:id="220" w:name="_Toc22060"/>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8"/>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2" w:name="_Toc16103"/>
      <w:bookmarkStart w:id="223" w:name="_Toc20910"/>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8565"/>
      <w:bookmarkStart w:id="225" w:name="_Toc20796"/>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1"/>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1"/>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704"/>
      <w:bookmarkStart w:id="227" w:name="_Toc17348"/>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8"/>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0679"/>
      <w:bookmarkStart w:id="229" w:name="_Toc21291"/>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10"/>
        <w:spacing w:line="360" w:lineRule="auto"/>
        <w:rPr>
          <w:rFonts w:ascii="宋体" w:hAnsi="宋体" w:cs="宋体"/>
          <w:b/>
          <w:sz w:val="22"/>
          <w:szCs w:val="22"/>
        </w:rPr>
      </w:pPr>
    </w:p>
    <w:p>
      <w:pPr>
        <w:pStyle w:val="210"/>
        <w:spacing w:line="360" w:lineRule="auto"/>
        <w:rPr>
          <w:rFonts w:ascii="宋体" w:hAnsi="宋体" w:cs="宋体"/>
          <w:b/>
          <w:sz w:val="22"/>
          <w:szCs w:val="22"/>
        </w:rPr>
      </w:pPr>
    </w:p>
    <w:p>
      <w:pPr>
        <w:pStyle w:val="210"/>
        <w:spacing w:line="360" w:lineRule="auto"/>
        <w:jc w:val="center"/>
        <w:rPr>
          <w:rFonts w:ascii="宋体" w:hAnsi="宋体" w:cs="宋体"/>
          <w:b/>
          <w:szCs w:val="28"/>
        </w:rPr>
      </w:pPr>
      <w:bookmarkStart w:id="230" w:name="_Toc12836"/>
      <w:bookmarkStart w:id="231" w:name="_Toc26303"/>
      <w:bookmarkStart w:id="232" w:name="_Toc16887"/>
      <w:bookmarkStart w:id="233" w:name="_Toc3392"/>
      <w:bookmarkStart w:id="234" w:name="_Toc10205"/>
      <w:bookmarkStart w:id="235" w:name="_Toc26432"/>
      <w:bookmarkStart w:id="236" w:name="_Toc4270"/>
      <w:bookmarkStart w:id="237" w:name="_Toc8733"/>
      <w:bookmarkStart w:id="238" w:name="_Toc27827"/>
      <w:bookmarkStart w:id="239" w:name="_Toc6233"/>
      <w:bookmarkStart w:id="240" w:name="_Toc7146"/>
      <w:bookmarkStart w:id="241" w:name="_Toc27676"/>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3" w:type="first"/>
          <w:headerReference r:id="rId12"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13401"/>
      <w:bookmarkStart w:id="243" w:name="_Toc258923307"/>
      <w:bookmarkStart w:id="244" w:name="_Toc24708"/>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236"/>
        <w:gridCol w:w="1284"/>
        <w:gridCol w:w="852"/>
        <w:gridCol w:w="1044"/>
        <w:gridCol w:w="720"/>
        <w:gridCol w:w="1176"/>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708"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1236" w:type="dxa"/>
            <w:noWrap w:val="0"/>
            <w:vAlign w:val="center"/>
          </w:tcPr>
          <w:p>
            <w:pPr>
              <w:spacing w:line="360" w:lineRule="auto"/>
              <w:jc w:val="center"/>
              <w:rPr>
                <w:rFonts w:hint="eastAsia" w:ascii="宋体" w:hAnsi="宋体"/>
                <w:sz w:val="24"/>
              </w:rPr>
            </w:pPr>
            <w:r>
              <w:rPr>
                <w:rFonts w:hint="eastAsia" w:ascii="宋体" w:hAnsi="宋体"/>
                <w:sz w:val="24"/>
              </w:rPr>
              <w:t>货物名称</w:t>
            </w:r>
          </w:p>
        </w:tc>
        <w:tc>
          <w:tcPr>
            <w:tcW w:w="1284" w:type="dxa"/>
            <w:noWrap w:val="0"/>
            <w:vAlign w:val="center"/>
          </w:tcPr>
          <w:p>
            <w:pPr>
              <w:spacing w:line="360" w:lineRule="auto"/>
              <w:jc w:val="center"/>
              <w:rPr>
                <w:rFonts w:hint="eastAsia" w:ascii="宋体" w:hAnsi="宋体"/>
                <w:sz w:val="24"/>
              </w:rPr>
            </w:pPr>
            <w:r>
              <w:rPr>
                <w:rFonts w:hint="eastAsia" w:ascii="宋体" w:hAnsi="宋体"/>
                <w:sz w:val="24"/>
              </w:rPr>
              <w:t>型号规格</w:t>
            </w:r>
          </w:p>
        </w:tc>
        <w:tc>
          <w:tcPr>
            <w:tcW w:w="852" w:type="dxa"/>
            <w:noWrap w:val="0"/>
            <w:vAlign w:val="center"/>
          </w:tcPr>
          <w:p>
            <w:pPr>
              <w:spacing w:line="360" w:lineRule="auto"/>
              <w:jc w:val="center"/>
              <w:rPr>
                <w:rFonts w:hint="eastAsia" w:ascii="宋体" w:hAnsi="宋体"/>
                <w:sz w:val="24"/>
              </w:rPr>
            </w:pPr>
            <w:r>
              <w:rPr>
                <w:rFonts w:hint="eastAsia" w:ascii="宋体" w:hAnsi="宋体"/>
                <w:sz w:val="24"/>
              </w:rPr>
              <w:t>品牌</w:t>
            </w:r>
          </w:p>
        </w:tc>
        <w:tc>
          <w:tcPr>
            <w:tcW w:w="1044"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生产商</w:t>
            </w:r>
          </w:p>
        </w:tc>
        <w:tc>
          <w:tcPr>
            <w:tcW w:w="720" w:type="dxa"/>
            <w:noWrap w:val="0"/>
            <w:vAlign w:val="center"/>
          </w:tcPr>
          <w:p>
            <w:pPr>
              <w:spacing w:line="360" w:lineRule="auto"/>
              <w:rPr>
                <w:rFonts w:hint="eastAsia" w:ascii="宋体" w:hAnsi="宋体"/>
                <w:sz w:val="24"/>
              </w:rPr>
            </w:pPr>
            <w:r>
              <w:rPr>
                <w:rFonts w:hint="eastAsia" w:ascii="宋体" w:hAnsi="宋体"/>
                <w:sz w:val="24"/>
              </w:rPr>
              <w:t>数量</w:t>
            </w:r>
          </w:p>
        </w:tc>
        <w:tc>
          <w:tcPr>
            <w:tcW w:w="117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单位</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4416" w:type="dxa"/>
            <w:gridSpan w:val="4"/>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合计：</w:t>
            </w: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9"/>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8"/>
        <w:ind w:left="0" w:leftChars="0" w:firstLine="0" w:firstLineChars="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注：1.</w:t>
      </w:r>
      <w:r>
        <w:rPr>
          <w:rFonts w:hint="eastAsia" w:ascii="宋体" w:hAnsi="宋体" w:cs="宋体"/>
          <w:color w:val="FF0000"/>
          <w:spacing w:val="10"/>
          <w:kern w:val="2"/>
          <w:sz w:val="24"/>
          <w:szCs w:val="24"/>
          <w:u w:val="none"/>
          <w:lang w:val="en-US" w:eastAsia="zh-CN" w:bidi="ar-SA"/>
        </w:rPr>
        <w:t>公开招标为一次性报价。</w:t>
      </w:r>
      <w:r>
        <w:rPr>
          <w:rFonts w:hint="eastAsia" w:ascii="宋体" w:hAnsi="宋体" w:eastAsia="宋体" w:cs="宋体"/>
          <w:spacing w:val="10"/>
          <w:kern w:val="2"/>
          <w:sz w:val="24"/>
          <w:szCs w:val="24"/>
          <w:u w:val="none"/>
          <w:lang w:val="en-US" w:eastAsia="zh-CN" w:bidi="ar-SA"/>
        </w:rPr>
        <w:t>报价应是最终用户验收合格后的总价，包括招标文件规定、要求和涵盖的全部费用。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5" w:name="_Toc11092"/>
      <w:bookmarkStart w:id="246"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5" w:type="first"/>
          <w:headerReference r:id="rId14"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259"/>
      <w:bookmarkStart w:id="248" w:name="_Toc1549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8038"/>
      <w:bookmarkStart w:id="250" w:name="_Toc13727"/>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1"/>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258923313"/>
      <w:bookmarkStart w:id="252" w:name="_Toc5303"/>
      <w:bookmarkStart w:id="253" w:name="_Toc25387"/>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4829"/>
      <w:bookmarkStart w:id="256"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56166280"/>
      <w:bookmarkStart w:id="259" w:name="_Toc433806381"/>
      <w:bookmarkStart w:id="260" w:name="_Toc32144"/>
      <w:bookmarkStart w:id="261"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16308"/>
      <w:bookmarkStart w:id="263" w:name="_Toc20408"/>
      <w:bookmarkStart w:id="264" w:name="_Toc15673"/>
      <w:bookmarkStart w:id="265" w:name="_Toc15095"/>
      <w:bookmarkStart w:id="266"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19846"/>
      <w:bookmarkStart w:id="268" w:name="_Toc9385"/>
      <w:bookmarkStart w:id="269" w:name="_Toc408"/>
      <w:bookmarkStart w:id="270" w:name="_Toc7530"/>
      <w:bookmarkStart w:id="271" w:name="_Toc1997"/>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5"/>
          <w:rFonts w:hint="eastAsia" w:ascii="宋体" w:hAnsi="宋体" w:eastAsia="宋体" w:cs="宋体"/>
          <w:color w:val="auto"/>
          <w:sz w:val="24"/>
          <w:szCs w:val="24"/>
        </w:rPr>
        <w:br w:type="textWrapping"/>
      </w:r>
      <w:r>
        <w:rPr>
          <w:rStyle w:val="215"/>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2"/>
      </w:pPr>
    </w:p>
    <w:p>
      <w:pPr>
        <w:pStyle w:val="3"/>
        <w:numPr>
          <w:ilvl w:val="0"/>
          <w:numId w:val="0"/>
        </w:numPr>
        <w:jc w:val="both"/>
        <w:rPr>
          <w:rFonts w:hint="eastAsia" w:ascii="宋体" w:hAnsi="宋体" w:cs="宋体"/>
          <w:sz w:val="32"/>
          <w:szCs w:val="32"/>
          <w:lang w:val="en-US" w:eastAsia="zh-CN"/>
        </w:rPr>
      </w:pPr>
      <w:bookmarkStart w:id="273" w:name="_Toc29602"/>
      <w:bookmarkStart w:id="274" w:name="_Toc14086"/>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30081"/>
      <w:bookmarkStart w:id="276" w:name="_Toc13452"/>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w:t>
      </w:r>
      <w:r>
        <w:rPr>
          <w:rFonts w:hint="eastAsia" w:ascii="宋体" w:hAnsi="宋体" w:cs="宋体"/>
          <w:sz w:val="32"/>
          <w:szCs w:val="32"/>
          <w:lang w:val="en-US" w:eastAsia="zh-CN"/>
        </w:rPr>
        <w:t>服务方案及</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19"/>
              <w:snapToGrid w:val="0"/>
              <w:jc w:val="center"/>
              <w:rPr>
                <w:rFonts w:hint="eastAsia" w:hAnsi="宋体" w:cs="Courier New"/>
                <w:sz w:val="24"/>
                <w:szCs w:val="24"/>
                <w:highlight w:val="none"/>
                <w:lang w:val="en-US" w:eastAsia="zh-CN"/>
              </w:rPr>
            </w:pPr>
          </w:p>
        </w:tc>
        <w:tc>
          <w:tcPr>
            <w:tcW w:w="1984" w:type="dxa"/>
            <w:noWrap w:val="0"/>
            <w:vAlign w:val="center"/>
          </w:tcPr>
          <w:p>
            <w:pPr>
              <w:pStyle w:val="19"/>
              <w:snapToGrid w:val="0"/>
              <w:jc w:val="center"/>
              <w:rPr>
                <w:rFonts w:hint="eastAsia" w:hAnsi="宋体" w:cs="Courier New"/>
                <w:sz w:val="24"/>
                <w:szCs w:val="24"/>
                <w:highlight w:val="none"/>
                <w:lang w:val="en-US" w:eastAsia="zh-CN"/>
              </w:rPr>
            </w:pPr>
          </w:p>
        </w:tc>
        <w:tc>
          <w:tcPr>
            <w:tcW w:w="1698" w:type="dxa"/>
            <w:noWrap w:val="0"/>
            <w:vAlign w:val="center"/>
          </w:tcPr>
          <w:p>
            <w:pPr>
              <w:pStyle w:val="19"/>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19"/>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19"/>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8"/>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rPr>
          <w:rFonts w:hint="eastAsia" w:ascii="宋体" w:hAnsi="宋体" w:eastAsia="宋体" w:cs="宋体"/>
          <w:b/>
          <w:bCs/>
          <w:sz w:val="48"/>
          <w:szCs w:val="48"/>
          <w:lang w:val="en-US"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77"/>
      <w:r>
        <w:rPr>
          <w:rFonts w:hint="eastAsia" w:ascii="宋体" w:hAnsi="宋体" w:cs="宋体"/>
          <w:color w:val="FF0000"/>
          <w:sz w:val="32"/>
          <w:szCs w:val="32"/>
          <w:lang w:val="en-US" w:eastAsia="zh-CN"/>
        </w:rPr>
        <w:t>(供参考）</w:t>
      </w:r>
    </w:p>
    <w:p>
      <w:pPr>
        <w:pStyle w:val="2"/>
        <w:rPr>
          <w:rFonts w:hint="eastAsia" w:ascii="宋体" w:hAnsi="宋体" w:cs="宋体"/>
          <w:b/>
          <w:bCs/>
          <w:sz w:val="48"/>
          <w:szCs w:val="48"/>
        </w:rPr>
      </w:pPr>
    </w:p>
    <w:p>
      <w:pPr>
        <w:jc w:val="center"/>
        <w:rPr>
          <w:rFonts w:ascii="宋体" w:hAnsi="宋体" w:cs="宋体"/>
          <w:b/>
          <w:bCs/>
          <w:sz w:val="48"/>
          <w:szCs w:val="48"/>
        </w:rPr>
      </w:pPr>
    </w:p>
    <w:p>
      <w:pPr>
        <w:jc w:val="center"/>
        <w:rPr>
          <w:b/>
          <w:bCs/>
          <w:sz w:val="48"/>
          <w:szCs w:val="48"/>
        </w:rPr>
      </w:pPr>
      <w:r>
        <w:rPr>
          <w:rFonts w:hint="eastAsia" w:ascii="宋体" w:hAnsi="宋体" w:cs="宋体"/>
          <w:b/>
          <w:bCs/>
          <w:sz w:val="48"/>
          <w:szCs w:val="48"/>
        </w:rPr>
        <w:t>甘肃省第二人民医院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供货合同</w:t>
      </w:r>
    </w:p>
    <w:p>
      <w:pPr>
        <w:spacing w:line="360" w:lineRule="auto"/>
        <w:jc w:val="left"/>
        <w:rPr>
          <w:rFonts w:ascii="宋体" w:hAnsi="宋体" w:cs="宋体"/>
          <w:sz w:val="52"/>
          <w:szCs w:val="52"/>
        </w:rPr>
      </w:pPr>
    </w:p>
    <w:p>
      <w:pPr>
        <w:spacing w:line="360" w:lineRule="auto"/>
        <w:jc w:val="left"/>
        <w:rPr>
          <w:rFonts w:ascii="宋体" w:hAnsi="宋体" w:cs="宋体"/>
          <w:b/>
          <w:sz w:val="32"/>
          <w:szCs w:val="32"/>
        </w:rPr>
      </w:pPr>
    </w:p>
    <w:p>
      <w:pPr>
        <w:spacing w:line="360" w:lineRule="auto"/>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项目名称：甘肃省第二人民医院</w:t>
      </w:r>
      <w:r>
        <w:rPr>
          <w:rFonts w:hint="eastAsia" w:ascii="宋体" w:hAnsi="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cs="宋体"/>
          <w:b/>
          <w:sz w:val="32"/>
          <w:szCs w:val="32"/>
          <w:u w:val="single"/>
        </w:rPr>
        <w:t xml:space="preserve"> </w:t>
      </w:r>
      <w:r>
        <w:rPr>
          <w:rFonts w:hint="eastAsia" w:ascii="宋体" w:hAnsi="宋体" w:cs="宋体"/>
          <w:b/>
          <w:sz w:val="32"/>
          <w:szCs w:val="32"/>
        </w:rPr>
        <w:t>采购项目</w:t>
      </w:r>
    </w:p>
    <w:p>
      <w:pPr>
        <w:spacing w:line="360" w:lineRule="auto"/>
        <w:ind w:firstLine="643" w:firstLineChars="200"/>
        <w:jc w:val="left"/>
        <w:rPr>
          <w:rFonts w:ascii="宋体" w:hAnsi="宋体" w:cs="宋体"/>
          <w:b/>
          <w:bCs/>
          <w:sz w:val="32"/>
          <w:szCs w:val="32"/>
          <w:u w:val="single"/>
        </w:rPr>
      </w:pPr>
      <w:r>
        <w:rPr>
          <w:rFonts w:hint="eastAsia" w:ascii="宋体" w:hAnsi="宋体" w:cs="宋体"/>
          <w:b/>
          <w:sz w:val="32"/>
          <w:szCs w:val="32"/>
        </w:rPr>
        <w:t>招标编号</w:t>
      </w:r>
      <w:r>
        <w:rPr>
          <w:rFonts w:hint="eastAsia" w:ascii="宋体" w:hAnsi="宋体" w:cs="宋体"/>
          <w:sz w:val="32"/>
          <w:szCs w:val="32"/>
        </w:rPr>
        <w:t>：</w:t>
      </w: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pStyle w:val="2"/>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甲方：甘肃省第二人民医院</w:t>
      </w: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乙方：XXXXX</w:t>
      </w:r>
    </w:p>
    <w:p>
      <w:pPr>
        <w:pStyle w:val="4"/>
        <w:rPr>
          <w:rFonts w:ascii="宋体" w:hAnsi="宋体" w:cs="宋体"/>
          <w:sz w:val="24"/>
          <w:szCs w:val="24"/>
        </w:rPr>
      </w:pPr>
      <w:r>
        <w:rPr>
          <w:rFonts w:hint="eastAsia" w:ascii="宋体" w:hAnsi="宋体" w:cs="宋体"/>
          <w:sz w:val="24"/>
          <w:szCs w:val="24"/>
        </w:rPr>
        <w:br w:type="page"/>
      </w:r>
    </w:p>
    <w:p>
      <w:pPr>
        <w:spacing w:line="360" w:lineRule="auto"/>
        <w:ind w:firstLine="482" w:firstLineChars="200"/>
        <w:jc w:val="left"/>
        <w:rPr>
          <w:rFonts w:ascii="宋体" w:hAnsi="宋体" w:cs="宋体"/>
          <w:b/>
          <w:sz w:val="24"/>
          <w:u w:val="single"/>
        </w:rPr>
      </w:pPr>
      <w:r>
        <w:rPr>
          <w:rFonts w:hint="eastAsia" w:ascii="宋体" w:hAnsi="宋体" w:cs="宋体"/>
          <w:b/>
          <w:sz w:val="24"/>
        </w:rPr>
        <w:t>甲方：甘肃省第二人民医院</w:t>
      </w:r>
    </w:p>
    <w:p>
      <w:pPr>
        <w:spacing w:line="360" w:lineRule="auto"/>
        <w:ind w:firstLine="482" w:firstLineChars="200"/>
        <w:jc w:val="left"/>
        <w:rPr>
          <w:rFonts w:ascii="宋体" w:hAnsi="宋体" w:cs="宋体"/>
          <w:b/>
          <w:sz w:val="24"/>
          <w:u w:val="single"/>
        </w:rPr>
      </w:pPr>
      <w:r>
        <w:rPr>
          <w:rFonts w:hint="eastAsia" w:ascii="宋体" w:hAnsi="宋体" w:cs="宋体"/>
          <w:b/>
          <w:sz w:val="24"/>
        </w:rPr>
        <w:t>乙方：</w:t>
      </w:r>
    </w:p>
    <w:p>
      <w:pPr>
        <w:spacing w:line="360" w:lineRule="auto"/>
        <w:ind w:firstLine="480" w:firstLineChars="200"/>
        <w:jc w:val="left"/>
        <w:rPr>
          <w:rFonts w:ascii="宋体" w:hAnsi="宋体" w:cs="宋体"/>
          <w:sz w:val="24"/>
        </w:rPr>
      </w:pPr>
      <w:r>
        <w:rPr>
          <w:rFonts w:hint="eastAsia" w:ascii="宋体" w:hAnsi="宋体" w:cs="宋体"/>
          <w:sz w:val="24"/>
        </w:rPr>
        <w:t>（以下简称甲方和乙方）</w:t>
      </w:r>
    </w:p>
    <w:p>
      <w:pPr>
        <w:spacing w:line="360" w:lineRule="auto"/>
        <w:ind w:firstLine="480" w:firstLineChars="200"/>
        <w:jc w:val="left"/>
        <w:rPr>
          <w:rFonts w:ascii="宋体" w:hAnsi="宋体" w:cs="宋体"/>
          <w:sz w:val="24"/>
        </w:rPr>
      </w:pPr>
      <w:r>
        <w:rPr>
          <w:rFonts w:hint="eastAsia" w:ascii="宋体" w:hAnsi="宋体" w:cs="宋体"/>
          <w:sz w:val="24"/>
        </w:rPr>
        <w:t>根据《中华人民共和国合同法》，经双方协商，本着平等互利和诚实信用的原则，一致同意签订本合同如下。</w:t>
      </w:r>
    </w:p>
    <w:p>
      <w:pPr>
        <w:spacing w:line="360" w:lineRule="auto"/>
        <w:ind w:firstLine="480" w:firstLineChars="200"/>
        <w:jc w:val="left"/>
        <w:rPr>
          <w:rFonts w:ascii="宋体" w:hAnsi="宋体" w:cs="宋体"/>
          <w:sz w:val="24"/>
        </w:rPr>
      </w:pPr>
      <w:r>
        <w:rPr>
          <w:rFonts w:hint="eastAsia" w:ascii="宋体" w:hAnsi="宋体" w:cs="宋体"/>
          <w:sz w:val="24"/>
        </w:rPr>
        <w:t>一、项目名称</w:t>
      </w:r>
    </w:p>
    <w:p>
      <w:pPr>
        <w:spacing w:line="360" w:lineRule="auto"/>
        <w:ind w:firstLine="480" w:firstLineChars="200"/>
        <w:jc w:val="left"/>
        <w:rPr>
          <w:rFonts w:ascii="宋体" w:hAnsi="宋体" w:cs="宋体"/>
          <w:sz w:val="24"/>
          <w:u w:val="single"/>
        </w:rPr>
      </w:pPr>
      <w:r>
        <w:rPr>
          <w:rFonts w:hint="eastAsia" w:ascii="宋体" w:hAnsi="宋体" w:cs="宋体"/>
          <w:sz w:val="24"/>
        </w:rPr>
        <w:t>项目名称：甘肃省第二人民医院</w:t>
      </w:r>
      <w:r>
        <w:rPr>
          <w:rFonts w:hint="eastAsia" w:ascii="宋体" w:hAnsi="宋体" w:cs="宋体"/>
          <w:sz w:val="24"/>
          <w:u w:val="single"/>
        </w:rPr>
        <w:t xml:space="preserve">     </w:t>
      </w:r>
      <w:r>
        <w:rPr>
          <w:rFonts w:hint="eastAsia" w:ascii="宋体" w:hAnsi="宋体" w:cs="宋体"/>
          <w:sz w:val="24"/>
        </w:rPr>
        <w:t>采购项目</w:t>
      </w:r>
    </w:p>
    <w:p>
      <w:pPr>
        <w:numPr>
          <w:ilvl w:val="0"/>
          <w:numId w:val="7"/>
        </w:numPr>
        <w:spacing w:line="360" w:lineRule="auto"/>
        <w:ind w:firstLine="480" w:firstLineChars="200"/>
        <w:jc w:val="left"/>
        <w:rPr>
          <w:rFonts w:ascii="宋体" w:hAnsi="宋体" w:cs="宋体"/>
          <w:sz w:val="24"/>
        </w:rPr>
      </w:pPr>
      <w:r>
        <w:rPr>
          <w:rFonts w:hint="eastAsia" w:ascii="宋体" w:hAnsi="宋体" w:cs="宋体"/>
          <w:sz w:val="24"/>
        </w:rPr>
        <w:t>货物清单</w:t>
      </w:r>
    </w:p>
    <w:tbl>
      <w:tblPr>
        <w:tblStyle w:val="35"/>
        <w:tblW w:w="9415" w:type="dxa"/>
        <w:jc w:val="center"/>
        <w:tblLayout w:type="fixed"/>
        <w:tblCellMar>
          <w:top w:w="0" w:type="dxa"/>
          <w:left w:w="30" w:type="dxa"/>
          <w:bottom w:w="0" w:type="dxa"/>
          <w:right w:w="30" w:type="dxa"/>
        </w:tblCellMar>
      </w:tblPr>
      <w:tblGrid>
        <w:gridCol w:w="1054"/>
        <w:gridCol w:w="838"/>
        <w:gridCol w:w="2432"/>
        <w:gridCol w:w="892"/>
        <w:gridCol w:w="743"/>
        <w:gridCol w:w="743"/>
        <w:gridCol w:w="595"/>
        <w:gridCol w:w="1487"/>
        <w:gridCol w:w="631"/>
      </w:tblGrid>
      <w:tr>
        <w:tblPrEx>
          <w:tblCellMar>
            <w:top w:w="0" w:type="dxa"/>
            <w:left w:w="30" w:type="dxa"/>
            <w:bottom w:w="0" w:type="dxa"/>
            <w:right w:w="30" w:type="dxa"/>
          </w:tblCellMar>
        </w:tblPrEx>
        <w:trPr>
          <w:cantSplit/>
          <w:trHeight w:val="600"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序号</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名称</w:t>
            </w: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品牌、型号规格</w:t>
            </w: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产地</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单位</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数量</w:t>
            </w: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单价</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合计含税价(元)</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备注</w:t>
            </w: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1</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2</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3</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4</w:t>
            </w:r>
          </w:p>
        </w:tc>
        <w:tc>
          <w:tcPr>
            <w:tcW w:w="838"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jc w:val="center"/>
              <w:rPr>
                <w:rFonts w:ascii="宋体" w:hAnsi="宋体" w:cs="宋体"/>
                <w:b/>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r>
        <w:tblPrEx>
          <w:tblCellMar>
            <w:top w:w="0" w:type="dxa"/>
            <w:left w:w="30" w:type="dxa"/>
            <w:bottom w:w="0" w:type="dxa"/>
            <w:right w:w="30" w:type="dxa"/>
          </w:tblCellMar>
        </w:tblPrEx>
        <w:trPr>
          <w:trHeight w:val="292" w:hRule="atLeast"/>
          <w:jc w:val="center"/>
        </w:trPr>
        <w:tc>
          <w:tcPr>
            <w:tcW w:w="1892" w:type="dxa"/>
            <w:gridSpan w:val="2"/>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合计（含税价）</w:t>
            </w:r>
          </w:p>
        </w:tc>
        <w:tc>
          <w:tcPr>
            <w:tcW w:w="7523" w:type="dxa"/>
            <w:gridSpan w:val="7"/>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bl>
    <w:p>
      <w:pPr>
        <w:numPr>
          <w:ilvl w:val="0"/>
          <w:numId w:val="7"/>
        </w:numPr>
        <w:spacing w:line="360" w:lineRule="auto"/>
        <w:ind w:firstLine="480" w:firstLineChars="200"/>
        <w:jc w:val="left"/>
        <w:rPr>
          <w:rFonts w:ascii="宋体" w:hAnsi="宋体" w:cs="宋体"/>
          <w:sz w:val="24"/>
        </w:rPr>
      </w:pPr>
      <w:r>
        <w:rPr>
          <w:rFonts w:hint="eastAsia" w:ascii="宋体" w:hAnsi="宋体" w:cs="宋体"/>
          <w:sz w:val="24"/>
        </w:rPr>
        <w:t>合同金额</w:t>
      </w:r>
    </w:p>
    <w:p>
      <w:pPr>
        <w:pStyle w:val="28"/>
        <w:spacing w:line="360" w:lineRule="auto"/>
        <w:ind w:left="0" w:leftChars="0" w:firstLine="480" w:firstLineChars="200"/>
        <w:rPr>
          <w:rFonts w:ascii="宋体" w:hAnsi="宋体" w:cs="宋体"/>
          <w:sz w:val="24"/>
          <w:u w:val="single"/>
        </w:rPr>
      </w:pPr>
      <w:r>
        <w:rPr>
          <w:rFonts w:hint="eastAsia" w:ascii="宋体" w:hAnsi="宋体" w:cs="宋体"/>
          <w:sz w:val="24"/>
        </w:rPr>
        <w:t>1.合同金额：大写：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p>
    <w:p>
      <w:pPr>
        <w:spacing w:line="360" w:lineRule="auto"/>
        <w:ind w:firstLine="465"/>
        <w:jc w:val="left"/>
        <w:rPr>
          <w:rFonts w:ascii="宋体" w:hAnsi="宋体" w:cs="宋体"/>
          <w:color w:val="FF0000"/>
          <w:sz w:val="24"/>
        </w:rPr>
      </w:pPr>
      <w:r>
        <w:rPr>
          <w:rFonts w:hint="eastAsia" w:ascii="宋体" w:hAnsi="宋体" w:cs="宋体"/>
          <w:sz w:val="24"/>
        </w:rPr>
        <w:t>2.</w:t>
      </w:r>
      <w:r>
        <w:rPr>
          <w:rFonts w:hint="eastAsia" w:ascii="宋体" w:hAnsi="宋体" w:cs="宋体"/>
          <w:color w:val="auto"/>
          <w:sz w:val="24"/>
        </w:rPr>
        <w:t>合同有效期为签订合同之日起一年内。</w:t>
      </w:r>
    </w:p>
    <w:p>
      <w:pPr>
        <w:spacing w:line="360" w:lineRule="auto"/>
        <w:ind w:firstLine="465"/>
        <w:jc w:val="left"/>
        <w:rPr>
          <w:rFonts w:ascii="宋体" w:hAnsi="宋体" w:cs="宋体"/>
          <w:sz w:val="24"/>
        </w:rPr>
      </w:pPr>
      <w:r>
        <w:rPr>
          <w:rFonts w:hint="eastAsia" w:ascii="宋体" w:hAnsi="宋体" w:cs="宋体"/>
          <w:sz w:val="24"/>
        </w:rPr>
        <w:t>3.合同总额包括货物清单所有产品运输费用、运输保险、技术指导费、技术培训、质保期、服务、各项税费及合同实施过程中的不可预见费用等。</w:t>
      </w:r>
    </w:p>
    <w:p>
      <w:pPr>
        <w:spacing w:line="360" w:lineRule="auto"/>
        <w:ind w:firstLine="480" w:firstLineChars="200"/>
        <w:jc w:val="left"/>
        <w:rPr>
          <w:rFonts w:ascii="宋体" w:hAnsi="宋体" w:cs="宋体"/>
          <w:sz w:val="24"/>
        </w:rPr>
      </w:pPr>
      <w:r>
        <w:rPr>
          <w:rFonts w:hint="eastAsia" w:ascii="宋体" w:hAnsi="宋体" w:cs="宋体"/>
          <w:sz w:val="24"/>
        </w:rPr>
        <w:t>4.合同签订的货物单价为固定不变价，天数为日历日。</w:t>
      </w:r>
    </w:p>
    <w:p>
      <w:pPr>
        <w:spacing w:line="360" w:lineRule="auto"/>
        <w:ind w:firstLine="480" w:firstLineChars="200"/>
        <w:jc w:val="left"/>
        <w:rPr>
          <w:rFonts w:ascii="宋体" w:hAnsi="宋体" w:cs="宋体"/>
          <w:bCs/>
          <w:sz w:val="24"/>
        </w:rPr>
      </w:pPr>
      <w:r>
        <w:rPr>
          <w:rFonts w:hint="eastAsia" w:ascii="宋体" w:hAnsi="宋体" w:cs="宋体"/>
          <w:bCs/>
          <w:sz w:val="24"/>
        </w:rPr>
        <w:t>四、货物产地及验收标准</w:t>
      </w:r>
    </w:p>
    <w:p>
      <w:pPr>
        <w:spacing w:line="360" w:lineRule="auto"/>
        <w:ind w:firstLine="480" w:firstLineChars="200"/>
        <w:jc w:val="left"/>
        <w:rPr>
          <w:rFonts w:ascii="宋体" w:hAnsi="宋体" w:cs="宋体"/>
          <w:sz w:val="24"/>
        </w:rPr>
      </w:pPr>
      <w:r>
        <w:rPr>
          <w:rFonts w:hint="eastAsia" w:ascii="宋体" w:hAnsi="宋体" w:cs="宋体"/>
          <w:sz w:val="24"/>
        </w:rPr>
        <w:t>1.乙方按照合同规定将货物送达甲方指定地点后，由供需双方现场核查。</w:t>
      </w:r>
    </w:p>
    <w:p>
      <w:pPr>
        <w:spacing w:line="360" w:lineRule="auto"/>
        <w:ind w:firstLine="480" w:firstLineChars="200"/>
        <w:jc w:val="left"/>
        <w:rPr>
          <w:rFonts w:ascii="宋体" w:hAnsi="宋体" w:cs="宋体"/>
          <w:sz w:val="24"/>
        </w:rPr>
      </w:pPr>
      <w:r>
        <w:rPr>
          <w:rFonts w:hint="eastAsia" w:ascii="宋体" w:hAnsi="宋体" w:cs="宋体"/>
          <w:sz w:val="24"/>
        </w:rPr>
        <w:t>2.货物为原制造商制造的全新产品，整机无污染，无侵权行为、表面无划损、无任何缺陷隐患，在中国境内可依常规安全合法使用。</w:t>
      </w:r>
    </w:p>
    <w:p>
      <w:pPr>
        <w:spacing w:line="360" w:lineRule="auto"/>
        <w:ind w:firstLine="480" w:firstLineChars="200"/>
        <w:jc w:val="left"/>
        <w:rPr>
          <w:rFonts w:ascii="宋体" w:hAnsi="宋体" w:cs="宋体"/>
          <w:sz w:val="24"/>
        </w:rPr>
      </w:pPr>
      <w:r>
        <w:rPr>
          <w:rFonts w:hint="eastAsia" w:ascii="宋体" w:hAnsi="宋体" w:cs="宋体"/>
          <w:sz w:val="24"/>
        </w:rPr>
        <w:t>3.依次序对照交付验收标准为：①符合中华人民共和国国家安全质量标准、环保标准或行业标准；②符合采购文件和响应承诺中甲方认可的合理最佳配置、参数及各项要求；③货物来源国官方标准。</w:t>
      </w:r>
    </w:p>
    <w:p>
      <w:pPr>
        <w:spacing w:line="360" w:lineRule="auto"/>
        <w:ind w:firstLine="480" w:firstLineChars="200"/>
        <w:jc w:val="left"/>
        <w:rPr>
          <w:rFonts w:ascii="宋体" w:hAnsi="宋体" w:cs="宋体"/>
          <w:sz w:val="24"/>
        </w:rPr>
      </w:pPr>
      <w:r>
        <w:rPr>
          <w:rFonts w:hint="eastAsia" w:ascii="宋体" w:hAnsi="宋体" w:cs="宋体"/>
          <w:sz w:val="24"/>
        </w:rPr>
        <w:t>4.若货物为进口产品必须具备原产地证明和商检局的检验证明及合法进货渠道证明等相关必需文件。</w:t>
      </w:r>
    </w:p>
    <w:p>
      <w:pPr>
        <w:spacing w:line="360" w:lineRule="auto"/>
        <w:ind w:firstLine="480" w:firstLineChars="200"/>
        <w:jc w:val="left"/>
        <w:rPr>
          <w:rFonts w:ascii="宋体" w:hAnsi="宋体" w:cs="宋体"/>
          <w:sz w:val="24"/>
        </w:rPr>
      </w:pPr>
      <w:r>
        <w:rPr>
          <w:rFonts w:hint="eastAsia" w:ascii="宋体" w:hAnsi="宋体" w:cs="宋体"/>
          <w:sz w:val="24"/>
        </w:rPr>
        <w:t>5.国内制造的产品必须具备出厂合格证。</w:t>
      </w:r>
    </w:p>
    <w:p>
      <w:pPr>
        <w:spacing w:line="360" w:lineRule="auto"/>
        <w:ind w:firstLine="480" w:firstLineChars="200"/>
        <w:jc w:val="left"/>
        <w:rPr>
          <w:rFonts w:ascii="宋体" w:hAnsi="宋体" w:cs="宋体"/>
          <w:sz w:val="24"/>
        </w:rPr>
      </w:pPr>
      <w:r>
        <w:rPr>
          <w:rFonts w:hint="eastAsia" w:ascii="宋体" w:hAnsi="宋体" w:cs="宋体"/>
          <w:sz w:val="24"/>
        </w:rPr>
        <w:t>6.乙方应将货物的用户手册、有关单证资料及其它资料交付给甲方，使用操作及安全须知等重要资料应附有中文说明。</w:t>
      </w:r>
    </w:p>
    <w:p>
      <w:pPr>
        <w:spacing w:line="360" w:lineRule="auto"/>
        <w:ind w:firstLine="480" w:firstLineChars="200"/>
        <w:jc w:val="left"/>
        <w:rPr>
          <w:rFonts w:ascii="宋体" w:hAnsi="宋体" w:cs="宋体"/>
          <w:sz w:val="24"/>
        </w:rPr>
      </w:pPr>
      <w:r>
        <w:rPr>
          <w:rFonts w:hint="eastAsia" w:ascii="宋体" w:hAnsi="宋体" w:cs="宋体"/>
          <w:sz w:val="24"/>
        </w:rPr>
        <w:t>7.如主要货物的关键技术性能指标达不到招标文件中规定的指标要求，甲方除部分或全部扣除乙方质量保证金外，还将保留继续向乙方进一步索赔有关直接和间接经济损失的权力。</w:t>
      </w:r>
    </w:p>
    <w:p>
      <w:pPr>
        <w:spacing w:line="336" w:lineRule="auto"/>
        <w:ind w:firstLine="480" w:firstLineChars="200"/>
      </w:pPr>
      <w:r>
        <w:rPr>
          <w:rFonts w:hint="eastAsia" w:ascii="宋体" w:hAnsi="宋体" w:cs="宋体"/>
          <w:color w:val="000000"/>
          <w:sz w:val="24"/>
        </w:rPr>
        <w:t>8.完成交货及验收后，乙方须全权处理包装垃圾。</w:t>
      </w:r>
    </w:p>
    <w:p>
      <w:pPr>
        <w:spacing w:line="360" w:lineRule="auto"/>
        <w:ind w:firstLine="480" w:firstLineChars="200"/>
        <w:rPr>
          <w:rFonts w:ascii="宋体" w:hAnsi="宋体" w:cs="宋体"/>
          <w:sz w:val="24"/>
        </w:rPr>
      </w:pPr>
      <w:r>
        <w:rPr>
          <w:rFonts w:hint="eastAsia" w:ascii="宋体" w:hAnsi="宋体" w:cs="宋体"/>
          <w:sz w:val="24"/>
        </w:rPr>
        <w:t>五、付款方式：</w:t>
      </w:r>
    </w:p>
    <w:p>
      <w:pPr>
        <w:spacing w:line="360" w:lineRule="auto"/>
        <w:ind w:firstLine="480" w:firstLineChars="200"/>
        <w:rPr>
          <w:rFonts w:ascii="宋体" w:hAnsi="宋体" w:cs="宋体"/>
          <w:sz w:val="24"/>
        </w:rPr>
      </w:pPr>
      <w:r>
        <w:rPr>
          <w:rFonts w:hint="eastAsia" w:ascii="宋体" w:hAnsi="宋体" w:cs="宋体"/>
          <w:sz w:val="24"/>
        </w:rPr>
        <w:t>1）货物到达交货地点，卖方安装、调试、试运行、培训，经买方（使用单位）验收合格后，凭验收合</w:t>
      </w:r>
      <w:r>
        <w:rPr>
          <w:rFonts w:hint="eastAsia" w:ascii="宋体" w:hAnsi="宋体" w:cs="宋体"/>
          <w:color w:val="auto"/>
          <w:sz w:val="24"/>
        </w:rPr>
        <w:t>格证明及按合同总价开具的发票（完税价），由买方支付合同总价款的</w:t>
      </w:r>
      <w:r>
        <w:rPr>
          <w:rFonts w:hint="eastAsia" w:ascii="宋体" w:hAnsi="宋体" w:cs="宋体"/>
          <w:color w:val="auto"/>
          <w:sz w:val="24"/>
          <w:lang w:val="en-US" w:eastAsia="zh-CN"/>
        </w:rPr>
        <w:t>90</w:t>
      </w:r>
      <w:r>
        <w:rPr>
          <w:rFonts w:hint="eastAsia" w:ascii="宋体" w:hAnsi="宋体" w:cs="宋体"/>
          <w:color w:val="auto"/>
          <w:sz w:val="24"/>
        </w:rPr>
        <w:t>％，剩余的</w:t>
      </w:r>
      <w:r>
        <w:rPr>
          <w:rFonts w:hint="eastAsia" w:ascii="宋体" w:hAnsi="宋体" w:cs="宋体"/>
          <w:color w:val="auto"/>
          <w:sz w:val="24"/>
          <w:lang w:val="en-US" w:eastAsia="zh-CN"/>
        </w:rPr>
        <w:t>10</w:t>
      </w:r>
      <w:r>
        <w:rPr>
          <w:rFonts w:hint="eastAsia" w:ascii="宋体" w:hAnsi="宋体" w:cs="宋体"/>
          <w:color w:val="auto"/>
          <w:sz w:val="24"/>
        </w:rPr>
        <w:t>%作为质量保证金待设备正常运行</w:t>
      </w:r>
      <w:r>
        <w:rPr>
          <w:rFonts w:hint="eastAsia" w:ascii="宋体" w:hAnsi="宋体" w:cs="宋体"/>
          <w:color w:val="auto"/>
          <w:sz w:val="24"/>
          <w:lang w:eastAsia="zh-CN"/>
        </w:rPr>
        <w:t>一</w:t>
      </w:r>
      <w:r>
        <w:rPr>
          <w:rFonts w:hint="eastAsia" w:ascii="宋体" w:hAnsi="宋体" w:cs="宋体"/>
          <w:color w:val="auto"/>
          <w:sz w:val="24"/>
        </w:rPr>
        <w:t>年</w:t>
      </w:r>
      <w:r>
        <w:rPr>
          <w:rFonts w:hint="eastAsia" w:ascii="宋体" w:hAnsi="宋体" w:cs="宋体"/>
          <w:color w:val="auto"/>
          <w:sz w:val="24"/>
          <w:lang w:eastAsia="zh-CN"/>
        </w:rPr>
        <w:t>（</w:t>
      </w:r>
      <w:r>
        <w:rPr>
          <w:rFonts w:hint="eastAsia" w:ascii="宋体" w:hAnsi="宋体" w:cs="宋体"/>
          <w:color w:val="auto"/>
          <w:sz w:val="24"/>
          <w:lang w:val="en-US" w:eastAsia="zh-CN"/>
        </w:rPr>
        <w:t>12</w:t>
      </w:r>
      <w:r>
        <w:rPr>
          <w:rFonts w:hint="eastAsia" w:ascii="宋体" w:hAnsi="宋体" w:cs="宋体"/>
          <w:color w:val="auto"/>
          <w:sz w:val="24"/>
        </w:rPr>
        <w:t>个月）无任何质量问题后，买方支付剩余的合同货款。</w:t>
      </w:r>
    </w:p>
    <w:p>
      <w:pPr>
        <w:spacing w:line="360" w:lineRule="auto"/>
        <w:ind w:firstLine="480"/>
        <w:jc w:val="left"/>
        <w:rPr>
          <w:rFonts w:ascii="宋体" w:hAnsi="宋体" w:cs="宋体"/>
          <w:bCs/>
          <w:color w:val="auto"/>
          <w:sz w:val="24"/>
        </w:rPr>
      </w:pPr>
      <w:r>
        <w:rPr>
          <w:rFonts w:hint="eastAsia" w:ascii="宋体" w:hAnsi="宋体" w:cs="宋体"/>
          <w:bCs/>
          <w:sz w:val="24"/>
        </w:rPr>
        <w:t>六、质保</w:t>
      </w:r>
      <w:r>
        <w:rPr>
          <w:rFonts w:hint="eastAsia" w:ascii="宋体" w:hAnsi="宋体" w:cs="宋体"/>
          <w:bCs/>
          <w:color w:val="auto"/>
          <w:sz w:val="24"/>
        </w:rPr>
        <w:t>期及售后服务要求</w:t>
      </w:r>
    </w:p>
    <w:p>
      <w:pPr>
        <w:spacing w:line="360" w:lineRule="auto"/>
        <w:ind w:firstLine="480"/>
        <w:jc w:val="left"/>
        <w:rPr>
          <w:rFonts w:ascii="宋体" w:hAnsi="宋体" w:cs="宋体"/>
          <w:color w:val="auto"/>
          <w:sz w:val="24"/>
        </w:rPr>
      </w:pPr>
      <w:r>
        <w:rPr>
          <w:rFonts w:hint="eastAsia" w:ascii="宋体" w:hAnsi="宋体" w:cs="宋体"/>
          <w:color w:val="auto"/>
          <w:sz w:val="24"/>
        </w:rPr>
        <w:t>（1）本合同整体设备的质量保证期为自甲方验收合格之日起一年（12个月），按厂家承诺执行，质保期内乙方对所供货物实行包修、包换、包退，不收取任何费用。</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（2）质保期内，如产品问题造成短期停用时，则质保期相应顺延，如停用时间累计超过3日则质保期重新计算。</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（3）在质保期内有任何质量问题，乙方在接报后必须无条件予以退换。</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（4）维修更换之零部件的质保期自维修验收之日起1年。</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（5）乙方在接到甲方故障通知后，须在6小时内响应、24小时赶赴现场进行维修，1周内保证仪器恢复正常运转。</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（6）设备安装现场乙方须对使用人员进行培训，培训人数不限。生产厂家应用实验室提供免费培训，培训人数不少于</w:t>
      </w:r>
      <w:r>
        <w:rPr>
          <w:rStyle w:val="47"/>
          <w:color w:val="auto"/>
        </w:rPr>
        <w:t>2</w:t>
      </w:r>
      <w:r>
        <w:rPr>
          <w:rFonts w:hint="eastAsia" w:ascii="宋体" w:hAnsi="宋体" w:cs="宋体"/>
          <w:color w:val="auto"/>
          <w:sz w:val="24"/>
        </w:rPr>
        <w:t>人。</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七、交货时间、交货地点和验收单位：</w:t>
      </w:r>
    </w:p>
    <w:p>
      <w:pPr>
        <w:spacing w:line="360" w:lineRule="auto"/>
        <w:ind w:firstLine="480"/>
        <w:rPr>
          <w:rFonts w:ascii="宋体" w:hAnsi="宋体" w:cs="宋体"/>
          <w:color w:val="auto"/>
          <w:sz w:val="24"/>
        </w:rPr>
      </w:pPr>
      <w:r>
        <w:rPr>
          <w:rFonts w:hint="eastAsia" w:ascii="宋体" w:hAnsi="宋体" w:cs="宋体"/>
          <w:color w:val="auto"/>
          <w:sz w:val="24"/>
        </w:rPr>
        <w:t>1.交付时间：合同签订之日起30天内。</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2.交货地点：</w:t>
      </w:r>
      <w:r>
        <w:rPr>
          <w:rFonts w:hint="eastAsia" w:ascii="宋体" w:hAnsi="宋体" w:cs="宋体"/>
          <w:color w:val="auto"/>
          <w:sz w:val="24"/>
          <w:u w:val="single"/>
        </w:rPr>
        <w:t xml:space="preserve">               </w:t>
      </w:r>
      <w:r>
        <w:rPr>
          <w:rFonts w:hint="eastAsia" w:ascii="宋体" w:hAnsi="宋体" w:cs="宋体"/>
          <w:color w:val="auto"/>
          <w:sz w:val="24"/>
        </w:rPr>
        <w:t>。</w:t>
      </w:r>
    </w:p>
    <w:p>
      <w:pPr>
        <w:spacing w:line="360" w:lineRule="auto"/>
        <w:ind w:firstLine="480" w:firstLineChars="200"/>
        <w:textAlignment w:val="baseline"/>
        <w:rPr>
          <w:rFonts w:ascii="宋体" w:hAnsi="宋体" w:cs="宋体"/>
          <w:sz w:val="24"/>
        </w:rPr>
      </w:pPr>
      <w:r>
        <w:rPr>
          <w:rFonts w:hint="eastAsia" w:ascii="宋体" w:hAnsi="宋体" w:cs="宋体"/>
          <w:sz w:val="24"/>
        </w:rPr>
        <w:t>3.验收单位：甘肃省第二人民医院</w:t>
      </w:r>
    </w:p>
    <w:p>
      <w:pPr>
        <w:spacing w:line="360" w:lineRule="auto"/>
        <w:ind w:firstLine="480" w:firstLineChars="200"/>
        <w:textAlignment w:val="baseline"/>
        <w:rPr>
          <w:rFonts w:ascii="宋体" w:hAnsi="宋体" w:cs="宋体"/>
          <w:sz w:val="24"/>
        </w:rPr>
      </w:pPr>
      <w:r>
        <w:rPr>
          <w:rFonts w:hint="eastAsia" w:ascii="宋体" w:hAnsi="宋体" w:cs="宋体"/>
          <w:sz w:val="24"/>
        </w:rPr>
        <w:t>八、经济责任：</w:t>
      </w:r>
    </w:p>
    <w:p>
      <w:pPr>
        <w:spacing w:line="360" w:lineRule="auto"/>
        <w:ind w:firstLine="480" w:firstLineChars="200"/>
        <w:textAlignment w:val="baseline"/>
        <w:rPr>
          <w:rFonts w:ascii="宋体" w:hAnsi="宋体" w:cs="宋体"/>
          <w:sz w:val="24"/>
        </w:rPr>
      </w:pPr>
      <w:r>
        <w:rPr>
          <w:rFonts w:hint="eastAsia" w:ascii="宋体" w:hAnsi="宋体" w:cs="宋体"/>
          <w:sz w:val="24"/>
        </w:rPr>
        <w:t>（一）乙方责任</w:t>
      </w:r>
    </w:p>
    <w:p>
      <w:pPr>
        <w:spacing w:line="360" w:lineRule="auto"/>
        <w:ind w:firstLine="480" w:firstLineChars="200"/>
        <w:textAlignment w:val="baseline"/>
        <w:rPr>
          <w:rFonts w:ascii="宋体" w:hAnsi="宋体" w:cs="宋体"/>
          <w:sz w:val="24"/>
        </w:rPr>
      </w:pPr>
      <w:r>
        <w:rPr>
          <w:rFonts w:hint="eastAsia" w:ascii="宋体" w:hAnsi="宋体" w:cs="宋体"/>
          <w:sz w:val="24"/>
        </w:rPr>
        <w:t>（1）乙方不履行合同或交付的货物全部或部分不符合合同要求的，甲方有权拒收不符合质量要求的全部或部分货物，乙方须向甲方支付拒收货物价款总</w:t>
      </w:r>
      <w:r>
        <w:rPr>
          <w:rFonts w:hint="eastAsia" w:ascii="宋体" w:hAnsi="宋体" w:cs="宋体"/>
          <w:color w:val="auto"/>
          <w:sz w:val="24"/>
        </w:rPr>
        <w:t>额</w:t>
      </w:r>
      <w:r>
        <w:rPr>
          <w:rFonts w:ascii="宋体" w:hAnsi="宋体" w:cs="宋体"/>
          <w:color w:val="auto"/>
          <w:sz w:val="24"/>
        </w:rPr>
        <w:t>3</w:t>
      </w:r>
      <w:r>
        <w:rPr>
          <w:rFonts w:hint="eastAsia" w:ascii="宋体" w:hAnsi="宋体" w:cs="宋体"/>
          <w:color w:val="auto"/>
          <w:sz w:val="24"/>
        </w:rPr>
        <w:t>0%的违约</w:t>
      </w:r>
      <w:r>
        <w:rPr>
          <w:rFonts w:hint="eastAsia" w:ascii="宋体" w:hAnsi="宋体" w:cs="宋体"/>
          <w:sz w:val="24"/>
        </w:rPr>
        <w:t>金。</w:t>
      </w:r>
    </w:p>
    <w:p>
      <w:pPr>
        <w:spacing w:line="360" w:lineRule="auto"/>
        <w:ind w:firstLine="480" w:firstLineChars="200"/>
        <w:textAlignment w:val="baseline"/>
        <w:rPr>
          <w:rFonts w:ascii="宋体" w:hAnsi="宋体" w:cs="宋体"/>
          <w:color w:val="auto"/>
          <w:sz w:val="24"/>
        </w:rPr>
      </w:pPr>
      <w:r>
        <w:rPr>
          <w:rFonts w:hint="eastAsia" w:ascii="宋体" w:hAnsi="宋体" w:cs="宋体"/>
          <w:sz w:val="24"/>
        </w:rPr>
        <w:t>（2）货物质量不符合合同规定时，甲方同意利用的按质论价，不能利用的，乙方负责包退包换。由于上述原因导致延误交货时间的，</w:t>
      </w:r>
      <w:r>
        <w:rPr>
          <w:rFonts w:hint="eastAsia" w:ascii="宋体" w:hAnsi="宋体" w:cs="宋体"/>
          <w:color w:val="auto"/>
          <w:sz w:val="24"/>
        </w:rPr>
        <w:t>每延误一日，乙应方应按逾期交货部分货物价款总值的</w:t>
      </w:r>
      <w:r>
        <w:rPr>
          <w:rFonts w:hint="eastAsia" w:ascii="宋体" w:hAnsi="宋体" w:cs="宋体"/>
          <w:color w:val="auto"/>
          <w:sz w:val="24"/>
          <w:lang w:val="en-US" w:eastAsia="zh-CN"/>
        </w:rPr>
        <w:t>0.</w:t>
      </w:r>
      <w:r>
        <w:rPr>
          <w:rFonts w:hint="eastAsia" w:ascii="宋体" w:hAnsi="宋体" w:cs="宋体"/>
          <w:color w:val="auto"/>
          <w:sz w:val="24"/>
        </w:rPr>
        <w:t>5‰向甲方偿付违约金。</w:t>
      </w:r>
    </w:p>
    <w:p>
      <w:pPr>
        <w:spacing w:line="360" w:lineRule="auto"/>
        <w:ind w:firstLine="480" w:firstLineChars="200"/>
        <w:textAlignment w:val="baseline"/>
        <w:rPr>
          <w:rFonts w:ascii="宋体" w:hAnsi="宋体" w:cs="宋体"/>
          <w:sz w:val="24"/>
        </w:rPr>
      </w:pPr>
      <w:r>
        <w:rPr>
          <w:rFonts w:hint="eastAsia" w:ascii="宋体" w:hAnsi="宋体" w:cs="宋体"/>
          <w:sz w:val="24"/>
        </w:rPr>
        <w:t>（3）乙方每次按照甲方的订货通知单发货，在接到通知单后7日内交货，每逾期一日，中标人必须向甲方支付逾期交货部分货物总</w:t>
      </w:r>
      <w:r>
        <w:rPr>
          <w:rFonts w:hint="eastAsia" w:ascii="宋体" w:hAnsi="宋体" w:cs="宋体"/>
          <w:color w:val="auto"/>
          <w:sz w:val="24"/>
        </w:rPr>
        <w:t>额</w:t>
      </w:r>
      <w:r>
        <w:rPr>
          <w:rFonts w:hint="eastAsia" w:ascii="宋体" w:hAnsi="宋体" w:cs="宋体"/>
          <w:color w:val="auto"/>
          <w:sz w:val="24"/>
          <w:lang w:val="en-US" w:eastAsia="zh-CN"/>
        </w:rPr>
        <w:t>0.</w:t>
      </w:r>
      <w:r>
        <w:rPr>
          <w:rFonts w:hint="eastAsia" w:ascii="宋体" w:hAnsi="宋体" w:cs="宋体"/>
          <w:color w:val="auto"/>
          <w:sz w:val="24"/>
        </w:rPr>
        <w:t>5‰的违约金。逾</w:t>
      </w:r>
      <w:r>
        <w:rPr>
          <w:rFonts w:hint="eastAsia" w:ascii="宋体" w:hAnsi="宋体" w:cs="宋体"/>
          <w:sz w:val="24"/>
        </w:rPr>
        <w:t>期交货超过30日，采购方有权解除合同，且履约保证金不予退还。</w:t>
      </w:r>
    </w:p>
    <w:p>
      <w:pPr>
        <w:spacing w:line="360" w:lineRule="auto"/>
        <w:ind w:firstLine="480" w:firstLineChars="200"/>
        <w:textAlignment w:val="baseline"/>
        <w:rPr>
          <w:rFonts w:ascii="宋体" w:hAnsi="宋体" w:cs="宋体"/>
          <w:sz w:val="24"/>
        </w:rPr>
      </w:pPr>
      <w:r>
        <w:rPr>
          <w:rFonts w:hint="eastAsia" w:ascii="宋体" w:hAnsi="宋体" w:cs="宋体"/>
          <w:sz w:val="24"/>
        </w:rPr>
        <w:t>（4）乙方提供的货物不符合质量要求的（尺寸大小负责包换，不视为质量问题），视为整批货物不合格。</w:t>
      </w:r>
    </w:p>
    <w:p>
      <w:pPr>
        <w:spacing w:line="360" w:lineRule="auto"/>
        <w:ind w:firstLine="480" w:firstLineChars="200"/>
        <w:textAlignment w:val="baseline"/>
        <w:rPr>
          <w:rFonts w:ascii="宋体" w:hAnsi="宋体" w:cs="宋体"/>
          <w:sz w:val="24"/>
        </w:rPr>
      </w:pPr>
      <w:r>
        <w:rPr>
          <w:rFonts w:hint="eastAsia" w:ascii="宋体" w:hAnsi="宋体" w:cs="宋体"/>
          <w:sz w:val="24"/>
        </w:rPr>
        <w:t>（二）甲方责任</w:t>
      </w:r>
    </w:p>
    <w:p>
      <w:pPr>
        <w:spacing w:line="360" w:lineRule="auto"/>
        <w:ind w:firstLine="480" w:firstLineChars="200"/>
        <w:textAlignment w:val="baseline"/>
        <w:rPr>
          <w:rFonts w:ascii="宋体" w:hAnsi="宋体" w:cs="宋体"/>
          <w:sz w:val="24"/>
        </w:rPr>
      </w:pPr>
      <w:r>
        <w:rPr>
          <w:rFonts w:hint="eastAsia" w:ascii="宋体" w:hAnsi="宋体" w:cs="宋体"/>
          <w:sz w:val="24"/>
        </w:rPr>
        <w:t>甲方无正当理由，中途退货或拒绝收货，应向乙方支付退货部分货款总额10%的违约金，并承担因此造成的经济损失及运输费用。</w:t>
      </w:r>
    </w:p>
    <w:p>
      <w:pPr>
        <w:pStyle w:val="2"/>
        <w:numPr>
          <w:ilvl w:val="0"/>
          <w:numId w:val="8"/>
        </w:numPr>
        <w:ind w:left="480" w:leftChars="0" w:firstLine="0" w:firstLineChars="0"/>
        <w:rPr>
          <w:rFonts w:hint="eastAsia" w:asciiTheme="minorEastAsia" w:hAnsiTheme="minorEastAsia" w:cstheme="minorEastAsia"/>
          <w:b w:val="0"/>
          <w:bCs w:val="0"/>
          <w:sz w:val="24"/>
          <w:szCs w:val="24"/>
        </w:rPr>
      </w:pPr>
      <w:r>
        <w:rPr>
          <w:rFonts w:hint="eastAsia" w:asciiTheme="minorEastAsia" w:hAnsiTheme="minorEastAsia" w:cstheme="minorEastAsia"/>
          <w:b w:val="0"/>
          <w:bCs w:val="0"/>
          <w:sz w:val="24"/>
          <w:szCs w:val="24"/>
        </w:rPr>
        <w:t>合同组成部分</w:t>
      </w:r>
    </w:p>
    <w:p>
      <w:pPr>
        <w:numPr>
          <w:ilvl w:val="0"/>
          <w:numId w:val="9"/>
        </w:numPr>
        <w:ind w:left="240" w:leftChars="0" w:firstLine="0" w:firstLineChars="0"/>
        <w:rPr>
          <w:rFonts w:hint="eastAsia" w:asciiTheme="minorEastAsia" w:hAnsiTheme="minorEastAsia" w:cstheme="minorEastAsia"/>
          <w:b w:val="0"/>
          <w:bCs w:val="0"/>
          <w:sz w:val="24"/>
          <w:szCs w:val="24"/>
        </w:rPr>
      </w:pPr>
      <w:r>
        <w:rPr>
          <w:rFonts w:hint="eastAsia" w:asciiTheme="minorEastAsia" w:hAnsiTheme="minorEastAsia" w:cstheme="minorEastAsia"/>
          <w:b w:val="0"/>
          <w:bCs w:val="0"/>
          <w:sz w:val="24"/>
          <w:szCs w:val="24"/>
        </w:rPr>
        <w:t>《中标通知书》 </w:t>
      </w:r>
    </w:p>
    <w:p>
      <w:pPr>
        <w:pStyle w:val="2"/>
        <w:numPr>
          <w:ilvl w:val="0"/>
          <w:numId w:val="9"/>
        </w:numPr>
        <w:ind w:left="240" w:leftChars="0" w:firstLine="0" w:firstLineChars="0"/>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售后服务承诺书及质量保证承诺书》</w:t>
      </w:r>
      <w:r>
        <w:rPr>
          <w:rFonts w:hint="eastAsia" w:asciiTheme="minorEastAsia" w:hAnsiTheme="minorEastAsia" w:cstheme="minorEastAsia"/>
          <w:b w:val="0"/>
          <w:bCs w:val="0"/>
          <w:sz w:val="24"/>
          <w:szCs w:val="24"/>
        </w:rPr>
        <w:t>（参见《投标文件》）</w:t>
      </w:r>
    </w:p>
    <w:p>
      <w:pPr>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rPr>
        <w:t xml:space="preserve"> </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3</w:t>
      </w: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cstheme="minorEastAsia"/>
          <w:b w:val="0"/>
          <w:bCs w:val="0"/>
          <w:sz w:val="24"/>
          <w:szCs w:val="24"/>
        </w:rPr>
        <w:t>《配送时间及伴随服务承诺表》（参见《投标文件》）。</w:t>
      </w:r>
    </w:p>
    <w:p>
      <w:pPr>
        <w:spacing w:line="360" w:lineRule="auto"/>
        <w:ind w:firstLine="480" w:firstLineChars="200"/>
        <w:textAlignment w:val="baseline"/>
        <w:rPr>
          <w:rFonts w:ascii="宋体" w:hAnsi="宋体" w:cs="宋体"/>
          <w:sz w:val="24"/>
        </w:rPr>
      </w:pPr>
      <w:r>
        <w:rPr>
          <w:rFonts w:hint="eastAsia" w:ascii="宋体" w:hAnsi="宋体" w:cs="宋体"/>
          <w:sz w:val="24"/>
          <w:lang w:eastAsia="zh-CN"/>
        </w:rPr>
        <w:t>十</w:t>
      </w:r>
      <w:r>
        <w:rPr>
          <w:rFonts w:hint="eastAsia" w:ascii="宋体" w:hAnsi="宋体" w:cs="宋体"/>
          <w:sz w:val="24"/>
        </w:rPr>
        <w:t>、合同解释：</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如合同条文存在歧义，《合同法》又无明文规定，依照交易习惯和采购当事人订立合同的目的做合理并且善意的解释，以维护交易安全和社会的公序良俗。</w:t>
      </w:r>
    </w:p>
    <w:p>
      <w:pPr>
        <w:spacing w:line="360" w:lineRule="auto"/>
        <w:ind w:firstLine="480" w:firstLineChars="200"/>
        <w:textAlignment w:val="baseline"/>
        <w:rPr>
          <w:rFonts w:ascii="宋体" w:hAnsi="宋体" w:cs="宋体"/>
          <w:sz w:val="24"/>
        </w:rPr>
      </w:pPr>
      <w:r>
        <w:rPr>
          <w:rFonts w:hint="eastAsia" w:ascii="宋体" w:hAnsi="宋体" w:cs="宋体"/>
          <w:sz w:val="24"/>
        </w:rPr>
        <w:t>十</w:t>
      </w:r>
      <w:r>
        <w:rPr>
          <w:rFonts w:hint="eastAsia" w:ascii="宋体" w:hAnsi="宋体" w:cs="宋体"/>
          <w:sz w:val="24"/>
          <w:lang w:eastAsia="zh-CN"/>
        </w:rPr>
        <w:t>一</w:t>
      </w:r>
      <w:r>
        <w:rPr>
          <w:rFonts w:hint="eastAsia" w:ascii="宋体" w:hAnsi="宋体" w:cs="宋体"/>
          <w:sz w:val="24"/>
        </w:rPr>
        <w:t>、合同执行过程中发生的一切争议，双方应通过友好协商解决，如协商不能解决，</w:t>
      </w:r>
      <w:r>
        <w:rPr>
          <w:rFonts w:hint="eastAsia" w:ascii="宋体" w:hAnsi="宋体" w:cs="宋体"/>
          <w:color w:val="000000" w:themeColor="text1"/>
          <w:sz w:val="24"/>
        </w:rPr>
        <w:t>双方均可向甲方所在地人民法院诉讼解决。</w:t>
      </w:r>
    </w:p>
    <w:p>
      <w:pPr>
        <w:spacing w:line="360" w:lineRule="auto"/>
        <w:ind w:firstLine="480" w:firstLineChars="200"/>
        <w:jc w:val="left"/>
        <w:rPr>
          <w:rFonts w:ascii="宋体" w:hAnsi="宋体" w:cs="宋体"/>
          <w:sz w:val="24"/>
        </w:rPr>
      </w:pPr>
      <w:r>
        <w:rPr>
          <w:rFonts w:hint="eastAsia" w:ascii="宋体" w:hAnsi="宋体" w:cs="宋体"/>
          <w:sz w:val="24"/>
        </w:rPr>
        <w:t>十</w:t>
      </w:r>
      <w:r>
        <w:rPr>
          <w:rFonts w:hint="eastAsia" w:ascii="宋体" w:hAnsi="宋体" w:cs="宋体"/>
          <w:sz w:val="24"/>
          <w:lang w:eastAsia="zh-CN"/>
        </w:rPr>
        <w:t>二</w:t>
      </w:r>
      <w:r>
        <w:rPr>
          <w:rFonts w:hint="eastAsia" w:ascii="宋体" w:hAnsi="宋体" w:cs="宋体"/>
          <w:sz w:val="24"/>
        </w:rPr>
        <w:t>、其它未尽事宜由甲乙双方协商约定。</w:t>
      </w:r>
    </w:p>
    <w:p>
      <w:pPr>
        <w:spacing w:line="360" w:lineRule="auto"/>
        <w:ind w:firstLine="480" w:firstLineChars="200"/>
        <w:jc w:val="left"/>
        <w:rPr>
          <w:rFonts w:ascii="宋体" w:hAnsi="宋体" w:cs="宋体"/>
          <w:sz w:val="24"/>
        </w:rPr>
      </w:pPr>
      <w:r>
        <w:rPr>
          <w:rFonts w:hint="eastAsia" w:ascii="宋体" w:hAnsi="宋体" w:cs="宋体"/>
          <w:sz w:val="24"/>
        </w:rPr>
        <w:t>十</w:t>
      </w:r>
      <w:r>
        <w:rPr>
          <w:rFonts w:hint="eastAsia" w:ascii="宋体" w:hAnsi="宋体" w:cs="宋体"/>
          <w:sz w:val="24"/>
          <w:lang w:eastAsia="zh-CN"/>
        </w:rPr>
        <w:t>三</w:t>
      </w:r>
      <w:r>
        <w:rPr>
          <w:rFonts w:hint="eastAsia" w:ascii="宋体" w:hAnsi="宋体" w:cs="宋体"/>
          <w:sz w:val="24"/>
        </w:rPr>
        <w:t>、本合同一式</w:t>
      </w:r>
      <w:r>
        <w:rPr>
          <w:rFonts w:hint="eastAsia" w:ascii="宋体" w:hAnsi="宋体" w:cs="宋体"/>
          <w:sz w:val="24"/>
          <w:lang w:eastAsia="zh-CN"/>
        </w:rPr>
        <w:t>肆</w:t>
      </w:r>
      <w:r>
        <w:rPr>
          <w:rFonts w:hint="eastAsia" w:ascii="宋体" w:hAnsi="宋体" w:cs="宋体"/>
          <w:sz w:val="24"/>
        </w:rPr>
        <w:t>份，甲方、乙方各执二份。</w:t>
      </w: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
      <w:pPr>
        <w:rPr>
          <w:rFonts w:ascii="宋体" w:hAnsi="宋体" w:cs="宋体"/>
          <w:sz w:val="24"/>
        </w:rPr>
      </w:pPr>
    </w:p>
    <w:p>
      <w:pPr>
        <w:pStyle w:val="28"/>
        <w:spacing w:line="360" w:lineRule="auto"/>
        <w:ind w:left="0" w:leftChars="0"/>
        <w:rPr>
          <w:rFonts w:ascii="宋体" w:hAnsi="宋体" w:cs="宋体"/>
          <w:sz w:val="28"/>
          <w:szCs w:val="36"/>
        </w:rPr>
      </w:pPr>
    </w:p>
    <w:p>
      <w:pPr>
        <w:pStyle w:val="28"/>
        <w:spacing w:line="360" w:lineRule="auto"/>
        <w:ind w:left="0" w:leftChars="0"/>
        <w:rPr>
          <w:rFonts w:ascii="宋体" w:hAnsi="宋体" w:cs="宋体"/>
          <w:sz w:val="28"/>
          <w:szCs w:val="36"/>
        </w:rPr>
      </w:pPr>
    </w:p>
    <w:p>
      <w:pPr>
        <w:rPr>
          <w:rFonts w:ascii="宋体" w:hAnsi="宋体" w:cs="宋体"/>
          <w:sz w:val="28"/>
          <w:szCs w:val="36"/>
        </w:rPr>
      </w:pPr>
    </w:p>
    <w:p>
      <w:pPr>
        <w:pStyle w:val="2"/>
      </w:pPr>
    </w:p>
    <w:p>
      <w:pPr>
        <w:pStyle w:val="28"/>
        <w:spacing w:line="360" w:lineRule="auto"/>
        <w:ind w:left="0" w:leftChars="0"/>
        <w:rPr>
          <w:rFonts w:ascii="宋体" w:hAnsi="宋体" w:cs="宋体"/>
          <w:sz w:val="28"/>
          <w:szCs w:val="36"/>
        </w:rPr>
      </w:pPr>
    </w:p>
    <w:p>
      <w:pPr>
        <w:pStyle w:val="28"/>
        <w:spacing w:line="360" w:lineRule="auto"/>
        <w:ind w:left="0" w:leftChars="0"/>
        <w:rPr>
          <w:rFonts w:ascii="宋体" w:hAnsi="宋体" w:cs="宋体"/>
          <w:sz w:val="22"/>
          <w:szCs w:val="28"/>
        </w:rPr>
      </w:pPr>
      <w:r>
        <w:rPr>
          <w:rFonts w:hint="eastAsia" w:ascii="宋体" w:hAnsi="宋体" w:cs="宋体"/>
          <w:sz w:val="28"/>
          <w:szCs w:val="36"/>
        </w:rPr>
        <w:t>本页无正文</w:t>
      </w:r>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888" w:type="dxa"/>
            <w:tcBorders>
              <w:tl2br w:val="nil"/>
              <w:tr2bl w:val="nil"/>
            </w:tcBorders>
          </w:tcPr>
          <w:p>
            <w:pPr>
              <w:spacing w:line="360" w:lineRule="auto"/>
              <w:rPr>
                <w:rFonts w:ascii="宋体" w:hAnsi="宋体" w:cs="宋体"/>
                <w:sz w:val="24"/>
              </w:rPr>
            </w:pPr>
            <w:r>
              <w:rPr>
                <w:rFonts w:hint="eastAsia" w:ascii="宋体" w:hAnsi="宋体" w:cs="宋体"/>
                <w:sz w:val="24"/>
              </w:rPr>
              <w:t>甲方（公章）：</w:t>
            </w:r>
          </w:p>
          <w:p>
            <w:pPr>
              <w:spacing w:line="360" w:lineRule="auto"/>
              <w:rPr>
                <w:rFonts w:ascii="宋体" w:hAnsi="宋体" w:cs="宋体"/>
                <w:sz w:val="24"/>
              </w:rPr>
            </w:pPr>
            <w:r>
              <w:rPr>
                <w:rFonts w:hint="eastAsia" w:ascii="宋体" w:hAnsi="宋体" w:cs="宋体"/>
                <w:sz w:val="24"/>
              </w:rPr>
              <w:t>地址：兰州市城关区和政西街1号</w:t>
            </w:r>
          </w:p>
          <w:p>
            <w:pPr>
              <w:spacing w:line="360" w:lineRule="auto"/>
              <w:rPr>
                <w:rFonts w:ascii="宋体" w:hAnsi="宋体" w:cs="宋体"/>
                <w:sz w:val="24"/>
              </w:rPr>
            </w:pPr>
            <w:r>
              <w:rPr>
                <w:rFonts w:hint="eastAsia" w:ascii="宋体" w:hAnsi="宋体" w:cs="宋体"/>
                <w:sz w:val="24"/>
              </w:rPr>
              <w:t>电话:0931-4923487</w:t>
            </w:r>
          </w:p>
          <w:p>
            <w:pPr>
              <w:spacing w:line="360" w:lineRule="auto"/>
              <w:rPr>
                <w:rFonts w:ascii="宋体" w:hAnsi="宋体" w:cs="宋体"/>
                <w:sz w:val="24"/>
              </w:rPr>
            </w:pPr>
            <w:r>
              <w:rPr>
                <w:rFonts w:hint="eastAsia" w:ascii="宋体" w:hAnsi="宋体" w:cs="宋体"/>
                <w:sz w:val="24"/>
              </w:rPr>
              <w:t>邮编:730000</w:t>
            </w:r>
          </w:p>
        </w:tc>
        <w:tc>
          <w:tcPr>
            <w:tcW w:w="4683" w:type="dxa"/>
            <w:tcBorders>
              <w:tl2br w:val="nil"/>
              <w:tr2bl w:val="nil"/>
            </w:tcBorders>
          </w:tcPr>
          <w:p>
            <w:pPr>
              <w:spacing w:line="360" w:lineRule="auto"/>
              <w:rPr>
                <w:rFonts w:ascii="宋体" w:hAnsi="宋体" w:cs="宋体"/>
                <w:sz w:val="24"/>
              </w:rPr>
            </w:pPr>
            <w:r>
              <w:rPr>
                <w:rFonts w:hint="eastAsia" w:ascii="宋体" w:hAnsi="宋体" w:cs="宋体"/>
                <w:sz w:val="24"/>
              </w:rPr>
              <w:t>乙方（公章）：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tcPr>
          <w:p>
            <w:pPr>
              <w:spacing w:line="720" w:lineRule="auto"/>
              <w:rPr>
                <w:rFonts w:ascii="宋体" w:hAnsi="宋体" w:cs="宋体"/>
                <w:sz w:val="24"/>
              </w:rPr>
            </w:pPr>
            <w:r>
              <w:rPr>
                <w:rFonts w:hint="eastAsia" w:ascii="宋体" w:hAnsi="宋体" w:cs="宋体"/>
                <w:sz w:val="24"/>
              </w:rPr>
              <w:t>甲方法定代表人：</w:t>
            </w:r>
          </w:p>
          <w:p>
            <w:pPr>
              <w:spacing w:line="72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tabs>
                <w:tab w:val="left" w:pos="377"/>
              </w:tabs>
              <w:spacing w:line="720" w:lineRule="auto"/>
              <w:rPr>
                <w:rFonts w:ascii="宋体" w:hAnsi="宋体" w:cs="宋体"/>
                <w:sz w:val="24"/>
              </w:rPr>
            </w:pPr>
            <w:r>
              <w:rPr>
                <w:rFonts w:hint="eastAsia" w:ascii="宋体" w:hAnsi="宋体" w:cs="宋体"/>
                <w:sz w:val="24"/>
              </w:rPr>
              <w:t>乙方法定代表人：</w:t>
            </w:r>
          </w:p>
          <w:p>
            <w:pPr>
              <w:spacing w:line="72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r>
    </w:tbl>
    <w:p/>
    <w:p/>
    <w:p/>
    <w:sectPr>
      <w:headerReference r:id="rId17" w:type="first"/>
      <w:headerReference r:id="rId16" w:type="default"/>
      <w:footerReference r:id="rId18"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28C7CB44"/>
    <w:multiLevelType w:val="singleLevel"/>
    <w:tmpl w:val="28C7CB44"/>
    <w:lvl w:ilvl="0" w:tentative="0">
      <w:start w:val="1"/>
      <w:numFmt w:val="decimal"/>
      <w:suff w:val="space"/>
      <w:lvlText w:val="（%1）"/>
      <w:lvlJc w:val="left"/>
      <w:pPr>
        <w:ind w:left="240" w:leftChars="0" w:firstLine="0" w:firstLineChars="0"/>
      </w:pPr>
    </w:lvl>
  </w:abstractNum>
  <w:abstractNum w:abstractNumId="3">
    <w:nsid w:val="3D536D5B"/>
    <w:multiLevelType w:val="singleLevel"/>
    <w:tmpl w:val="3D536D5B"/>
    <w:lvl w:ilvl="0" w:tentative="0">
      <w:start w:val="9"/>
      <w:numFmt w:val="chineseCounting"/>
      <w:suff w:val="nothing"/>
      <w:lvlText w:val="%1、"/>
      <w:lvlJc w:val="left"/>
      <w:pPr>
        <w:ind w:left="480" w:leftChars="0" w:firstLine="0" w:firstLineChars="0"/>
      </w:pPr>
      <w:rPr>
        <w:rFonts w:hint="eastAsia"/>
      </w:rPr>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83EC99"/>
    <w:multiLevelType w:val="singleLevel"/>
    <w:tmpl w:val="5983EC99"/>
    <w:lvl w:ilvl="0" w:tentative="0">
      <w:start w:val="3"/>
      <w:numFmt w:val="chineseCounting"/>
      <w:suff w:val="space"/>
      <w:lvlText w:val="第%1章"/>
      <w:lvlJc w:val="left"/>
    </w:lvl>
  </w:abstractNum>
  <w:abstractNum w:abstractNumId="6">
    <w:nsid w:val="59DF3391"/>
    <w:multiLevelType w:val="singleLevel"/>
    <w:tmpl w:val="59DF3391"/>
    <w:lvl w:ilvl="0" w:tentative="0">
      <w:start w:val="7"/>
      <w:numFmt w:val="decimal"/>
      <w:suff w:val="space"/>
      <w:lvlText w:val="%1."/>
      <w:lvlJc w:val="left"/>
    </w:lvl>
  </w:abstractNum>
  <w:abstractNum w:abstractNumId="7">
    <w:nsid w:val="59E00BC4"/>
    <w:multiLevelType w:val="singleLevel"/>
    <w:tmpl w:val="59E00BC4"/>
    <w:lvl w:ilvl="0" w:tentative="0">
      <w:start w:val="2"/>
      <w:numFmt w:val="chineseCounting"/>
      <w:suff w:val="nothing"/>
      <w:lvlText w:val="%1、"/>
      <w:lvlJc w:val="left"/>
    </w:lvl>
  </w:abstractNum>
  <w:abstractNum w:abstractNumId="8">
    <w:nsid w:val="7DB1AA8B"/>
    <w:multiLevelType w:val="singleLevel"/>
    <w:tmpl w:val="7DB1AA8B"/>
    <w:lvl w:ilvl="0" w:tentative="0">
      <w:start w:val="3"/>
      <w:numFmt w:val="decimal"/>
      <w:suff w:val="nothing"/>
      <w:lvlText w:val="%1）"/>
      <w:lvlJc w:val="left"/>
    </w:lvl>
  </w:abstractNum>
  <w:num w:numId="1">
    <w:abstractNumId w:val="1"/>
  </w:num>
  <w:num w:numId="2">
    <w:abstractNumId w:val="4"/>
  </w:num>
  <w:num w:numId="3">
    <w:abstractNumId w:val="8"/>
  </w:num>
  <w:num w:numId="4">
    <w:abstractNumId w:val="6"/>
  </w:num>
  <w:num w:numId="5">
    <w:abstractNumId w:val="0"/>
  </w:num>
  <w:num w:numId="6">
    <w:abstractNumId w:val="5"/>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ED00D5"/>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239B"/>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D5E50"/>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0760"/>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836D7"/>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71B92"/>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AA2E7A"/>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A675F"/>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D2456"/>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971FB"/>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6FF63D6"/>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8A72C5"/>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04572"/>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7023D"/>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351A7"/>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54623"/>
    <w:rsid w:val="70391E13"/>
    <w:rsid w:val="704275CC"/>
    <w:rsid w:val="70444793"/>
    <w:rsid w:val="70551138"/>
    <w:rsid w:val="705D6E76"/>
    <w:rsid w:val="706042A3"/>
    <w:rsid w:val="7060638A"/>
    <w:rsid w:val="70687EB7"/>
    <w:rsid w:val="70760EFF"/>
    <w:rsid w:val="70786F1D"/>
    <w:rsid w:val="70792E46"/>
    <w:rsid w:val="707F37AA"/>
    <w:rsid w:val="70825A52"/>
    <w:rsid w:val="70846CCB"/>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D84"/>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51251"/>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D2955"/>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77327"/>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9"/>
    <w:qFormat/>
    <w:uiPriority w:val="99"/>
    <w:pPr>
      <w:spacing w:line="360" w:lineRule="auto"/>
      <w:jc w:val="center"/>
      <w:outlineLvl w:val="0"/>
    </w:pPr>
    <w:rPr>
      <w:b/>
      <w:bCs/>
      <w:kern w:val="44"/>
      <w:sz w:val="44"/>
      <w:szCs w:val="44"/>
    </w:rPr>
  </w:style>
  <w:style w:type="paragraph" w:styleId="4">
    <w:name w:val="heading 2"/>
    <w:basedOn w:val="1"/>
    <w:next w:val="5"/>
    <w:link w:val="50"/>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1"/>
    <w:qFormat/>
    <w:uiPriority w:val="99"/>
    <w:pPr>
      <w:spacing w:line="360" w:lineRule="auto"/>
      <w:ind w:firstLine="482" w:firstLineChars="200"/>
      <w:outlineLvl w:val="2"/>
    </w:pPr>
    <w:rPr>
      <w:b/>
      <w:bCs/>
      <w:kern w:val="0"/>
      <w:sz w:val="32"/>
      <w:szCs w:val="32"/>
    </w:rPr>
  </w:style>
  <w:style w:type="paragraph" w:styleId="7">
    <w:name w:val="heading 4"/>
    <w:basedOn w:val="1"/>
    <w:next w:val="1"/>
    <w:link w:val="52"/>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3"/>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4"/>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5"/>
    <w:qFormat/>
    <w:uiPriority w:val="99"/>
    <w:pPr>
      <w:keepNext/>
      <w:keepLines/>
      <w:spacing w:before="240" w:after="64" w:line="320" w:lineRule="auto"/>
      <w:outlineLvl w:val="6"/>
    </w:pPr>
    <w:rPr>
      <w:b/>
      <w:bCs/>
      <w:kern w:val="0"/>
      <w:sz w:val="24"/>
    </w:rPr>
  </w:style>
  <w:style w:type="paragraph" w:styleId="11">
    <w:name w:val="heading 8"/>
    <w:basedOn w:val="1"/>
    <w:next w:val="1"/>
    <w:link w:val="56"/>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7"/>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0"/>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8"/>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9"/>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1"/>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2"/>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3"/>
    <w:qFormat/>
    <w:uiPriority w:val="99"/>
    <w:pPr>
      <w:ind w:left="100" w:leftChars="2500"/>
    </w:pPr>
    <w:rPr>
      <w:kern w:val="0"/>
      <w:sz w:val="24"/>
    </w:rPr>
  </w:style>
  <w:style w:type="paragraph" w:styleId="21">
    <w:name w:val="Body Text Indent 2"/>
    <w:basedOn w:val="1"/>
    <w:link w:val="64"/>
    <w:qFormat/>
    <w:uiPriority w:val="99"/>
    <w:pPr>
      <w:spacing w:line="460" w:lineRule="exact"/>
      <w:ind w:firstLine="570"/>
    </w:pPr>
    <w:rPr>
      <w:kern w:val="0"/>
      <w:sz w:val="24"/>
    </w:rPr>
  </w:style>
  <w:style w:type="paragraph" w:styleId="22">
    <w:name w:val="Balloon Text"/>
    <w:basedOn w:val="1"/>
    <w:link w:val="65"/>
    <w:qFormat/>
    <w:uiPriority w:val="99"/>
    <w:rPr>
      <w:kern w:val="0"/>
      <w:sz w:val="16"/>
      <w:szCs w:val="16"/>
    </w:rPr>
  </w:style>
  <w:style w:type="paragraph" w:styleId="23">
    <w:name w:val="footer"/>
    <w:basedOn w:val="1"/>
    <w:link w:val="66"/>
    <w:qFormat/>
    <w:uiPriority w:val="99"/>
    <w:pPr>
      <w:tabs>
        <w:tab w:val="center" w:pos="4153"/>
        <w:tab w:val="right" w:pos="8306"/>
      </w:tabs>
      <w:snapToGrid w:val="0"/>
      <w:jc w:val="left"/>
    </w:pPr>
    <w:rPr>
      <w:kern w:val="0"/>
      <w:sz w:val="18"/>
      <w:szCs w:val="18"/>
    </w:rPr>
  </w:style>
  <w:style w:type="paragraph" w:styleId="24">
    <w:name w:val="header"/>
    <w:basedOn w:val="1"/>
    <w:link w:val="67"/>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8"/>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9"/>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annotation reference"/>
    <w:basedOn w:val="37"/>
    <w:qFormat/>
    <w:locked/>
    <w:uiPriority w:val="0"/>
    <w:rPr>
      <w:sz w:val="21"/>
      <w:szCs w:val="21"/>
    </w:rPr>
  </w:style>
  <w:style w:type="character" w:styleId="48">
    <w:name w:val="HTML Cite"/>
    <w:basedOn w:val="37"/>
    <w:unhideWhenUsed/>
    <w:qFormat/>
    <w:locked/>
    <w:uiPriority w:val="99"/>
  </w:style>
  <w:style w:type="character" w:customStyle="1" w:styleId="49">
    <w:name w:val="标题 1 Char"/>
    <w:link w:val="3"/>
    <w:qFormat/>
    <w:locked/>
    <w:uiPriority w:val="99"/>
    <w:rPr>
      <w:rFonts w:cs="Times New Roman"/>
      <w:b/>
      <w:bCs/>
      <w:kern w:val="44"/>
      <w:sz w:val="44"/>
      <w:szCs w:val="44"/>
    </w:rPr>
  </w:style>
  <w:style w:type="character" w:customStyle="1" w:styleId="50">
    <w:name w:val="标题 2 Char"/>
    <w:link w:val="4"/>
    <w:semiHidden/>
    <w:qFormat/>
    <w:locked/>
    <w:uiPriority w:val="99"/>
    <w:rPr>
      <w:rFonts w:ascii="Cambria" w:hAnsi="Cambria" w:eastAsia="宋体" w:cs="黑体"/>
      <w:b/>
      <w:bCs/>
      <w:sz w:val="32"/>
      <w:szCs w:val="32"/>
    </w:rPr>
  </w:style>
  <w:style w:type="character" w:customStyle="1" w:styleId="51">
    <w:name w:val="标题 3 Char"/>
    <w:link w:val="6"/>
    <w:semiHidden/>
    <w:qFormat/>
    <w:locked/>
    <w:uiPriority w:val="99"/>
    <w:rPr>
      <w:rFonts w:cs="Times New Roman"/>
      <w:b/>
      <w:bCs/>
      <w:sz w:val="32"/>
      <w:szCs w:val="32"/>
    </w:rPr>
  </w:style>
  <w:style w:type="character" w:customStyle="1" w:styleId="52">
    <w:name w:val="标题 4 Char"/>
    <w:link w:val="7"/>
    <w:semiHidden/>
    <w:qFormat/>
    <w:locked/>
    <w:uiPriority w:val="99"/>
    <w:rPr>
      <w:rFonts w:ascii="Cambria" w:hAnsi="Cambria" w:eastAsia="宋体" w:cs="黑体"/>
      <w:b/>
      <w:bCs/>
      <w:sz w:val="28"/>
      <w:szCs w:val="28"/>
    </w:rPr>
  </w:style>
  <w:style w:type="character" w:customStyle="1" w:styleId="53">
    <w:name w:val="标题 5 Char"/>
    <w:link w:val="8"/>
    <w:semiHidden/>
    <w:qFormat/>
    <w:locked/>
    <w:uiPriority w:val="99"/>
    <w:rPr>
      <w:rFonts w:cs="Times New Roman"/>
      <w:b/>
      <w:bCs/>
      <w:sz w:val="28"/>
      <w:szCs w:val="28"/>
    </w:rPr>
  </w:style>
  <w:style w:type="character" w:customStyle="1" w:styleId="54">
    <w:name w:val="标题 6 Char"/>
    <w:link w:val="9"/>
    <w:semiHidden/>
    <w:qFormat/>
    <w:locked/>
    <w:uiPriority w:val="99"/>
    <w:rPr>
      <w:rFonts w:ascii="Cambria" w:hAnsi="Cambria" w:eastAsia="宋体" w:cs="黑体"/>
      <w:b/>
      <w:bCs/>
      <w:sz w:val="24"/>
      <w:szCs w:val="24"/>
    </w:rPr>
  </w:style>
  <w:style w:type="character" w:customStyle="1" w:styleId="55">
    <w:name w:val="标题 7 Char"/>
    <w:link w:val="10"/>
    <w:semiHidden/>
    <w:qFormat/>
    <w:locked/>
    <w:uiPriority w:val="99"/>
    <w:rPr>
      <w:rFonts w:cs="Times New Roman"/>
      <w:b/>
      <w:bCs/>
      <w:sz w:val="24"/>
      <w:szCs w:val="24"/>
    </w:rPr>
  </w:style>
  <w:style w:type="character" w:customStyle="1" w:styleId="56">
    <w:name w:val="标题 8 Char"/>
    <w:link w:val="11"/>
    <w:semiHidden/>
    <w:qFormat/>
    <w:locked/>
    <w:uiPriority w:val="99"/>
    <w:rPr>
      <w:rFonts w:ascii="Cambria" w:hAnsi="Cambria" w:eastAsia="宋体" w:cs="黑体"/>
      <w:sz w:val="24"/>
      <w:szCs w:val="24"/>
    </w:rPr>
  </w:style>
  <w:style w:type="character" w:customStyle="1" w:styleId="57">
    <w:name w:val="标题 9 Char"/>
    <w:link w:val="12"/>
    <w:semiHidden/>
    <w:qFormat/>
    <w:locked/>
    <w:uiPriority w:val="99"/>
    <w:rPr>
      <w:rFonts w:ascii="Cambria" w:hAnsi="Cambria" w:eastAsia="宋体" w:cs="黑体"/>
      <w:sz w:val="21"/>
      <w:szCs w:val="21"/>
    </w:rPr>
  </w:style>
  <w:style w:type="character" w:customStyle="1" w:styleId="58">
    <w:name w:val="注释标题 Char"/>
    <w:link w:val="13"/>
    <w:semiHidden/>
    <w:qFormat/>
    <w:locked/>
    <w:uiPriority w:val="99"/>
    <w:rPr>
      <w:rFonts w:cs="Times New Roman"/>
      <w:sz w:val="24"/>
      <w:szCs w:val="24"/>
    </w:rPr>
  </w:style>
  <w:style w:type="character" w:customStyle="1" w:styleId="59">
    <w:name w:val="文档结构图 Char"/>
    <w:link w:val="15"/>
    <w:semiHidden/>
    <w:qFormat/>
    <w:locked/>
    <w:uiPriority w:val="99"/>
    <w:rPr>
      <w:rFonts w:ascii="宋体" w:cs="Times New Roman"/>
      <w:kern w:val="2"/>
      <w:sz w:val="18"/>
      <w:szCs w:val="18"/>
    </w:rPr>
  </w:style>
  <w:style w:type="character" w:customStyle="1" w:styleId="60">
    <w:name w:val="正文文本 Char"/>
    <w:link w:val="2"/>
    <w:semiHidden/>
    <w:qFormat/>
    <w:locked/>
    <w:uiPriority w:val="99"/>
    <w:rPr>
      <w:rFonts w:cs="Times New Roman"/>
      <w:sz w:val="24"/>
      <w:szCs w:val="24"/>
    </w:rPr>
  </w:style>
  <w:style w:type="character" w:customStyle="1" w:styleId="61">
    <w:name w:val="正文文本缩进 Char"/>
    <w:link w:val="17"/>
    <w:semiHidden/>
    <w:qFormat/>
    <w:locked/>
    <w:uiPriority w:val="99"/>
    <w:rPr>
      <w:rFonts w:cs="Times New Roman"/>
      <w:sz w:val="24"/>
      <w:szCs w:val="24"/>
    </w:rPr>
  </w:style>
  <w:style w:type="character" w:customStyle="1" w:styleId="62">
    <w:name w:val="纯文本 Char"/>
    <w:link w:val="19"/>
    <w:semiHidden/>
    <w:qFormat/>
    <w:locked/>
    <w:uiPriority w:val="99"/>
    <w:rPr>
      <w:rFonts w:ascii="宋体" w:hAnsi="Courier New" w:cs="Courier New"/>
      <w:sz w:val="21"/>
      <w:szCs w:val="21"/>
    </w:rPr>
  </w:style>
  <w:style w:type="character" w:customStyle="1" w:styleId="63">
    <w:name w:val="日期 Char"/>
    <w:link w:val="20"/>
    <w:semiHidden/>
    <w:qFormat/>
    <w:locked/>
    <w:uiPriority w:val="99"/>
    <w:rPr>
      <w:rFonts w:cs="Times New Roman"/>
      <w:sz w:val="24"/>
      <w:szCs w:val="24"/>
    </w:rPr>
  </w:style>
  <w:style w:type="character" w:customStyle="1" w:styleId="64">
    <w:name w:val="正文文本缩进 2 Char"/>
    <w:link w:val="21"/>
    <w:semiHidden/>
    <w:qFormat/>
    <w:locked/>
    <w:uiPriority w:val="99"/>
    <w:rPr>
      <w:rFonts w:cs="Times New Roman"/>
      <w:sz w:val="24"/>
      <w:szCs w:val="24"/>
    </w:rPr>
  </w:style>
  <w:style w:type="character" w:customStyle="1" w:styleId="65">
    <w:name w:val="批注框文本 Char"/>
    <w:link w:val="22"/>
    <w:semiHidden/>
    <w:qFormat/>
    <w:locked/>
    <w:uiPriority w:val="99"/>
    <w:rPr>
      <w:rFonts w:cs="Times New Roman"/>
      <w:sz w:val="16"/>
      <w:szCs w:val="16"/>
    </w:rPr>
  </w:style>
  <w:style w:type="character" w:customStyle="1" w:styleId="66">
    <w:name w:val="页脚 Char"/>
    <w:link w:val="23"/>
    <w:semiHidden/>
    <w:qFormat/>
    <w:locked/>
    <w:uiPriority w:val="99"/>
    <w:rPr>
      <w:rFonts w:cs="Times New Roman"/>
      <w:sz w:val="18"/>
      <w:szCs w:val="18"/>
    </w:rPr>
  </w:style>
  <w:style w:type="character" w:customStyle="1" w:styleId="67">
    <w:name w:val="页眉 Char"/>
    <w:link w:val="24"/>
    <w:semiHidden/>
    <w:qFormat/>
    <w:locked/>
    <w:uiPriority w:val="99"/>
    <w:rPr>
      <w:rFonts w:cs="Times New Roman"/>
      <w:sz w:val="18"/>
      <w:szCs w:val="18"/>
    </w:rPr>
  </w:style>
  <w:style w:type="character" w:customStyle="1" w:styleId="68">
    <w:name w:val="正文文本缩进 3 Char"/>
    <w:link w:val="27"/>
    <w:semiHidden/>
    <w:qFormat/>
    <w:locked/>
    <w:uiPriority w:val="99"/>
    <w:rPr>
      <w:rFonts w:cs="Times New Roman"/>
      <w:sz w:val="16"/>
      <w:szCs w:val="16"/>
    </w:rPr>
  </w:style>
  <w:style w:type="character" w:customStyle="1" w:styleId="69">
    <w:name w:val="标题 Char"/>
    <w:link w:val="33"/>
    <w:qFormat/>
    <w:locked/>
    <w:uiPriority w:val="99"/>
    <w:rPr>
      <w:rFonts w:ascii="Cambria" w:hAnsi="Cambria" w:cs="Times New Roman"/>
      <w:b/>
      <w:bCs/>
      <w:kern w:val="2"/>
      <w:sz w:val="32"/>
      <w:szCs w:val="32"/>
    </w:rPr>
  </w:style>
  <w:style w:type="paragraph" w:customStyle="1" w:styleId="70">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1">
    <w:name w:val="表中"/>
    <w:basedOn w:val="1"/>
    <w:qFormat/>
    <w:uiPriority w:val="99"/>
    <w:pPr>
      <w:adjustRightInd w:val="0"/>
      <w:snapToGrid w:val="0"/>
      <w:spacing w:line="420" w:lineRule="atLeast"/>
      <w:jc w:val="center"/>
      <w:textAlignment w:val="baseline"/>
    </w:pPr>
    <w:rPr>
      <w:kern w:val="0"/>
      <w:szCs w:val="20"/>
    </w:rPr>
  </w:style>
  <w:style w:type="paragraph" w:customStyle="1" w:styleId="72">
    <w:name w:val="样式1"/>
    <w:basedOn w:val="1"/>
    <w:qFormat/>
    <w:uiPriority w:val="99"/>
    <w:pPr>
      <w:tabs>
        <w:tab w:val="left" w:pos="360"/>
      </w:tabs>
    </w:pPr>
  </w:style>
  <w:style w:type="paragraph" w:customStyle="1" w:styleId="73">
    <w:name w:val="附件正文"/>
    <w:basedOn w:val="1"/>
    <w:qFormat/>
    <w:uiPriority w:val="99"/>
    <w:pPr>
      <w:snapToGrid w:val="0"/>
    </w:pPr>
    <w:rPr>
      <w:kern w:val="0"/>
      <w:sz w:val="24"/>
    </w:rPr>
  </w:style>
  <w:style w:type="paragraph" w:customStyle="1" w:styleId="74">
    <w:name w:val="列出段落1"/>
    <w:basedOn w:val="1"/>
    <w:qFormat/>
    <w:uiPriority w:val="99"/>
    <w:pPr>
      <w:ind w:firstLine="420" w:firstLineChars="200"/>
    </w:pPr>
  </w:style>
  <w:style w:type="paragraph" w:customStyle="1" w:styleId="75">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6">
    <w:name w:val="注"/>
    <w:basedOn w:val="1"/>
    <w:qFormat/>
    <w:uiPriority w:val="99"/>
    <w:pPr>
      <w:adjustRightInd w:val="0"/>
      <w:spacing w:line="420" w:lineRule="atLeast"/>
      <w:ind w:firstLine="340"/>
      <w:textAlignment w:val="baseline"/>
    </w:pPr>
    <w:rPr>
      <w:kern w:val="0"/>
      <w:sz w:val="18"/>
      <w:szCs w:val="20"/>
    </w:rPr>
  </w:style>
  <w:style w:type="paragraph" w:customStyle="1" w:styleId="77">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8">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9">
    <w:name w:val="标题4"/>
    <w:basedOn w:val="1"/>
    <w:qFormat/>
    <w:uiPriority w:val="99"/>
    <w:pPr>
      <w:spacing w:beforeLines="100" w:afterLines="100" w:line="360" w:lineRule="auto"/>
    </w:pPr>
    <w:rPr>
      <w:sz w:val="28"/>
    </w:rPr>
  </w:style>
  <w:style w:type="paragraph" w:customStyle="1" w:styleId="80">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1">
    <w:name w:val="列出段落2"/>
    <w:basedOn w:val="1"/>
    <w:qFormat/>
    <w:uiPriority w:val="99"/>
    <w:pPr>
      <w:ind w:firstLine="420" w:firstLineChars="200"/>
    </w:pPr>
    <w:rPr>
      <w:rFonts w:ascii="Calibri" w:hAnsi="Calibri"/>
      <w:szCs w:val="22"/>
    </w:rPr>
  </w:style>
  <w:style w:type="paragraph" w:customStyle="1" w:styleId="82">
    <w:name w:val="列出段落3"/>
    <w:basedOn w:val="1"/>
    <w:qFormat/>
    <w:uiPriority w:val="99"/>
    <w:pPr>
      <w:ind w:firstLine="420" w:firstLineChars="200"/>
    </w:pPr>
    <w:rPr>
      <w:rFonts w:ascii="Calibri" w:hAnsi="Calibri"/>
      <w:szCs w:val="22"/>
    </w:rPr>
  </w:style>
  <w:style w:type="paragraph" w:customStyle="1" w:styleId="83">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4">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5">
    <w:name w:val="font7"/>
    <w:basedOn w:val="1"/>
    <w:qFormat/>
    <w:uiPriority w:val="99"/>
    <w:pPr>
      <w:widowControl/>
      <w:spacing w:before="100" w:beforeAutospacing="1" w:after="100" w:afterAutospacing="1"/>
      <w:jc w:val="left"/>
    </w:pPr>
    <w:rPr>
      <w:kern w:val="0"/>
      <w:sz w:val="20"/>
      <w:szCs w:val="20"/>
    </w:rPr>
  </w:style>
  <w:style w:type="paragraph" w:customStyle="1" w:styleId="86">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7">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8">
    <w:name w:val="font10"/>
    <w:basedOn w:val="1"/>
    <w:qFormat/>
    <w:uiPriority w:val="99"/>
    <w:pPr>
      <w:widowControl/>
      <w:spacing w:before="100" w:beforeAutospacing="1" w:after="100" w:afterAutospacing="1"/>
      <w:jc w:val="left"/>
    </w:pPr>
    <w:rPr>
      <w:kern w:val="0"/>
      <w:szCs w:val="21"/>
    </w:rPr>
  </w:style>
  <w:style w:type="paragraph" w:customStyle="1" w:styleId="89">
    <w:name w:val="font11"/>
    <w:basedOn w:val="1"/>
    <w:qFormat/>
    <w:uiPriority w:val="99"/>
    <w:pPr>
      <w:widowControl/>
      <w:spacing w:before="100" w:beforeAutospacing="1" w:after="100" w:afterAutospacing="1"/>
      <w:jc w:val="left"/>
    </w:pPr>
    <w:rPr>
      <w:kern w:val="0"/>
      <w:sz w:val="22"/>
      <w:szCs w:val="22"/>
    </w:rPr>
  </w:style>
  <w:style w:type="paragraph" w:customStyle="1" w:styleId="90">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1">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2">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3">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4">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5">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6">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0">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1">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2">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4">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7">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8">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9">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0">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1">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4">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5">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6">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9">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0">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4">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5">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7">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8">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1">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8">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0">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4">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4">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5">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6">
    <w:name w:val="Char Char Char"/>
    <w:qFormat/>
    <w:uiPriority w:val="99"/>
    <w:rPr>
      <w:rFonts w:ascii="Arial" w:hAnsi="Arial" w:eastAsia="宋体" w:cs="Times New Roman"/>
      <w:b/>
      <w:bCs/>
      <w:kern w:val="2"/>
      <w:sz w:val="32"/>
      <w:szCs w:val="32"/>
      <w:lang w:val="en-US" w:eastAsia="zh-CN" w:bidi="ar-SA"/>
    </w:rPr>
  </w:style>
  <w:style w:type="character" w:customStyle="1" w:styleId="177">
    <w:name w:val="Char Char1"/>
    <w:qFormat/>
    <w:uiPriority w:val="99"/>
    <w:rPr>
      <w:rFonts w:eastAsia="宋体" w:cs="Times New Roman"/>
      <w:b/>
      <w:bCs/>
      <w:kern w:val="44"/>
      <w:sz w:val="44"/>
      <w:szCs w:val="44"/>
      <w:lang w:val="en-US" w:eastAsia="zh-CN" w:bidi="ar-SA"/>
    </w:rPr>
  </w:style>
  <w:style w:type="character" w:customStyle="1" w:styleId="178">
    <w:name w:val="标题 2 Char Char"/>
    <w:qFormat/>
    <w:uiPriority w:val="99"/>
    <w:rPr>
      <w:rFonts w:ascii="Arial" w:hAnsi="Arial" w:eastAsia="宋体" w:cs="Times New Roman"/>
      <w:b/>
      <w:bCs/>
      <w:kern w:val="2"/>
      <w:sz w:val="32"/>
      <w:szCs w:val="32"/>
      <w:lang w:val="en-US" w:eastAsia="zh-CN" w:bidi="ar-SA"/>
    </w:rPr>
  </w:style>
  <w:style w:type="character" w:customStyle="1" w:styleId="179">
    <w:name w:val="unnamed11"/>
    <w:qFormat/>
    <w:uiPriority w:val="99"/>
    <w:rPr>
      <w:rFonts w:cs="Times New Roman"/>
      <w:sz w:val="18"/>
      <w:szCs w:val="18"/>
    </w:rPr>
  </w:style>
  <w:style w:type="character" w:customStyle="1" w:styleId="180">
    <w:name w:val="页码1"/>
    <w:qFormat/>
    <w:uiPriority w:val="99"/>
    <w:rPr>
      <w:rFonts w:cs="Times New Roman"/>
    </w:rPr>
  </w:style>
  <w:style w:type="character" w:customStyle="1" w:styleId="181">
    <w:name w:val="font131"/>
    <w:qFormat/>
    <w:uiPriority w:val="99"/>
    <w:rPr>
      <w:rFonts w:ascii="宋体" w:hAnsi="宋体" w:eastAsia="宋体" w:cs="宋体"/>
      <w:color w:val="000000"/>
      <w:sz w:val="22"/>
      <w:szCs w:val="22"/>
      <w:u w:val="none"/>
    </w:rPr>
  </w:style>
  <w:style w:type="character" w:customStyle="1" w:styleId="182">
    <w:name w:val="font81"/>
    <w:qFormat/>
    <w:uiPriority w:val="99"/>
    <w:rPr>
      <w:rFonts w:ascii="Arial" w:hAnsi="Arial" w:cs="Arial"/>
      <w:color w:val="000000"/>
      <w:sz w:val="22"/>
      <w:szCs w:val="22"/>
      <w:u w:val="none"/>
    </w:rPr>
  </w:style>
  <w:style w:type="character" w:customStyle="1" w:styleId="183">
    <w:name w:val="font91"/>
    <w:qFormat/>
    <w:uiPriority w:val="99"/>
    <w:rPr>
      <w:rFonts w:ascii="宋体" w:hAnsi="宋体" w:eastAsia="宋体" w:cs="宋体"/>
      <w:color w:val="000000"/>
      <w:sz w:val="14"/>
      <w:szCs w:val="14"/>
      <w:u w:val="none"/>
    </w:rPr>
  </w:style>
  <w:style w:type="character" w:customStyle="1" w:styleId="184">
    <w:name w:val="font61"/>
    <w:qFormat/>
    <w:uiPriority w:val="99"/>
    <w:rPr>
      <w:rFonts w:ascii="宋体" w:hAnsi="宋体" w:eastAsia="宋体" w:cs="宋体"/>
      <w:color w:val="000000"/>
      <w:sz w:val="20"/>
      <w:szCs w:val="20"/>
      <w:u w:val="none"/>
    </w:rPr>
  </w:style>
  <w:style w:type="character" w:customStyle="1" w:styleId="185">
    <w:name w:val="font21"/>
    <w:qFormat/>
    <w:uiPriority w:val="99"/>
    <w:rPr>
      <w:rFonts w:ascii="宋体" w:hAnsi="宋体" w:eastAsia="宋体" w:cs="宋体"/>
      <w:color w:val="000000"/>
      <w:sz w:val="16"/>
      <w:szCs w:val="16"/>
      <w:u w:val="none"/>
    </w:rPr>
  </w:style>
  <w:style w:type="character" w:customStyle="1" w:styleId="186">
    <w:name w:val="font31"/>
    <w:qFormat/>
    <w:uiPriority w:val="99"/>
    <w:rPr>
      <w:rFonts w:ascii="Arial" w:hAnsi="Arial" w:cs="Arial"/>
      <w:b/>
      <w:color w:val="000000"/>
      <w:sz w:val="22"/>
      <w:szCs w:val="22"/>
      <w:u w:val="none"/>
    </w:rPr>
  </w:style>
  <w:style w:type="character" w:customStyle="1" w:styleId="187">
    <w:name w:val="font111"/>
    <w:qFormat/>
    <w:uiPriority w:val="99"/>
    <w:rPr>
      <w:rFonts w:ascii="宋体" w:hAnsi="宋体" w:eastAsia="宋体" w:cs="宋体"/>
      <w:b/>
      <w:color w:val="000000"/>
      <w:sz w:val="22"/>
      <w:szCs w:val="22"/>
      <w:u w:val="none"/>
    </w:rPr>
  </w:style>
  <w:style w:type="character" w:customStyle="1" w:styleId="188">
    <w:name w:val="font51"/>
    <w:qFormat/>
    <w:uiPriority w:val="99"/>
    <w:rPr>
      <w:rFonts w:ascii="Arial" w:hAnsi="Arial" w:cs="Arial"/>
      <w:b/>
      <w:color w:val="000000"/>
      <w:sz w:val="20"/>
      <w:szCs w:val="20"/>
      <w:u w:val="none"/>
    </w:rPr>
  </w:style>
  <w:style w:type="character" w:customStyle="1" w:styleId="189">
    <w:name w:val="font101"/>
    <w:qFormat/>
    <w:uiPriority w:val="99"/>
    <w:rPr>
      <w:rFonts w:ascii="宋体" w:hAnsi="宋体" w:eastAsia="宋体" w:cs="宋体"/>
      <w:b/>
      <w:color w:val="000000"/>
      <w:sz w:val="20"/>
      <w:szCs w:val="20"/>
      <w:u w:val="none"/>
    </w:rPr>
  </w:style>
  <w:style w:type="character" w:customStyle="1" w:styleId="190">
    <w:name w:val="font01"/>
    <w:qFormat/>
    <w:uiPriority w:val="99"/>
    <w:rPr>
      <w:rFonts w:ascii="Arial" w:hAnsi="Arial" w:cs="Arial"/>
      <w:color w:val="000000"/>
      <w:sz w:val="20"/>
      <w:szCs w:val="20"/>
      <w:u w:val="none"/>
    </w:rPr>
  </w:style>
  <w:style w:type="character" w:customStyle="1" w:styleId="191">
    <w:name w:val="font41"/>
    <w:qFormat/>
    <w:uiPriority w:val="99"/>
    <w:rPr>
      <w:rFonts w:ascii="微软雅黑" w:hAnsi="微软雅黑" w:eastAsia="微软雅黑" w:cs="微软雅黑"/>
      <w:color w:val="000000"/>
      <w:sz w:val="20"/>
      <w:szCs w:val="20"/>
      <w:u w:val="none"/>
    </w:rPr>
  </w:style>
  <w:style w:type="character" w:customStyle="1" w:styleId="192">
    <w:name w:val="font121"/>
    <w:qFormat/>
    <w:uiPriority w:val="99"/>
    <w:rPr>
      <w:rFonts w:ascii="宋体" w:hAnsi="宋体" w:eastAsia="宋体" w:cs="宋体"/>
      <w:color w:val="000000"/>
      <w:sz w:val="22"/>
      <w:szCs w:val="22"/>
      <w:u w:val="none"/>
    </w:rPr>
  </w:style>
  <w:style w:type="character" w:customStyle="1" w:styleId="193">
    <w:name w:val="font151"/>
    <w:qFormat/>
    <w:uiPriority w:val="99"/>
    <w:rPr>
      <w:rFonts w:ascii="Calibri" w:hAnsi="Calibri" w:cs="Calibri"/>
      <w:color w:val="000000"/>
      <w:sz w:val="20"/>
      <w:szCs w:val="20"/>
      <w:u w:val="none"/>
    </w:rPr>
  </w:style>
  <w:style w:type="character" w:customStyle="1" w:styleId="194">
    <w:name w:val="font141"/>
    <w:qFormat/>
    <w:uiPriority w:val="99"/>
    <w:rPr>
      <w:rFonts w:ascii="Calibri" w:hAnsi="Calibri" w:cs="Calibri"/>
      <w:color w:val="000000"/>
      <w:sz w:val="21"/>
      <w:szCs w:val="21"/>
      <w:u w:val="none"/>
    </w:rPr>
  </w:style>
  <w:style w:type="character" w:customStyle="1" w:styleId="195">
    <w:name w:val="font71"/>
    <w:qFormat/>
    <w:uiPriority w:val="99"/>
    <w:rPr>
      <w:rFonts w:ascii="宋体" w:hAnsi="宋体" w:eastAsia="宋体" w:cs="宋体"/>
      <w:color w:val="000000"/>
      <w:sz w:val="18"/>
      <w:szCs w:val="18"/>
      <w:u w:val="none"/>
    </w:rPr>
  </w:style>
  <w:style w:type="character" w:customStyle="1" w:styleId="196">
    <w:name w:val="l-btn-empty"/>
    <w:basedOn w:val="37"/>
    <w:qFormat/>
    <w:uiPriority w:val="0"/>
  </w:style>
  <w:style w:type="character" w:customStyle="1" w:styleId="197">
    <w:name w:val="l-btn-left2"/>
    <w:basedOn w:val="37"/>
    <w:qFormat/>
    <w:uiPriority w:val="0"/>
  </w:style>
  <w:style w:type="character" w:customStyle="1" w:styleId="198">
    <w:name w:val="l-btn-left3"/>
    <w:basedOn w:val="37"/>
    <w:qFormat/>
    <w:uiPriority w:val="0"/>
  </w:style>
  <w:style w:type="character" w:customStyle="1" w:styleId="199">
    <w:name w:val="l-btn-left4"/>
    <w:basedOn w:val="37"/>
    <w:qFormat/>
    <w:uiPriority w:val="0"/>
  </w:style>
  <w:style w:type="character" w:customStyle="1" w:styleId="200">
    <w:name w:val="l-btn-left5"/>
    <w:basedOn w:val="37"/>
    <w:qFormat/>
    <w:uiPriority w:val="0"/>
  </w:style>
  <w:style w:type="character" w:customStyle="1" w:styleId="201">
    <w:name w:val="l-btn-text"/>
    <w:basedOn w:val="37"/>
    <w:qFormat/>
    <w:uiPriority w:val="0"/>
  </w:style>
  <w:style w:type="character" w:customStyle="1" w:styleId="202">
    <w:name w:val="l-selected2"/>
    <w:qFormat/>
    <w:uiPriority w:val="0"/>
    <w:rPr>
      <w:color w:val="355686"/>
      <w:bdr w:val="single" w:color="DAB364" w:sz="6" w:space="0"/>
      <w:shd w:val="clear" w:color="auto" w:fill="FFFFFF"/>
    </w:rPr>
  </w:style>
  <w:style w:type="character" w:customStyle="1" w:styleId="203">
    <w:name w:val="l-open"/>
    <w:basedOn w:val="37"/>
    <w:qFormat/>
    <w:uiPriority w:val="0"/>
  </w:style>
  <w:style w:type="character" w:customStyle="1" w:styleId="204">
    <w:name w:val="l-over"/>
    <w:qFormat/>
    <w:uiPriority w:val="0"/>
    <w:rPr>
      <w:bdr w:val="single" w:color="DAB364" w:sz="6" w:space="0"/>
    </w:rPr>
  </w:style>
  <w:style w:type="character" w:customStyle="1" w:styleId="205">
    <w:name w:val="l-selected"/>
    <w:qFormat/>
    <w:uiPriority w:val="0"/>
    <w:rPr>
      <w:color w:val="355686"/>
      <w:bdr w:val="single" w:color="DAB364" w:sz="6" w:space="0"/>
      <w:shd w:val="clear" w:color="auto" w:fill="FFFFFF"/>
    </w:rPr>
  </w:style>
  <w:style w:type="character" w:customStyle="1" w:styleId="206">
    <w:name w:val="l-btn-left"/>
    <w:basedOn w:val="37"/>
    <w:qFormat/>
    <w:uiPriority w:val="0"/>
  </w:style>
  <w:style w:type="character" w:customStyle="1" w:styleId="207">
    <w:name w:val="l-btn-left1"/>
    <w:basedOn w:val="37"/>
    <w:qFormat/>
    <w:uiPriority w:val="0"/>
  </w:style>
  <w:style w:type="paragraph" w:customStyle="1" w:styleId="20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9">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0">
    <w:name w:val="样式3"/>
    <w:basedOn w:val="19"/>
    <w:qFormat/>
    <w:uiPriority w:val="0"/>
    <w:pPr>
      <w:spacing w:line="0" w:lineRule="atLeast"/>
      <w:outlineLvl w:val="0"/>
    </w:pPr>
    <w:rPr>
      <w:rFonts w:ascii="Times New Roman" w:hAnsi="Times New Roman"/>
      <w:sz w:val="28"/>
    </w:rPr>
  </w:style>
  <w:style w:type="paragraph" w:customStyle="1" w:styleId="211">
    <w:name w:val="列出段落4"/>
    <w:basedOn w:val="1"/>
    <w:qFormat/>
    <w:uiPriority w:val="34"/>
    <w:pPr>
      <w:ind w:firstLine="420" w:firstLineChars="200"/>
    </w:pPr>
  </w:style>
  <w:style w:type="character" w:customStyle="1" w:styleId="212">
    <w:name w:val="tcolor4"/>
    <w:qFormat/>
    <w:uiPriority w:val="0"/>
    <w:rPr>
      <w:rFonts w:ascii="lucida grande" w:hAnsi="lucida grande" w:eastAsia="lucida grande" w:cs="lucida grande"/>
      <w:color w:val="7F7F7F"/>
      <w:sz w:val="18"/>
      <w:szCs w:val="18"/>
    </w:rPr>
  </w:style>
  <w:style w:type="character" w:customStyle="1" w:styleId="213">
    <w:name w:val="apple-style-span"/>
    <w:qFormat/>
    <w:uiPriority w:val="0"/>
    <w:rPr>
      <w:rFonts w:cs="Times New Roman"/>
    </w:rPr>
  </w:style>
  <w:style w:type="paragraph" w:customStyle="1" w:styleId="214">
    <w:name w:val="_Style 1"/>
    <w:basedOn w:val="1"/>
    <w:qFormat/>
    <w:uiPriority w:val="0"/>
    <w:pPr>
      <w:ind w:firstLine="420" w:firstLineChars="200"/>
    </w:pPr>
    <w:rPr>
      <w:szCs w:val="22"/>
    </w:rPr>
  </w:style>
  <w:style w:type="character" w:customStyle="1" w:styleId="215">
    <w:name w:val="fontstyle21"/>
    <w:qFormat/>
    <w:uiPriority w:val="0"/>
    <w:rPr>
      <w:rFonts w:ascii="TimesNewRomanPSMT" w:hAnsi="TimesNewRomanPSMT" w:eastAsia="TimesNewRomanPSMT" w:cs="TimesNewRomanPSMT"/>
      <w:color w:val="000000"/>
      <w:sz w:val="18"/>
      <w:szCs w:val="18"/>
    </w:rPr>
  </w:style>
  <w:style w:type="character" w:customStyle="1" w:styleId="216">
    <w:name w:val="fontstyle01"/>
    <w:qFormat/>
    <w:uiPriority w:val="0"/>
    <w:rPr>
      <w:rFonts w:hint="eastAsia" w:ascii="宋体" w:hAnsi="宋体" w:eastAsia="宋体" w:cs="宋体"/>
      <w:color w:val="000000"/>
      <w:sz w:val="24"/>
      <w:szCs w:val="24"/>
    </w:rPr>
  </w:style>
  <w:style w:type="paragraph" w:customStyle="1" w:styleId="217">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8">
    <w:name w:val="标准段落正文"/>
    <w:basedOn w:val="219"/>
    <w:qFormat/>
    <w:uiPriority w:val="0"/>
    <w:pPr>
      <w:spacing w:beforeLines="0" w:afterLines="0"/>
      <w:ind w:left="0" w:leftChars="0" w:firstLine="480" w:firstLineChars="200"/>
      <w:jc w:val="left"/>
    </w:pPr>
    <w:rPr>
      <w:rFonts w:eastAsia="宋体"/>
    </w:rPr>
  </w:style>
  <w:style w:type="paragraph" w:customStyle="1" w:styleId="219">
    <w:name w:val="单括号小标题"/>
    <w:basedOn w:val="1"/>
    <w:qFormat/>
    <w:uiPriority w:val="0"/>
    <w:pPr>
      <w:spacing w:beforeLines="50" w:afterLines="100" w:line="360" w:lineRule="auto"/>
      <w:ind w:left="200" w:leftChars="200"/>
    </w:pPr>
    <w:rPr>
      <w:rFonts w:eastAsia="黑体"/>
      <w:sz w:val="24"/>
    </w:rPr>
  </w:style>
  <w:style w:type="paragraph" w:styleId="220">
    <w:name w:val="List Paragraph"/>
    <w:basedOn w:val="1"/>
    <w:qFormat/>
    <w:uiPriority w:val="34"/>
    <w:pPr>
      <w:ind w:firstLine="420" w:firstLineChars="200"/>
    </w:pPr>
  </w:style>
  <w:style w:type="paragraph" w:customStyle="1" w:styleId="221">
    <w:name w:val="Table Paragraph"/>
    <w:basedOn w:val="1"/>
    <w:qFormat/>
    <w:uiPriority w:val="1"/>
    <w:rPr>
      <w:rFonts w:ascii="宋体" w:hAnsi="宋体" w:cs="宋体"/>
    </w:rPr>
  </w:style>
  <w:style w:type="paragraph" w:customStyle="1" w:styleId="222">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3">
    <w:name w:val="add"/>
    <w:basedOn w:val="37"/>
    <w:qFormat/>
    <w:uiPriority w:val="0"/>
  </w:style>
  <w:style w:type="character" w:customStyle="1" w:styleId="224">
    <w:name w:val="hover9"/>
    <w:basedOn w:val="37"/>
    <w:qFormat/>
    <w:uiPriority w:val="0"/>
    <w:rPr>
      <w:color w:val="FF0000"/>
    </w:rPr>
  </w:style>
  <w:style w:type="character" w:customStyle="1" w:styleId="225">
    <w:name w:val="orange"/>
    <w:basedOn w:val="37"/>
    <w:qFormat/>
    <w:uiPriority w:val="0"/>
    <w:rPr>
      <w:color w:val="FF851A"/>
    </w:rPr>
  </w:style>
  <w:style w:type="character" w:customStyle="1" w:styleId="226">
    <w:name w:val="tradclose"/>
    <w:basedOn w:val="37"/>
    <w:qFormat/>
    <w:uiPriority w:val="0"/>
    <w:rPr>
      <w:sz w:val="30"/>
      <w:szCs w:val="30"/>
    </w:rPr>
  </w:style>
  <w:style w:type="character" w:customStyle="1" w:styleId="227">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4.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18</TotalTime>
  <ScaleCrop>false</ScaleCrop>
  <LinksUpToDate>false</LinksUpToDate>
  <CharactersWithSpaces>36057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Administrator</cp:lastModifiedBy>
  <cp:lastPrinted>2020-04-26T03:24:46Z</cp:lastPrinted>
  <dcterms:modified xsi:type="dcterms:W3CDTF">2020-04-26T03:46:12Z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