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adjustRightInd w:val="0"/>
        <w:snapToGrid w:val="0"/>
        <w:spacing w:line="360" w:lineRule="auto"/>
        <w:ind w:left="420" w:leftChars="200"/>
        <w:jc w:val="center"/>
        <w:rPr>
          <w:rFonts w:hint="eastAsia" w:ascii="宋体" w:hAnsi="宋体" w:cs="宋体"/>
          <w:b/>
          <w:sz w:val="28"/>
          <w:szCs w:val="28"/>
        </w:rPr>
      </w:pPr>
      <w:r>
        <w:rPr>
          <w:rFonts w:hint="eastAsia" w:ascii="宋体" w:hAnsi="宋体" w:cs="宋体"/>
          <w:b/>
          <w:bCs/>
          <w:sz w:val="72"/>
          <w:szCs w:val="72"/>
        </w:rPr>
        <w:t>甘肃省</w:t>
      </w:r>
      <w:r>
        <w:rPr>
          <w:rFonts w:hint="eastAsia" w:ascii="宋体" w:hAnsi="宋体" w:cs="宋体"/>
          <w:b/>
          <w:bCs/>
          <w:sz w:val="72"/>
          <w:szCs w:val="72"/>
          <w:lang w:eastAsia="zh-CN"/>
        </w:rPr>
        <w:t>第二人民医院互联网</w:t>
      </w:r>
      <w:r>
        <w:rPr>
          <w:rFonts w:hint="eastAsia" w:ascii="宋体" w:hAnsi="宋体" w:cs="宋体"/>
          <w:b/>
          <w:bCs/>
          <w:sz w:val="72"/>
          <w:szCs w:val="72"/>
          <w:lang w:val="en-US" w:eastAsia="zh-CN"/>
        </w:rPr>
        <w:t>500M带宽专线</w:t>
      </w:r>
      <w:r>
        <w:rPr>
          <w:rFonts w:hint="eastAsia" w:ascii="宋体" w:hAnsi="宋体" w:cs="宋体"/>
          <w:b/>
          <w:bCs/>
          <w:sz w:val="72"/>
          <w:szCs w:val="72"/>
        </w:rPr>
        <w:t>服务</w:t>
      </w:r>
      <w:r>
        <w:rPr>
          <w:rFonts w:hint="eastAsia" w:ascii="宋体" w:hAnsi="宋体" w:cs="宋体"/>
          <w:b/>
          <w:bCs/>
          <w:sz w:val="72"/>
          <w:szCs w:val="72"/>
          <w:lang w:val="en-US" w:eastAsia="zh-CN"/>
        </w:rPr>
        <w:t>采购</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sz w:val="30"/>
          <w:szCs w:val="30"/>
        </w:rPr>
      </w:pPr>
      <w:r>
        <w:rPr>
          <w:rFonts w:hint="eastAsia" w:ascii="宋体" w:hAnsi="宋体" w:cs="宋体"/>
          <w:b/>
          <w:color w:val="auto"/>
          <w:sz w:val="72"/>
        </w:rPr>
        <w:t>招标文</w:t>
      </w:r>
      <w:r>
        <w:rPr>
          <w:rFonts w:hint="eastAsia" w:ascii="宋体" w:hAnsi="宋体" w:cs="宋体"/>
          <w:b/>
          <w:sz w:val="72"/>
        </w:rPr>
        <w:t>件</w:t>
      </w:r>
    </w:p>
    <w:p>
      <w:pPr>
        <w:widowControl/>
        <w:spacing w:line="360" w:lineRule="auto"/>
        <w:jc w:val="center"/>
        <w:rPr>
          <w:rFonts w:hint="default" w:ascii="宋体" w:hAnsi="宋体" w:eastAsia="宋体" w:cs="宋体"/>
          <w:b/>
          <w:bCs/>
          <w:color w:val="auto"/>
          <w:kern w:val="0"/>
          <w:sz w:val="30"/>
          <w:szCs w:val="30"/>
          <w:lang w:val="en-US" w:eastAsia="zh-CN"/>
        </w:rPr>
      </w:pPr>
      <w:r>
        <w:rPr>
          <w:rFonts w:hint="eastAsia" w:ascii="宋体" w:hAnsi="宋体" w:cs="宋体"/>
          <w:b/>
          <w:sz w:val="30"/>
          <w:szCs w:val="30"/>
        </w:rPr>
        <w:t>招标</w:t>
      </w:r>
      <w:r>
        <w:rPr>
          <w:rFonts w:hint="eastAsia" w:ascii="宋体" w:hAnsi="宋体" w:cs="宋体"/>
          <w:b/>
          <w:color w:val="auto"/>
          <w:sz w:val="30"/>
          <w:szCs w:val="30"/>
        </w:rPr>
        <w:t>编号：</w:t>
      </w:r>
      <w:r>
        <w:rPr>
          <w:rFonts w:hint="eastAsia" w:ascii="宋体" w:hAnsi="宋体" w:cs="宋体"/>
          <w:b/>
          <w:color w:val="auto"/>
          <w:sz w:val="30"/>
          <w:szCs w:val="30"/>
          <w:lang w:val="en-US" w:eastAsia="zh-CN"/>
        </w:rPr>
        <w:t>SEY-2020YNCG-054</w:t>
      </w:r>
    </w:p>
    <w:p>
      <w:pPr>
        <w:widowControl/>
        <w:spacing w:line="360" w:lineRule="auto"/>
        <w:rPr>
          <w:rFonts w:ascii="宋体" w:hAnsi="宋体" w:cs="宋体"/>
          <w:b/>
          <w:bCs/>
          <w:color w:val="auto"/>
          <w:kern w:val="0"/>
          <w:sz w:val="30"/>
          <w:szCs w:val="30"/>
        </w:rPr>
      </w:pPr>
    </w:p>
    <w:p>
      <w:pPr>
        <w:spacing w:line="360" w:lineRule="auto"/>
        <w:jc w:val="center"/>
        <w:rPr>
          <w:rFonts w:ascii="宋体" w:hAnsi="宋体" w:cs="宋体"/>
          <w:b/>
          <w:color w:val="auto"/>
          <w:sz w:val="52"/>
          <w:szCs w:val="52"/>
        </w:rPr>
      </w:pPr>
    </w:p>
    <w:p>
      <w:pPr>
        <w:spacing w:line="360" w:lineRule="auto"/>
        <w:ind w:firstLine="590" w:firstLineChars="196"/>
        <w:jc w:val="center"/>
        <w:rPr>
          <w:rFonts w:ascii="宋体" w:hAnsi="宋体" w:cs="宋体"/>
          <w:b/>
          <w:color w:val="auto"/>
          <w:sz w:val="30"/>
          <w:szCs w:val="30"/>
        </w:rPr>
      </w:pPr>
    </w:p>
    <w:p>
      <w:pPr>
        <w:spacing w:line="360" w:lineRule="auto"/>
        <w:rPr>
          <w:rFonts w:ascii="宋体" w:hAnsi="宋体" w:cs="宋体"/>
          <w:color w:val="auto"/>
          <w:sz w:val="32"/>
        </w:rPr>
      </w:pPr>
    </w:p>
    <w:p>
      <w:pPr>
        <w:spacing w:line="360" w:lineRule="auto"/>
        <w:ind w:firstLine="2108" w:firstLineChars="700"/>
        <w:rPr>
          <w:rFonts w:hint="eastAsia" w:ascii="宋体" w:hAnsi="宋体" w:eastAsia="宋体" w:cs="宋体"/>
          <w:b/>
          <w:color w:val="auto"/>
          <w:sz w:val="30"/>
          <w:szCs w:val="30"/>
          <w:lang w:eastAsia="zh-CN"/>
        </w:rPr>
      </w:pPr>
      <w:r>
        <w:rPr>
          <w:rFonts w:hint="eastAsia" w:ascii="宋体" w:hAnsi="宋体" w:cs="宋体"/>
          <w:b/>
          <w:color w:val="auto"/>
          <w:sz w:val="30"/>
          <w:szCs w:val="30"/>
        </w:rPr>
        <w:t>采</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购</w:t>
      </w:r>
      <w:r>
        <w:rPr>
          <w:rFonts w:hint="eastAsia" w:ascii="宋体" w:hAnsi="宋体" w:cs="宋体"/>
          <w:b/>
          <w:color w:val="auto"/>
          <w:sz w:val="30"/>
          <w:szCs w:val="30"/>
          <w:lang w:val="en-US" w:eastAsia="zh-CN"/>
        </w:rPr>
        <w:t xml:space="preserve"> </w:t>
      </w:r>
      <w:r>
        <w:rPr>
          <w:rFonts w:hint="eastAsia" w:ascii="宋体" w:hAnsi="宋体" w:cs="宋体"/>
          <w:b/>
          <w:color w:val="auto"/>
          <w:sz w:val="30"/>
          <w:szCs w:val="30"/>
        </w:rPr>
        <w:t>人：</w:t>
      </w:r>
      <w:r>
        <w:rPr>
          <w:rFonts w:hint="eastAsia" w:ascii="宋体" w:hAnsi="宋体" w:cs="宋体"/>
          <w:b/>
          <w:color w:val="auto"/>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五</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25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26</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27</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46</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327439434"/>
      <w:bookmarkStart w:id="4" w:name="_Toc128372051"/>
      <w:bookmarkStart w:id="5" w:name="_Toc128372729"/>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color w:val="auto"/>
          <w:sz w:val="24"/>
        </w:rPr>
      </w:pPr>
      <w:r>
        <w:rPr>
          <w:rFonts w:hint="eastAsia" w:ascii="宋体" w:hAnsi="宋体" w:cs="宋体"/>
          <w:sz w:val="24"/>
          <w:lang w:eastAsia="zh-CN"/>
        </w:rPr>
        <w:t>根据</w:t>
      </w:r>
      <w:r>
        <w:rPr>
          <w:rFonts w:hint="eastAsia" w:ascii="宋体" w:hAnsi="宋体" w:cs="宋体"/>
          <w:color w:val="auto"/>
          <w:sz w:val="24"/>
          <w:lang w:eastAsia="zh-CN"/>
        </w:rPr>
        <w:t>相关科室需求，经院主管部门批准</w:t>
      </w:r>
      <w:r>
        <w:rPr>
          <w:rFonts w:hint="eastAsia" w:ascii="宋体" w:hAnsi="宋体" w:cs="宋体"/>
          <w:color w:val="auto"/>
          <w:sz w:val="24"/>
        </w:rPr>
        <w:t>，</w:t>
      </w:r>
      <w:r>
        <w:rPr>
          <w:rFonts w:hint="eastAsia" w:ascii="宋体" w:hAnsi="宋体" w:cs="宋体"/>
          <w:color w:val="auto"/>
          <w:sz w:val="24"/>
          <w:lang w:eastAsia="zh-CN"/>
        </w:rPr>
        <w:t>决定</w:t>
      </w:r>
      <w:r>
        <w:rPr>
          <w:rFonts w:hint="eastAsia" w:ascii="宋体" w:hAnsi="宋体" w:cs="宋体"/>
          <w:color w:val="auto"/>
          <w:sz w:val="24"/>
        </w:rPr>
        <w:t>对</w:t>
      </w:r>
      <w:r>
        <w:rPr>
          <w:rFonts w:hint="eastAsia" w:ascii="宋体" w:hAnsi="宋体" w:cs="宋体"/>
          <w:bCs/>
          <w:color w:val="auto"/>
          <w:sz w:val="24"/>
          <w:lang w:eastAsia="zh-CN"/>
        </w:rPr>
        <w:t>甘肃省第二人民医院互联网</w:t>
      </w:r>
      <w:r>
        <w:rPr>
          <w:rFonts w:hint="eastAsia" w:ascii="宋体" w:hAnsi="宋体" w:cs="宋体"/>
          <w:bCs/>
          <w:color w:val="auto"/>
          <w:sz w:val="24"/>
          <w:lang w:val="en-US" w:eastAsia="zh-CN"/>
        </w:rPr>
        <w:t>500M带宽专线服务</w:t>
      </w:r>
      <w:r>
        <w:rPr>
          <w:rFonts w:hint="eastAsia" w:ascii="宋体" w:hAnsi="宋体" w:cs="宋体"/>
          <w:bCs/>
          <w:color w:val="auto"/>
          <w:sz w:val="24"/>
        </w:rPr>
        <w:t>项目</w:t>
      </w:r>
      <w:r>
        <w:rPr>
          <w:rFonts w:hint="eastAsia" w:ascii="宋体" w:hAnsi="宋体" w:cs="宋体"/>
          <w:color w:val="auto"/>
          <w:sz w:val="24"/>
        </w:rPr>
        <w:t>以公开招标形式进行采购，欢迎符合资格条件的投标人前来参加。</w:t>
      </w:r>
    </w:p>
    <w:p>
      <w:pPr>
        <w:spacing w:line="360" w:lineRule="auto"/>
        <w:rPr>
          <w:rFonts w:hint="eastAsia" w:ascii="宋体" w:hAnsi="宋体" w:eastAsia="宋体" w:cs="宋体"/>
          <w:b/>
          <w:color w:val="auto"/>
          <w:sz w:val="24"/>
          <w:lang w:val="en-US" w:eastAsia="zh-CN"/>
        </w:rPr>
      </w:pPr>
      <w:r>
        <w:rPr>
          <w:rFonts w:hint="eastAsia" w:ascii="宋体" w:hAnsi="宋体" w:cs="宋体"/>
          <w:b/>
          <w:bCs/>
          <w:color w:val="auto"/>
          <w:sz w:val="24"/>
        </w:rPr>
        <w:t>1.招标文件编号：</w:t>
      </w:r>
      <w:r>
        <w:rPr>
          <w:rFonts w:hint="eastAsia" w:ascii="宋体" w:hAnsi="宋体" w:cs="宋体"/>
          <w:color w:val="auto"/>
          <w:sz w:val="24"/>
          <w:lang w:eastAsia="zh-CN"/>
        </w:rPr>
        <w:t>SEY-2020YNCG-054</w:t>
      </w:r>
    </w:p>
    <w:p>
      <w:pPr>
        <w:pStyle w:val="19"/>
        <w:keepNext w:val="0"/>
        <w:keepLines w:val="0"/>
        <w:pageBreakBefore w:val="0"/>
        <w:kinsoku/>
        <w:wordWrap/>
        <w:overflowPunct/>
        <w:topLinePunct w:val="0"/>
        <w:autoSpaceDE/>
        <w:autoSpaceDN/>
        <w:bidi w:val="0"/>
        <w:spacing w:before="0" w:beforeAutospacing="0" w:line="420" w:lineRule="exact"/>
        <w:rPr>
          <w:rFonts w:ascii="宋体" w:hAnsi="宋体" w:cs="宋体"/>
          <w:color w:val="auto"/>
          <w:sz w:val="24"/>
        </w:rPr>
      </w:pPr>
      <w:r>
        <w:rPr>
          <w:rFonts w:hint="eastAsia" w:ascii="宋体" w:hAnsi="宋体" w:cs="宋体"/>
          <w:b/>
          <w:bCs/>
          <w:color w:val="auto"/>
          <w:sz w:val="24"/>
        </w:rPr>
        <w:t>2.招标内容：</w:t>
      </w:r>
      <w:r>
        <w:rPr>
          <w:rFonts w:hint="eastAsia" w:ascii="宋体" w:hAnsi="宋体" w:cs="宋体"/>
          <w:bCs/>
          <w:color w:val="auto"/>
          <w:sz w:val="24"/>
          <w:lang w:eastAsia="zh-CN"/>
        </w:rPr>
        <w:t>互联网</w:t>
      </w:r>
      <w:r>
        <w:rPr>
          <w:rFonts w:hint="eastAsia" w:ascii="宋体" w:hAnsi="宋体" w:cs="宋体"/>
          <w:bCs/>
          <w:color w:val="auto"/>
          <w:sz w:val="24"/>
          <w:lang w:val="en-US" w:eastAsia="zh-CN"/>
        </w:rPr>
        <w:t>500M带宽专线</w:t>
      </w:r>
      <w:r>
        <w:rPr>
          <w:rFonts w:hint="eastAsia" w:hAnsi="宋体" w:cs="宋体"/>
          <w:bCs/>
          <w:color w:val="auto"/>
          <w:sz w:val="24"/>
          <w:lang w:val="en-US" w:eastAsia="zh-CN"/>
        </w:rPr>
        <w:t>服务</w:t>
      </w:r>
      <w:r>
        <w:rPr>
          <w:rFonts w:hint="eastAsia" w:ascii="Times New Roman" w:hAnsi="Times New Roman" w:eastAsia="宋体" w:cs="Times New Roman"/>
          <w:color w:val="auto"/>
          <w:sz w:val="24"/>
          <w:lang w:eastAsia="zh-CN"/>
        </w:rPr>
        <w:t>。</w:t>
      </w:r>
      <w:r>
        <w:rPr>
          <w:rFonts w:hint="eastAsia" w:ascii="宋体" w:hAnsi="宋体" w:cs="宋体"/>
          <w:color w:val="auto"/>
          <w:sz w:val="24"/>
        </w:rPr>
        <w:t>(本项目共一个包，具体招标要求详见招标文件)</w:t>
      </w:r>
    </w:p>
    <w:p>
      <w:pPr>
        <w:spacing w:line="360" w:lineRule="auto"/>
        <w:rPr>
          <w:rFonts w:ascii="宋体" w:hAnsi="宋体" w:cs="宋体"/>
          <w:b/>
          <w:bCs/>
          <w:color w:val="auto"/>
          <w:sz w:val="24"/>
        </w:rPr>
      </w:pPr>
      <w:r>
        <w:rPr>
          <w:rFonts w:hint="eastAsia" w:ascii="宋体" w:hAnsi="宋体" w:cs="宋体"/>
          <w:b/>
          <w:bCs/>
          <w:color w:val="auto"/>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spacing w:line="360" w:lineRule="auto"/>
        <w:ind w:firstLine="480" w:firstLineChars="200"/>
        <w:rPr>
          <w:rFonts w:ascii="宋体" w:hAnsi="宋体" w:cs="宋体"/>
          <w:sz w:val="24"/>
        </w:rPr>
      </w:pPr>
      <w:r>
        <w:rPr>
          <w:rFonts w:hint="eastAsia" w:ascii="宋体" w:hAnsi="宋体" w:cs="宋体"/>
          <w:color w:val="auto"/>
          <w:kern w:val="2"/>
          <w:sz w:val="24"/>
          <w:szCs w:val="24"/>
          <w:highlight w:val="none"/>
          <w:lang w:val="en-US" w:eastAsia="zh-CN" w:bidi="ar-SA"/>
        </w:rPr>
        <w:t>2）</w:t>
      </w:r>
      <w:r>
        <w:rPr>
          <w:rFonts w:hint="eastAsia" w:ascii="宋体" w:hAnsi="宋体" w:cs="宋体"/>
          <w:sz w:val="24"/>
        </w:rPr>
        <w:t>本项目不接受联合体投标。</w:t>
      </w:r>
    </w:p>
    <w:p>
      <w:pPr>
        <w:spacing w:line="360" w:lineRule="auto"/>
        <w:rPr>
          <w:rFonts w:ascii="宋体" w:hAnsi="宋体" w:cs="宋体"/>
          <w:color w:val="auto"/>
          <w:sz w:val="24"/>
        </w:rPr>
      </w:pPr>
      <w:r>
        <w:rPr>
          <w:rFonts w:hint="eastAsia" w:ascii="宋体" w:hAnsi="宋体" w:cs="宋体"/>
          <w:b/>
          <w:bCs/>
          <w:sz w:val="24"/>
          <w:lang w:val="en-US" w:eastAsia="zh-CN"/>
        </w:rPr>
        <w:t>4</w:t>
      </w:r>
      <w:r>
        <w:rPr>
          <w:rFonts w:hint="eastAsia" w:ascii="宋体" w:hAnsi="宋体" w:cs="宋体"/>
          <w:b/>
          <w:bCs/>
          <w:sz w:val="24"/>
        </w:rPr>
        <w:t>.项目预</w:t>
      </w:r>
      <w:r>
        <w:rPr>
          <w:rFonts w:hint="eastAsia" w:ascii="宋体" w:hAnsi="宋体" w:cs="宋体"/>
          <w:b/>
          <w:bCs/>
          <w:color w:val="auto"/>
          <w:sz w:val="24"/>
        </w:rPr>
        <w:t>算：</w:t>
      </w:r>
      <w:r>
        <w:rPr>
          <w:rFonts w:hint="eastAsia" w:ascii="宋体" w:hAnsi="宋体" w:cs="宋体"/>
          <w:b/>
          <w:bCs/>
          <w:color w:val="auto"/>
          <w:sz w:val="24"/>
          <w:lang w:val="en-US" w:eastAsia="zh-CN"/>
        </w:rPr>
        <w:t>18</w:t>
      </w:r>
      <w:r>
        <w:rPr>
          <w:rFonts w:hint="eastAsia" w:ascii="宋体" w:hAnsi="宋体" w:cs="宋体"/>
          <w:color w:val="auto"/>
          <w:sz w:val="24"/>
        </w:rPr>
        <w:t>万元</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5</w:t>
      </w:r>
      <w:r>
        <w:rPr>
          <w:rFonts w:hint="eastAsia" w:ascii="宋体" w:hAnsi="宋体" w:cs="宋体"/>
          <w:color w:val="auto"/>
          <w:kern w:val="0"/>
          <w:sz w:val="24"/>
        </w:rPr>
        <w:t>月</w:t>
      </w:r>
      <w:r>
        <w:rPr>
          <w:rFonts w:hint="eastAsia" w:ascii="宋体" w:hAnsi="宋体" w:cs="宋体"/>
          <w:color w:val="auto"/>
          <w:kern w:val="0"/>
          <w:sz w:val="24"/>
          <w:lang w:val="en-US" w:eastAsia="zh-CN"/>
        </w:rPr>
        <w:t>9</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5</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5</w:t>
      </w:r>
      <w:r>
        <w:rPr>
          <w:rFonts w:hint="eastAsia" w:ascii="宋体" w:hAnsi="宋体" w:cs="宋体"/>
          <w:color w:val="auto"/>
          <w:kern w:val="0"/>
          <w:sz w:val="24"/>
        </w:rPr>
        <w:t>月</w:t>
      </w:r>
      <w:r>
        <w:rPr>
          <w:rFonts w:hint="eastAsia" w:ascii="宋体" w:hAnsi="宋体" w:cs="宋体"/>
          <w:color w:val="auto"/>
          <w:kern w:val="0"/>
          <w:sz w:val="24"/>
          <w:lang w:val="en-US" w:eastAsia="zh-CN"/>
        </w:rPr>
        <w:t>9</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5</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000000" w:themeColor="text1"/>
          <w:sz w:val="24"/>
          <w:lang w:val="en-US" w:eastAsia="zh-CN"/>
        </w:rPr>
        <w:t>9</w:t>
      </w:r>
      <w:r>
        <w:rPr>
          <w:rFonts w:hint="eastAsia" w:ascii="宋体" w:hAnsi="宋体" w:cs="宋体"/>
          <w:b/>
          <w:bCs/>
          <w:color w:val="000000" w:themeColor="text1"/>
          <w:sz w:val="24"/>
        </w:rPr>
        <w:t>.开标时间</w:t>
      </w:r>
      <w:r>
        <w:rPr>
          <w:rFonts w:hint="eastAsia" w:ascii="宋体" w:hAnsi="宋体" w:cs="宋体"/>
          <w:b/>
          <w:bCs/>
          <w:color w:val="auto"/>
          <w:sz w:val="24"/>
        </w:rPr>
        <w:t>：</w:t>
      </w:r>
      <w:r>
        <w:rPr>
          <w:rFonts w:hint="eastAsia" w:ascii="宋体" w:hAnsi="宋体" w:cs="宋体"/>
          <w:b/>
          <w:bCs/>
          <w:color w:val="auto"/>
          <w:kern w:val="0"/>
          <w:sz w:val="24"/>
          <w:szCs w:val="22"/>
        </w:rPr>
        <w:t>20</w:t>
      </w:r>
      <w:r>
        <w:rPr>
          <w:rFonts w:hint="eastAsia" w:ascii="宋体" w:hAnsi="宋体" w:cs="宋体"/>
          <w:b/>
          <w:bCs/>
          <w:color w:val="auto"/>
          <w:kern w:val="0"/>
          <w:sz w:val="24"/>
          <w:szCs w:val="22"/>
          <w:lang w:val="en-US" w:eastAsia="zh-CN"/>
        </w:rPr>
        <w:t>20</w:t>
      </w:r>
      <w:r>
        <w:rPr>
          <w:rFonts w:hint="eastAsia" w:ascii="宋体" w:hAnsi="宋体" w:cs="宋体"/>
          <w:b/>
          <w:bCs/>
          <w:color w:val="auto"/>
          <w:kern w:val="0"/>
          <w:sz w:val="24"/>
          <w:szCs w:val="22"/>
        </w:rPr>
        <w:t>年</w:t>
      </w:r>
      <w:r>
        <w:rPr>
          <w:rFonts w:hint="eastAsia" w:ascii="宋体" w:hAnsi="宋体" w:cs="宋体"/>
          <w:b/>
          <w:bCs/>
          <w:color w:val="auto"/>
          <w:kern w:val="0"/>
          <w:sz w:val="24"/>
          <w:szCs w:val="22"/>
          <w:lang w:val="en-US" w:eastAsia="zh-CN"/>
        </w:rPr>
        <w:t>5</w:t>
      </w:r>
      <w:r>
        <w:rPr>
          <w:rFonts w:hint="eastAsia" w:ascii="宋体" w:hAnsi="宋体" w:cs="宋体"/>
          <w:b/>
          <w:bCs/>
          <w:color w:val="auto"/>
          <w:kern w:val="0"/>
          <w:sz w:val="24"/>
          <w:szCs w:val="22"/>
        </w:rPr>
        <w:t>月</w:t>
      </w:r>
      <w:r>
        <w:rPr>
          <w:rFonts w:hint="eastAsia" w:ascii="宋体" w:hAnsi="宋体" w:cs="宋体"/>
          <w:b/>
          <w:bCs/>
          <w:color w:val="auto"/>
          <w:kern w:val="0"/>
          <w:sz w:val="24"/>
          <w:szCs w:val="22"/>
          <w:lang w:val="en-US" w:eastAsia="zh-CN"/>
        </w:rPr>
        <w:t>28</w:t>
      </w:r>
      <w:r>
        <w:rPr>
          <w:rFonts w:hint="eastAsia" w:ascii="宋体" w:hAnsi="宋体" w:cs="宋体"/>
          <w:b/>
          <w:bCs/>
          <w:color w:val="auto"/>
          <w:kern w:val="0"/>
          <w:sz w:val="24"/>
          <w:szCs w:val="22"/>
        </w:rPr>
        <w:t>日</w:t>
      </w:r>
      <w:r>
        <w:rPr>
          <w:rFonts w:hint="eastAsia" w:ascii="宋体" w:hAnsi="宋体" w:cs="宋体"/>
          <w:b/>
          <w:bCs/>
          <w:color w:val="auto"/>
          <w:kern w:val="0"/>
          <w:sz w:val="24"/>
          <w:szCs w:val="22"/>
          <w:lang w:eastAsia="zh-CN"/>
        </w:rPr>
        <w:t>下午15:00</w:t>
      </w:r>
      <w:r>
        <w:rPr>
          <w:rFonts w:hint="eastAsia" w:ascii="宋体" w:hAnsi="宋体" w:cs="宋体"/>
          <w:color w:val="auto"/>
          <w:kern w:val="0"/>
          <w:sz w:val="24"/>
          <w:szCs w:val="22"/>
        </w:rPr>
        <w:t>（北京时间）。</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Pr>
        <w:pStyle w:val="5"/>
        <w:ind w:left="0" w:leftChars="0" w:firstLine="0" w:firstLineChars="0"/>
        <w:rPr>
          <w:rFonts w:ascii="宋体" w:hAnsi="宋体" w:cs="宋体"/>
        </w:rPr>
      </w:pPr>
    </w:p>
    <w:p/>
    <w:p>
      <w:pPr>
        <w:pStyle w:val="2"/>
      </w:pPr>
    </w:p>
    <w:p>
      <w:pPr>
        <w:pStyle w:val="2"/>
      </w:pPr>
    </w:p>
    <w:p>
      <w:pPr>
        <w:pStyle w:val="3"/>
        <w:rPr>
          <w:rFonts w:hint="eastAsia"/>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2"/>
      <w:bookmarkEnd w:id="3"/>
      <w:bookmarkEnd w:id="4"/>
      <w:bookmarkEnd w:id="5"/>
      <w:bookmarkEnd w:id="7"/>
      <w:bookmarkStart w:id="8" w:name="_Toc128372052"/>
      <w:bookmarkStart w:id="9" w:name="_Toc128372730"/>
      <w:bookmarkStart w:id="10" w:name="_Toc139965326"/>
      <w:bookmarkStart w:id="11" w:name="_Toc327439435"/>
    </w:p>
    <w:p>
      <w:pPr>
        <w:pStyle w:val="4"/>
        <w:rPr>
          <w:rFonts w:ascii="宋体" w:hAnsi="宋体" w:cs="宋体"/>
          <w:sz w:val="28"/>
          <w:szCs w:val="20"/>
        </w:rPr>
      </w:pPr>
      <w:bookmarkStart w:id="12" w:name="_Toc17569"/>
      <w:bookmarkStart w:id="13" w:name="_Toc18296"/>
      <w:r>
        <w:rPr>
          <w:rFonts w:hint="eastAsia" w:ascii="宋体" w:hAnsi="宋体" w:cs="宋体"/>
          <w:sz w:val="28"/>
          <w:szCs w:val="20"/>
        </w:rPr>
        <w:t>投标人须知前附表</w:t>
      </w:r>
      <w:bookmarkEnd w:id="12"/>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noWrap w:val="0"/>
            <w:vAlign w:val="top"/>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rPr>
            </w:pPr>
            <w:r>
              <w:rPr>
                <w:rFonts w:hint="eastAsia" w:ascii="宋体" w:hAnsi="宋体" w:cs="宋体"/>
                <w:color w:val="auto"/>
                <w:sz w:val="24"/>
                <w:szCs w:val="30"/>
              </w:rPr>
              <w:t>项目名称</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甘肃省</w:t>
            </w:r>
            <w:r>
              <w:rPr>
                <w:rFonts w:hint="eastAsia" w:ascii="宋体" w:hAnsi="宋体" w:cs="宋体"/>
                <w:color w:val="auto"/>
                <w:sz w:val="24"/>
                <w:lang w:eastAsia="zh-CN"/>
              </w:rPr>
              <w:t>第二人民医院</w:t>
            </w:r>
            <w:r>
              <w:rPr>
                <w:rFonts w:hint="eastAsia" w:ascii="宋体" w:hAnsi="宋体" w:cs="宋体"/>
                <w:bCs/>
                <w:color w:val="auto"/>
                <w:sz w:val="24"/>
                <w:lang w:eastAsia="zh-CN"/>
              </w:rPr>
              <w:t>互联网</w:t>
            </w:r>
            <w:r>
              <w:rPr>
                <w:rFonts w:hint="eastAsia" w:ascii="宋体" w:hAnsi="宋体" w:cs="宋体"/>
                <w:bCs/>
                <w:color w:val="auto"/>
                <w:sz w:val="24"/>
                <w:lang w:val="en-US" w:eastAsia="zh-CN"/>
              </w:rPr>
              <w:t>500M带宽专线服务</w:t>
            </w:r>
            <w:r>
              <w:rPr>
                <w:rFonts w:hint="eastAsia" w:ascii="宋体" w:hAnsi="宋体" w:cs="宋体"/>
                <w:color w:val="auto"/>
                <w:sz w:val="24"/>
                <w:lang w:val="en-US" w:eastAsia="zh-CN"/>
              </w:rPr>
              <w:t>采购</w:t>
            </w:r>
            <w:r>
              <w:rPr>
                <w:rFonts w:hint="eastAsia" w:ascii="宋体" w:hAnsi="宋体" w:cs="宋体"/>
                <w:color w:val="auto"/>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color w:val="auto"/>
                <w:sz w:val="24"/>
                <w:szCs w:val="30"/>
              </w:rPr>
            </w:pPr>
            <w:r>
              <w:rPr>
                <w:rFonts w:hint="eastAsia" w:ascii="宋体" w:hAnsi="宋体" w:cs="宋体"/>
                <w:color w:val="auto"/>
                <w:sz w:val="24"/>
                <w:szCs w:val="30"/>
              </w:rPr>
              <w:t>招标文件编号</w:t>
            </w:r>
          </w:p>
        </w:tc>
        <w:tc>
          <w:tcPr>
            <w:tcW w:w="6245" w:type="dxa"/>
            <w:tcBorders>
              <w:tl2br w:val="nil"/>
              <w:tr2bl w:val="nil"/>
            </w:tcBorders>
            <w:noWrap w:val="0"/>
            <w:vAlign w:val="center"/>
          </w:tcPr>
          <w:p>
            <w:pPr>
              <w:spacing w:line="360" w:lineRule="auto"/>
              <w:rPr>
                <w:rFonts w:hint="default" w:ascii="宋体" w:hAnsi="宋体" w:eastAsia="仿宋" w:cs="宋体"/>
                <w:color w:val="auto"/>
                <w:sz w:val="24"/>
                <w:lang w:val="en-US" w:eastAsia="zh-CN"/>
              </w:rPr>
            </w:pPr>
            <w:r>
              <w:rPr>
                <w:rFonts w:hint="eastAsia" w:ascii="宋体" w:hAnsi="宋体" w:cs="宋体"/>
                <w:color w:val="auto"/>
                <w:sz w:val="24"/>
                <w:lang w:eastAsia="zh-CN"/>
              </w:rPr>
              <w:t>S</w:t>
            </w:r>
            <w:r>
              <w:rPr>
                <w:rFonts w:hint="eastAsia" w:ascii="宋体" w:hAnsi="宋体" w:cs="宋体"/>
                <w:color w:val="auto"/>
                <w:sz w:val="24"/>
                <w:lang w:val="en-US" w:eastAsia="zh-CN"/>
              </w:rPr>
              <w:t>E</w:t>
            </w:r>
            <w:r>
              <w:rPr>
                <w:rFonts w:hint="eastAsia" w:ascii="宋体" w:hAnsi="宋体" w:cs="宋体"/>
                <w:color w:val="auto"/>
                <w:sz w:val="24"/>
                <w:lang w:eastAsia="zh-CN"/>
              </w:rPr>
              <w:t>Y-2</w:t>
            </w:r>
            <w:r>
              <w:rPr>
                <w:rFonts w:hint="eastAsia" w:ascii="宋体" w:hAnsi="宋体" w:cs="宋体"/>
                <w:color w:val="auto"/>
                <w:sz w:val="24"/>
                <w:lang w:val="en-US" w:eastAsia="zh-CN"/>
              </w:rPr>
              <w:t>020</w:t>
            </w:r>
            <w:r>
              <w:rPr>
                <w:rFonts w:hint="eastAsia" w:ascii="宋体" w:hAnsi="宋体" w:cs="宋体"/>
                <w:color w:val="auto"/>
                <w:sz w:val="24"/>
                <w:lang w:eastAsia="zh-CN"/>
              </w:rPr>
              <w:t>YNCG-0</w:t>
            </w:r>
            <w:r>
              <w:rPr>
                <w:rFonts w:hint="eastAsia" w:ascii="宋体" w:hAnsi="宋体" w:cs="宋体"/>
                <w:color w:val="auto"/>
                <w:sz w:val="24"/>
                <w:lang w:val="en-US" w:eastAsia="zh-CN"/>
              </w:rPr>
              <w:t>54</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noWrap w:val="0"/>
            <w:vAlign w:val="top"/>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noWrap w:val="0"/>
            <w:vAlign w:val="top"/>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noWrap w:val="0"/>
            <w:vAlign w:val="top"/>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widowControl/>
              <w:autoSpaceDN w:val="0"/>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eastAsia="zh-CN"/>
              </w:rPr>
              <w:t>投标人的资格条件</w:t>
            </w:r>
          </w:p>
        </w:tc>
        <w:tc>
          <w:tcPr>
            <w:tcW w:w="6245" w:type="dxa"/>
            <w:tcBorders>
              <w:tl2br w:val="nil"/>
              <w:tr2bl w:val="nil"/>
            </w:tcBorders>
            <w:noWrap w:val="0"/>
            <w:vAlign w:val="center"/>
          </w:tcPr>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rPr>
              <w:t>1）必须符合《中华人民共和国政府采购法》第二十二条规定,并提供《中华人民共和国政府采购法实施条例》第十七条所要求的材料</w:t>
            </w:r>
            <w:r>
              <w:rPr>
                <w:rFonts w:hint="eastAsia" w:ascii="宋体" w:hAnsi="宋体" w:cs="宋体"/>
                <w:color w:val="auto"/>
                <w:sz w:val="24"/>
                <w:lang w:eastAsia="zh-CN"/>
              </w:rPr>
              <w:t>：</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①法人或者其他组织的营业执照等证明文件，自然人的身份证明;</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②财务状况报告，依法缴纳税收和社会保障资金的相关材料;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③具备履行合同所必需的设备和专业技术能力的证明材料;</w:t>
            </w:r>
          </w:p>
          <w:p>
            <w:pPr>
              <w:spacing w:line="360" w:lineRule="auto"/>
              <w:ind w:firstLine="480" w:firstLineChars="200"/>
              <w:rPr>
                <w:rFonts w:hint="eastAsia" w:ascii="宋体" w:hAnsi="宋体" w:cs="宋体"/>
                <w:color w:val="auto"/>
                <w:sz w:val="24"/>
                <w:lang w:eastAsia="zh-CN"/>
              </w:rPr>
            </w:pPr>
            <w:r>
              <w:rPr>
                <w:rFonts w:hint="eastAsia" w:ascii="宋体" w:hAnsi="宋体" w:cs="宋体"/>
                <w:color w:val="auto"/>
                <w:sz w:val="24"/>
                <w:lang w:eastAsia="zh-CN"/>
              </w:rPr>
              <w:t>④近3年内在经营活动中没有重大违法记录的书面声明;</w:t>
            </w:r>
          </w:p>
          <w:p>
            <w:pPr>
              <w:spacing w:line="360" w:lineRule="auto"/>
              <w:ind w:firstLine="480" w:firstLineChars="200"/>
              <w:rPr>
                <w:rFonts w:hint="eastAsia"/>
                <w:color w:val="auto"/>
                <w:lang w:eastAsia="zh-CN"/>
              </w:rPr>
            </w:pPr>
            <w:r>
              <w:rPr>
                <w:rFonts w:hint="eastAsia" w:ascii="宋体" w:hAnsi="宋体" w:cs="宋体"/>
                <w:color w:val="auto"/>
                <w:sz w:val="24"/>
                <w:lang w:eastAsia="zh-CN"/>
              </w:rPr>
              <w:t>⑤具备法律、行政法规规定的其他条件的证明材料。</w:t>
            </w:r>
          </w:p>
          <w:p>
            <w:pPr>
              <w:spacing w:line="360" w:lineRule="auto"/>
              <w:ind w:firstLine="480" w:firstLineChars="200"/>
              <w:rPr>
                <w:rFonts w:ascii="宋体" w:hAnsi="宋体" w:cs="宋体"/>
                <w:color w:val="auto"/>
                <w:sz w:val="24"/>
              </w:rPr>
            </w:pPr>
            <w:r>
              <w:rPr>
                <w:rFonts w:hint="eastAsia" w:ascii="宋体" w:hAnsi="宋体" w:cs="宋体"/>
                <w:color w:val="auto"/>
                <w:kern w:val="2"/>
                <w:sz w:val="24"/>
                <w:szCs w:val="24"/>
                <w:highlight w:val="none"/>
                <w:lang w:val="en-US" w:eastAsia="zh-CN" w:bidi="ar-SA"/>
              </w:rPr>
              <w:t>2）</w:t>
            </w:r>
            <w:r>
              <w:rPr>
                <w:rFonts w:hint="eastAsia" w:ascii="宋体" w:hAnsi="宋体" w:cs="宋体"/>
                <w:color w:val="auto"/>
                <w:sz w:val="24"/>
              </w:rPr>
              <w:t>本项目不接受联合体投标。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noWrap w:val="0"/>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noWrap w:val="0"/>
            <w:vAlign w:val="center"/>
          </w:tcPr>
          <w:p>
            <w:pPr>
              <w:pStyle w:val="208"/>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pStyle w:val="208"/>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noWrap w:val="0"/>
            <w:vAlign w:val="center"/>
          </w:tcPr>
          <w:p>
            <w:pPr>
              <w:pStyle w:val="208"/>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noWrap w:val="0"/>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noWrap w:val="0"/>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1）投标文件递交截止日期：20</w:t>
            </w:r>
            <w:r>
              <w:rPr>
                <w:rFonts w:hint="eastAsia" w:ascii="宋体" w:hAnsi="宋体" w:cs="宋体"/>
                <w:b w:val="0"/>
                <w:bCs w:val="0"/>
                <w:color w:val="auto"/>
                <w:sz w:val="24"/>
                <w:szCs w:val="24"/>
                <w:lang w:val="en-US" w:eastAsia="zh-CN"/>
              </w:rPr>
              <w:t>20</w:t>
            </w:r>
            <w:r>
              <w:rPr>
                <w:rFonts w:hint="eastAsia" w:ascii="宋体" w:hAnsi="宋体" w:eastAsia="宋体" w:cs="宋体"/>
                <w:b w:val="0"/>
                <w:bCs w:val="0"/>
                <w:color w:val="auto"/>
                <w:sz w:val="24"/>
                <w:szCs w:val="24"/>
              </w:rPr>
              <w:t>年</w:t>
            </w:r>
            <w:r>
              <w:rPr>
                <w:rFonts w:hint="eastAsia" w:ascii="宋体" w:hAnsi="宋体" w:cs="宋体"/>
                <w:b w:val="0"/>
                <w:bCs w:val="0"/>
                <w:color w:val="auto"/>
                <w:sz w:val="24"/>
                <w:szCs w:val="24"/>
                <w:lang w:val="en-US" w:eastAsia="zh-CN"/>
              </w:rPr>
              <w:t>5</w:t>
            </w:r>
            <w:r>
              <w:rPr>
                <w:rFonts w:hint="eastAsia" w:ascii="宋体" w:hAnsi="宋体" w:eastAsia="宋体" w:cs="宋体"/>
                <w:b w:val="0"/>
                <w:bCs w:val="0"/>
                <w:color w:val="auto"/>
                <w:sz w:val="24"/>
                <w:szCs w:val="24"/>
              </w:rPr>
              <w:t>月</w:t>
            </w:r>
            <w:r>
              <w:rPr>
                <w:rFonts w:hint="eastAsia" w:ascii="宋体" w:hAnsi="宋体" w:cs="宋体"/>
                <w:b w:val="0"/>
                <w:bCs w:val="0"/>
                <w:color w:val="auto"/>
                <w:sz w:val="24"/>
                <w:szCs w:val="24"/>
                <w:lang w:val="en-US" w:eastAsia="zh-CN"/>
              </w:rPr>
              <w:t>28</w:t>
            </w:r>
            <w:r>
              <w:rPr>
                <w:rFonts w:hint="eastAsia" w:ascii="宋体" w:hAnsi="宋体" w:eastAsia="宋体" w:cs="宋体"/>
                <w:b w:val="0"/>
                <w:bCs w:val="0"/>
                <w:color w:val="auto"/>
                <w:sz w:val="24"/>
                <w:szCs w:val="24"/>
              </w:rPr>
              <w:t>日</w:t>
            </w:r>
            <w:r>
              <w:rPr>
                <w:rFonts w:hint="eastAsia" w:ascii="宋体" w:hAnsi="宋体" w:cs="宋体"/>
                <w:b w:val="0"/>
                <w:bCs w:val="0"/>
                <w:color w:val="auto"/>
                <w:sz w:val="24"/>
                <w:szCs w:val="24"/>
                <w:lang w:eastAsia="zh-CN"/>
              </w:rPr>
              <w:t>下</w:t>
            </w:r>
            <w:r>
              <w:rPr>
                <w:rFonts w:hint="eastAsia" w:ascii="宋体" w:hAnsi="宋体" w:eastAsia="宋体" w:cs="宋体"/>
                <w:b w:val="0"/>
                <w:bCs w:val="0"/>
                <w:color w:val="auto"/>
                <w:sz w:val="24"/>
                <w:szCs w:val="24"/>
              </w:rPr>
              <w:t>午</w:t>
            </w:r>
            <w:r>
              <w:rPr>
                <w:rFonts w:hint="eastAsia" w:ascii="宋体" w:hAnsi="宋体" w:cs="宋体"/>
                <w:b w:val="0"/>
                <w:bCs w:val="0"/>
                <w:color w:val="auto"/>
                <w:sz w:val="24"/>
                <w:szCs w:val="24"/>
                <w:lang w:val="en-US" w:eastAsia="zh-CN"/>
              </w:rPr>
              <w:t>15</w:t>
            </w:r>
            <w:r>
              <w:rPr>
                <w:rFonts w:hint="eastAsia" w:ascii="宋体" w:hAnsi="宋体" w:eastAsia="宋体" w:cs="宋体"/>
                <w:b w:val="0"/>
                <w:bCs w:val="0"/>
                <w:color w:val="auto"/>
                <w:sz w:val="24"/>
                <w:szCs w:val="24"/>
              </w:rPr>
              <w:t>：00分（北京时间）</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甘肃省第二人民医院行政楼二楼会议室（暂定）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noWrap w:val="0"/>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cs="宋体"/>
                <w:b w:val="0"/>
                <w:bCs w:val="0"/>
                <w:color w:val="auto"/>
                <w:kern w:val="0"/>
                <w:sz w:val="24"/>
                <w:szCs w:val="22"/>
              </w:rPr>
              <w:t>20</w:t>
            </w:r>
            <w:r>
              <w:rPr>
                <w:rFonts w:hint="eastAsia" w:ascii="宋体" w:hAnsi="宋体" w:cs="宋体"/>
                <w:b w:val="0"/>
                <w:bCs w:val="0"/>
                <w:color w:val="auto"/>
                <w:kern w:val="0"/>
                <w:sz w:val="24"/>
                <w:szCs w:val="22"/>
                <w:lang w:val="en-US" w:eastAsia="zh-CN"/>
              </w:rPr>
              <w:t>20</w:t>
            </w:r>
            <w:r>
              <w:rPr>
                <w:rFonts w:hint="eastAsia" w:ascii="宋体" w:hAnsi="宋体" w:cs="宋体"/>
                <w:b w:val="0"/>
                <w:bCs w:val="0"/>
                <w:color w:val="auto"/>
                <w:kern w:val="0"/>
                <w:sz w:val="24"/>
                <w:szCs w:val="22"/>
              </w:rPr>
              <w:t>年</w:t>
            </w:r>
            <w:r>
              <w:rPr>
                <w:rFonts w:hint="eastAsia" w:ascii="宋体" w:hAnsi="宋体" w:cs="宋体"/>
                <w:b w:val="0"/>
                <w:bCs w:val="0"/>
                <w:color w:val="auto"/>
                <w:kern w:val="0"/>
                <w:sz w:val="24"/>
                <w:szCs w:val="22"/>
                <w:lang w:val="en-US" w:eastAsia="zh-CN"/>
              </w:rPr>
              <w:t>5</w:t>
            </w:r>
            <w:r>
              <w:rPr>
                <w:rFonts w:hint="eastAsia" w:ascii="宋体" w:hAnsi="宋体" w:cs="宋体"/>
                <w:b w:val="0"/>
                <w:bCs w:val="0"/>
                <w:color w:val="auto"/>
                <w:kern w:val="0"/>
                <w:sz w:val="24"/>
                <w:szCs w:val="22"/>
              </w:rPr>
              <w:t>月</w:t>
            </w:r>
            <w:r>
              <w:rPr>
                <w:rFonts w:hint="eastAsia" w:ascii="宋体" w:hAnsi="宋体" w:cs="宋体"/>
                <w:b w:val="0"/>
                <w:bCs w:val="0"/>
                <w:color w:val="auto"/>
                <w:kern w:val="0"/>
                <w:sz w:val="24"/>
                <w:szCs w:val="22"/>
                <w:lang w:val="en-US" w:eastAsia="zh-CN"/>
              </w:rPr>
              <w:t>28</w:t>
            </w:r>
            <w:r>
              <w:rPr>
                <w:rFonts w:hint="eastAsia" w:ascii="宋体" w:hAnsi="宋体" w:cs="宋体"/>
                <w:b w:val="0"/>
                <w:bCs w:val="0"/>
                <w:color w:val="auto"/>
                <w:kern w:val="0"/>
                <w:sz w:val="24"/>
                <w:szCs w:val="22"/>
              </w:rPr>
              <w:t>日</w:t>
            </w:r>
            <w:r>
              <w:rPr>
                <w:rFonts w:hint="eastAsia" w:ascii="宋体" w:hAnsi="宋体" w:cs="宋体"/>
                <w:b w:val="0"/>
                <w:bCs w:val="0"/>
                <w:color w:val="auto"/>
                <w:kern w:val="0"/>
                <w:sz w:val="24"/>
                <w:szCs w:val="22"/>
                <w:lang w:eastAsia="zh-CN"/>
              </w:rPr>
              <w:t>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val="0"/>
                <w:bCs w:val="0"/>
                <w:color w:val="auto"/>
                <w:spacing w:val="10"/>
                <w:sz w:val="24"/>
              </w:rPr>
              <w:t>（北京时间）</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noWrap w:val="0"/>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noWrap w:val="0"/>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noWrap w:val="0"/>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cs="宋体"/>
                <w:color w:val="auto"/>
                <w:sz w:val="24"/>
                <w:szCs w:val="24"/>
                <w:highlight w:val="none"/>
                <w:lang w:val="en-US" w:eastAsia="zh-CN"/>
              </w:rPr>
              <w:t>90</w:t>
            </w:r>
            <w:r>
              <w:rPr>
                <w:rFonts w:hint="eastAsia" w:ascii="宋体" w:hAnsi="宋体" w:eastAsia="宋体" w:cs="宋体"/>
                <w:color w:val="auto"/>
                <w:sz w:val="24"/>
                <w:szCs w:val="24"/>
                <w:highlight w:val="none"/>
              </w:rPr>
              <w:t>％，剩余的10%作为质量保证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w:t>
            </w:r>
            <w:r>
              <w:rPr>
                <w:rFonts w:hint="eastAsia" w:cs="宋体"/>
                <w:color w:val="auto"/>
                <w:sz w:val="24"/>
                <w:szCs w:val="24"/>
                <w:highlight w:val="none"/>
                <w:lang w:eastAsia="zh-CN"/>
              </w:rPr>
              <w:t>质保期结束设备</w:t>
            </w:r>
            <w:r>
              <w:rPr>
                <w:rFonts w:hint="eastAsia" w:ascii="宋体" w:hAnsi="宋体" w:eastAsia="宋体" w:cs="宋体"/>
                <w:color w:val="auto"/>
                <w:sz w:val="24"/>
                <w:szCs w:val="24"/>
                <w:highlight w:val="none"/>
              </w:rPr>
              <w:t>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noWrap w:val="0"/>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noWrap w:val="0"/>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noWrap w:val="0"/>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noWrap w:val="0"/>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noWrap w:val="0"/>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jc w:val="center"/>
        <w:rPr>
          <w:rFonts w:hint="eastAsia" w:ascii="宋体" w:hAnsi="宋体" w:cs="宋体"/>
          <w:sz w:val="32"/>
          <w:szCs w:val="32"/>
        </w:rPr>
      </w:pPr>
    </w:p>
    <w:p>
      <w:pPr>
        <w:rPr>
          <w:rFonts w:hint="eastAsia" w:ascii="宋体" w:hAnsi="宋体" w:cs="宋体"/>
          <w:sz w:val="32"/>
          <w:szCs w:val="32"/>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jc w:val="center"/>
        <w:rPr>
          <w:rFonts w:ascii="宋体" w:hAnsi="宋体" w:cs="宋体"/>
          <w:sz w:val="32"/>
          <w:szCs w:val="32"/>
        </w:rPr>
      </w:pPr>
      <w:r>
        <w:rPr>
          <w:rFonts w:hint="eastAsia" w:ascii="宋体" w:hAnsi="宋体" w:cs="宋体"/>
          <w:sz w:val="32"/>
          <w:szCs w:val="32"/>
        </w:rPr>
        <w:t>一、总则</w:t>
      </w:r>
      <w:bookmarkEnd w:id="8"/>
      <w:bookmarkEnd w:id="9"/>
      <w:bookmarkEnd w:id="10"/>
      <w:bookmarkEnd w:id="11"/>
      <w:bookmarkEnd w:id="13"/>
    </w:p>
    <w:p>
      <w:pPr>
        <w:pStyle w:val="4"/>
        <w:jc w:val="both"/>
        <w:rPr>
          <w:rFonts w:ascii="宋体" w:hAnsi="宋体" w:cs="宋体"/>
          <w:sz w:val="24"/>
          <w:lang w:val="zh-CN"/>
        </w:rPr>
      </w:pPr>
      <w:bookmarkStart w:id="14" w:name="_Toc23166"/>
      <w:bookmarkStart w:id="15" w:name="_Toc8673"/>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28372736"/>
      <w:bookmarkStart w:id="22" w:name="_Toc139965332"/>
      <w:bookmarkStart w:id="23" w:name="_Toc128372058"/>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auto"/>
          <w:sz w:val="24"/>
        </w:rPr>
        <w:t>《投标</w:t>
      </w:r>
      <w:r>
        <w:rPr>
          <w:rFonts w:hint="eastAsia" w:ascii="宋体" w:hAnsi="宋体" w:cs="宋体"/>
          <w:color w:val="auto"/>
          <w:sz w:val="24"/>
          <w:lang w:eastAsia="zh-CN"/>
        </w:rPr>
        <w:t>公告</w:t>
      </w:r>
      <w:r>
        <w:rPr>
          <w:rFonts w:hint="eastAsia" w:ascii="宋体" w:hAnsi="宋体" w:cs="宋体"/>
          <w:color w:val="auto"/>
          <w:sz w:val="24"/>
        </w:rPr>
        <w:t>》中关</w:t>
      </w:r>
      <w:r>
        <w:rPr>
          <w:rFonts w:hint="eastAsia" w:ascii="宋体" w:hAnsi="宋体" w:cs="宋体"/>
          <w:sz w:val="24"/>
        </w:rPr>
        <w:t>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4654"/>
      <w:bookmarkStart w:id="27" w:name="_Toc29398"/>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682347"/>
      <w:bookmarkStart w:id="30" w:name="_Toc217446039"/>
      <w:bookmarkStart w:id="31" w:name="_Toc183582210"/>
    </w:p>
    <w:p>
      <w:pPr>
        <w:pStyle w:val="4"/>
        <w:jc w:val="both"/>
        <w:rPr>
          <w:rFonts w:ascii="宋体" w:hAnsi="宋体" w:cs="宋体"/>
          <w:sz w:val="24"/>
          <w:lang w:val="zh-CN"/>
        </w:rPr>
      </w:pPr>
      <w:bookmarkStart w:id="32" w:name="_Toc14154"/>
      <w:bookmarkStart w:id="33" w:name="_Toc3450"/>
      <w:r>
        <w:rPr>
          <w:rFonts w:hint="eastAsia" w:ascii="宋体" w:hAnsi="宋体" w:cs="宋体"/>
          <w:sz w:val="24"/>
          <w:lang w:val="zh-CN"/>
        </w:rPr>
        <w:t>5．招标文件的构成</w:t>
      </w:r>
      <w:bookmarkEnd w:id="29"/>
      <w:bookmarkEnd w:id="30"/>
      <w:bookmarkEnd w:id="31"/>
      <w:bookmarkEnd w:id="32"/>
      <w:bookmarkEnd w:id="33"/>
    </w:p>
    <w:p>
      <w:pPr>
        <w:pStyle w:val="208"/>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8"/>
        <w:spacing w:line="360" w:lineRule="auto"/>
        <w:jc w:val="both"/>
        <w:rPr>
          <w:lang w:val="zh-CN"/>
        </w:rPr>
      </w:pPr>
      <w:r>
        <w:rPr>
          <w:rFonts w:hint="eastAsia"/>
          <w:lang w:val="zh-CN"/>
        </w:rPr>
        <w:t>5.1.1</w:t>
      </w:r>
      <w:r>
        <w:rPr>
          <w:rFonts w:hint="eastAsia"/>
          <w:color w:val="auto"/>
          <w:lang w:val="zh-CN"/>
        </w:rPr>
        <w:t>招标公告；</w:t>
      </w:r>
    </w:p>
    <w:p>
      <w:pPr>
        <w:pStyle w:val="208"/>
        <w:spacing w:line="360" w:lineRule="auto"/>
        <w:jc w:val="both"/>
        <w:rPr>
          <w:lang w:val="zh-CN"/>
        </w:rPr>
      </w:pPr>
      <w:r>
        <w:rPr>
          <w:rFonts w:hint="eastAsia"/>
          <w:lang w:val="zh-CN"/>
        </w:rPr>
        <w:t>5.1.2投标人须知；</w:t>
      </w:r>
    </w:p>
    <w:p>
      <w:pPr>
        <w:pStyle w:val="208"/>
        <w:spacing w:line="360" w:lineRule="auto"/>
        <w:jc w:val="both"/>
        <w:rPr>
          <w:lang w:val="zh-CN"/>
        </w:rPr>
      </w:pPr>
      <w:r>
        <w:rPr>
          <w:rFonts w:hint="eastAsia"/>
          <w:lang w:val="zh-CN"/>
        </w:rPr>
        <w:t>5.1.3投标文件格式；</w:t>
      </w:r>
    </w:p>
    <w:p>
      <w:pPr>
        <w:pStyle w:val="208"/>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8"/>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8"/>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8"/>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582211"/>
      <w:bookmarkStart w:id="35" w:name="_Toc183682348"/>
      <w:bookmarkStart w:id="36" w:name="_Toc217446040"/>
    </w:p>
    <w:p>
      <w:pPr>
        <w:pStyle w:val="4"/>
        <w:jc w:val="both"/>
        <w:rPr>
          <w:rFonts w:ascii="宋体" w:hAnsi="宋体" w:cs="宋体"/>
          <w:sz w:val="24"/>
          <w:lang w:val="zh-CN"/>
        </w:rPr>
      </w:pPr>
      <w:bookmarkStart w:id="37" w:name="_Toc9777"/>
      <w:bookmarkStart w:id="38" w:name="_Toc3119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8"/>
        <w:spacing w:line="360" w:lineRule="auto"/>
        <w:jc w:val="both"/>
        <w:rPr>
          <w:lang w:val="zh-CN"/>
        </w:rPr>
      </w:pPr>
      <w:bookmarkStart w:id="39" w:name="_Toc217446041"/>
      <w:bookmarkStart w:id="40" w:name="_Toc183682350"/>
      <w:bookmarkStart w:id="41" w:name="_Toc208848971"/>
      <w:bookmarkStart w:id="42" w:name="_Toc183582213"/>
      <w:r>
        <w:rPr>
          <w:rFonts w:hint="eastAsia"/>
          <w:lang w:val="zh-CN"/>
        </w:rPr>
        <w:t>6.1在投标截止时间前，招标采购单位无论出于何种原因，可以对招标文件进行澄清或者修改。</w:t>
      </w:r>
    </w:p>
    <w:p>
      <w:pPr>
        <w:pStyle w:val="208"/>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8"/>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8"/>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8"/>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8"/>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8"/>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现场踏勘（投标商可自行踏勘现场）</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183682351"/>
      <w:bookmarkStart w:id="46" w:name="_Toc89075876"/>
      <w:bookmarkStart w:id="47" w:name="_Toc217446042"/>
      <w:bookmarkStart w:id="48" w:name="_Toc183582214"/>
      <w:bookmarkStart w:id="49" w:name="_Toc77400780"/>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183582215"/>
      <w:bookmarkStart w:id="52" w:name="_Toc183682352"/>
      <w:bookmarkStart w:id="53" w:name="_Toc217446043"/>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30487"/>
      <w:bookmarkStart w:id="55" w:name="_Toc21300"/>
      <w:r>
        <w:rPr>
          <w:rFonts w:hint="eastAsia" w:ascii="宋体" w:hAnsi="宋体" w:cs="宋体"/>
          <w:sz w:val="24"/>
          <w:lang w:val="zh-CN"/>
        </w:rPr>
        <w:t>8．要求</w:t>
      </w:r>
      <w:bookmarkEnd w:id="54"/>
      <w:bookmarkEnd w:id="55"/>
    </w:p>
    <w:p>
      <w:pPr>
        <w:pStyle w:val="208"/>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8"/>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8"/>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9029"/>
      <w:bookmarkStart w:id="57" w:name="_Toc1665"/>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8"/>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8"/>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582216"/>
      <w:bookmarkStart w:id="59" w:name="_Toc217446044"/>
      <w:bookmarkStart w:id="60" w:name="_Toc183682353"/>
      <w:r>
        <w:rPr>
          <w:rFonts w:hint="eastAsia"/>
          <w:lang w:val="zh-CN"/>
        </w:rPr>
        <w:t>除签名、盖章、专用名称等特殊情形外，以中文以外的文字表述的投标文件，评标委员会有权拒绝其投标。</w:t>
      </w:r>
    </w:p>
    <w:bookmarkEnd w:id="58"/>
    <w:bookmarkEnd w:id="59"/>
    <w:bookmarkEnd w:id="60"/>
    <w:p>
      <w:pPr>
        <w:pStyle w:val="208"/>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28136"/>
      <w:bookmarkStart w:id="63" w:name="_Toc14511"/>
      <w:r>
        <w:rPr>
          <w:rFonts w:hint="eastAsia" w:ascii="宋体" w:hAnsi="宋体" w:cs="宋体"/>
          <w:sz w:val="24"/>
          <w:lang w:val="zh-CN"/>
        </w:rPr>
        <w:t>10.投标货币</w:t>
      </w:r>
      <w:bookmarkEnd w:id="61"/>
      <w:bookmarkEnd w:id="62"/>
      <w:bookmarkEnd w:id="63"/>
    </w:p>
    <w:p>
      <w:pPr>
        <w:pStyle w:val="208"/>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8"/>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8"/>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8"/>
        <w:spacing w:line="360" w:lineRule="auto"/>
        <w:jc w:val="both"/>
        <w:rPr>
          <w:lang w:val="zh-CN"/>
        </w:rPr>
      </w:pPr>
      <w:r>
        <w:rPr>
          <w:rFonts w:hint="eastAsia"/>
          <w:lang w:val="zh-CN"/>
        </w:rPr>
        <w:t>12.2采购人享有本项目实施过程中产生的知识成果及知识产权。</w:t>
      </w:r>
    </w:p>
    <w:p>
      <w:pPr>
        <w:pStyle w:val="208"/>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8"/>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183582217"/>
      <w:bookmarkStart w:id="71" w:name="_Toc183682354"/>
      <w:bookmarkStart w:id="72" w:name="_Toc217446048"/>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8"/>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8"/>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8"/>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8"/>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8"/>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8"/>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8"/>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8"/>
        <w:spacing w:line="360" w:lineRule="auto"/>
        <w:ind w:firstLine="480" w:firstLineChars="200"/>
        <w:jc w:val="both"/>
        <w:rPr>
          <w:lang w:val="zh-CN"/>
        </w:rPr>
      </w:pPr>
      <w:r>
        <w:rPr>
          <w:rFonts w:hint="eastAsia"/>
          <w:lang w:val="zh-CN"/>
        </w:rPr>
        <w:t>（1）投标产品的品牌、型号、配置；</w:t>
      </w:r>
    </w:p>
    <w:p>
      <w:pPr>
        <w:pStyle w:val="208"/>
        <w:spacing w:line="360" w:lineRule="auto"/>
        <w:ind w:firstLine="480" w:firstLineChars="200"/>
        <w:jc w:val="both"/>
        <w:rPr>
          <w:lang w:val="zh-CN"/>
        </w:rPr>
      </w:pPr>
      <w:r>
        <w:rPr>
          <w:rFonts w:hint="eastAsia"/>
          <w:lang w:val="zh-CN"/>
        </w:rPr>
        <w:t>（2）详细的技术指标和参数；</w:t>
      </w:r>
    </w:p>
    <w:p>
      <w:pPr>
        <w:pStyle w:val="208"/>
        <w:spacing w:line="360" w:lineRule="auto"/>
        <w:ind w:firstLine="480" w:firstLineChars="200"/>
        <w:jc w:val="both"/>
        <w:rPr>
          <w:lang w:val="zh-CN"/>
        </w:rPr>
      </w:pPr>
      <w:r>
        <w:rPr>
          <w:rFonts w:hint="eastAsia"/>
          <w:lang w:val="zh-CN"/>
        </w:rPr>
        <w:t>（3）技术方案、项目实施方案；</w:t>
      </w:r>
    </w:p>
    <w:p>
      <w:pPr>
        <w:pStyle w:val="208"/>
        <w:spacing w:line="360" w:lineRule="auto"/>
        <w:ind w:firstLine="480" w:firstLineChars="200"/>
        <w:jc w:val="both"/>
        <w:rPr>
          <w:lang w:val="zh-CN"/>
        </w:rPr>
      </w:pPr>
      <w:r>
        <w:rPr>
          <w:rFonts w:hint="eastAsia"/>
          <w:lang w:val="zh-CN"/>
        </w:rPr>
        <w:t>（4）技术偏离表；</w:t>
      </w:r>
    </w:p>
    <w:p>
      <w:pPr>
        <w:pStyle w:val="208"/>
        <w:spacing w:line="360" w:lineRule="auto"/>
        <w:ind w:firstLine="480" w:firstLineChars="200"/>
        <w:jc w:val="both"/>
        <w:rPr>
          <w:lang w:val="zh-CN"/>
        </w:rPr>
      </w:pPr>
      <w:r>
        <w:rPr>
          <w:rFonts w:hint="eastAsia"/>
          <w:lang w:val="zh-CN"/>
        </w:rPr>
        <w:t>（5）说明书或产品介绍或产品合格证等证明材料；</w:t>
      </w:r>
    </w:p>
    <w:p>
      <w:pPr>
        <w:pStyle w:val="208"/>
        <w:spacing w:line="360" w:lineRule="auto"/>
        <w:ind w:firstLine="480" w:firstLineChars="200"/>
        <w:jc w:val="both"/>
        <w:rPr>
          <w:lang w:val="zh-CN"/>
        </w:rPr>
      </w:pPr>
      <w:r>
        <w:rPr>
          <w:rFonts w:hint="eastAsia"/>
          <w:lang w:val="zh-CN"/>
        </w:rPr>
        <w:t>（6）产品工作环境条件；</w:t>
      </w:r>
    </w:p>
    <w:p>
      <w:pPr>
        <w:pStyle w:val="208"/>
        <w:spacing w:line="360" w:lineRule="auto"/>
        <w:ind w:firstLine="480" w:firstLineChars="200"/>
        <w:jc w:val="both"/>
        <w:rPr>
          <w:lang w:val="zh-CN"/>
        </w:rPr>
      </w:pPr>
      <w:r>
        <w:rPr>
          <w:rFonts w:hint="eastAsia"/>
          <w:lang w:val="zh-CN"/>
        </w:rPr>
        <w:t>（7）产品验收标准和验收方法；</w:t>
      </w:r>
    </w:p>
    <w:p>
      <w:pPr>
        <w:pStyle w:val="208"/>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8"/>
        <w:spacing w:line="360" w:lineRule="auto"/>
        <w:ind w:firstLine="480" w:firstLineChars="200"/>
        <w:jc w:val="both"/>
        <w:rPr>
          <w:highlight w:val="green"/>
          <w:lang w:val="zh-CN"/>
        </w:rPr>
      </w:pPr>
      <w:r>
        <w:rPr>
          <w:rFonts w:hint="eastAsia"/>
          <w:lang w:val="zh-CN"/>
        </w:rPr>
        <w:t>（9）投标人认为需要提供的文件和资料。</w:t>
      </w:r>
    </w:p>
    <w:p>
      <w:pPr>
        <w:pStyle w:val="208"/>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8"/>
        <w:spacing w:line="360" w:lineRule="auto"/>
        <w:jc w:val="both"/>
        <w:rPr>
          <w:rFonts w:hint="eastAsia"/>
          <w:lang w:val="en-US" w:eastAsia="zh-CN"/>
        </w:rPr>
      </w:pPr>
      <w:r>
        <w:rPr>
          <w:rFonts w:hint="eastAsia"/>
          <w:lang w:val="en-US" w:eastAsia="zh-CN"/>
        </w:rPr>
        <w:t>13.3.1投标人资格证明文件</w:t>
      </w:r>
    </w:p>
    <w:p>
      <w:pPr>
        <w:pStyle w:val="208"/>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8"/>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8"/>
        <w:spacing w:line="360" w:lineRule="auto"/>
        <w:ind w:firstLine="480" w:firstLineChars="200"/>
        <w:jc w:val="both"/>
        <w:rPr>
          <w:rFonts w:hint="eastAsia"/>
          <w:lang w:val="en-US" w:eastAsia="zh-CN"/>
        </w:rPr>
      </w:pPr>
      <w:r>
        <w:rPr>
          <w:rFonts w:hint="eastAsia"/>
          <w:lang w:val="en-US" w:eastAsia="zh-CN"/>
        </w:rPr>
        <w:t>（1）投标函</w:t>
      </w:r>
    </w:p>
    <w:p>
      <w:pPr>
        <w:pStyle w:val="208"/>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8"/>
        <w:spacing w:line="360" w:lineRule="auto"/>
        <w:ind w:firstLine="480" w:firstLineChars="200"/>
        <w:jc w:val="both"/>
        <w:rPr>
          <w:rFonts w:hint="eastAsia"/>
          <w:lang w:val="en-US" w:eastAsia="zh-CN"/>
        </w:rPr>
      </w:pPr>
      <w:r>
        <w:rPr>
          <w:rFonts w:hint="eastAsia"/>
          <w:lang w:val="en-US" w:eastAsia="zh-CN"/>
        </w:rPr>
        <w:t>（3）商务偏离表</w:t>
      </w:r>
    </w:p>
    <w:p>
      <w:pPr>
        <w:pStyle w:val="208"/>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8"/>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8"/>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17446049"/>
      <w:bookmarkStart w:id="77" w:name="_Toc28852"/>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8"/>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8"/>
        <w:spacing w:line="360" w:lineRule="auto"/>
        <w:jc w:val="both"/>
        <w:rPr>
          <w:lang w:val="zh-CN"/>
        </w:rPr>
      </w:pPr>
      <w:r>
        <w:rPr>
          <w:rFonts w:hint="eastAsia"/>
          <w:lang w:val="zh-CN"/>
        </w:rPr>
        <w:t>14.2对于没有格式要求的投标文件由投标人自行编写。</w:t>
      </w:r>
      <w:bookmarkStart w:id="80" w:name="_Toc217446050"/>
      <w:bookmarkStart w:id="81" w:name="_Toc183582223"/>
      <w:bookmarkStart w:id="82" w:name="_Toc183682360"/>
    </w:p>
    <w:p>
      <w:pPr>
        <w:pStyle w:val="4"/>
        <w:jc w:val="both"/>
        <w:rPr>
          <w:rFonts w:ascii="宋体" w:hAnsi="宋体" w:cs="宋体"/>
          <w:sz w:val="24"/>
          <w:lang w:val="zh-CN"/>
        </w:rPr>
      </w:pPr>
      <w:bookmarkStart w:id="83" w:name="_Toc23893"/>
      <w:bookmarkStart w:id="84" w:name="_Toc28112"/>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31286"/>
      <w:bookmarkStart w:id="87" w:name="_Toc183682361"/>
      <w:bookmarkStart w:id="88" w:name="_Toc183582224"/>
      <w:bookmarkStart w:id="89" w:name="_Toc28500"/>
      <w:r>
        <w:rPr>
          <w:rFonts w:hint="eastAsia" w:ascii="宋体" w:hAnsi="宋体" w:cs="宋体"/>
          <w:sz w:val="24"/>
          <w:lang w:val="zh-CN"/>
        </w:rPr>
        <w:t>16．投标有效期</w:t>
      </w:r>
      <w:bookmarkEnd w:id="85"/>
      <w:bookmarkEnd w:id="86"/>
      <w:bookmarkEnd w:id="87"/>
      <w:bookmarkEnd w:id="88"/>
      <w:bookmarkEnd w:id="89"/>
    </w:p>
    <w:p>
      <w:pPr>
        <w:pStyle w:val="208"/>
        <w:spacing w:line="360" w:lineRule="auto"/>
        <w:jc w:val="both"/>
        <w:rPr>
          <w:lang w:val="zh-CN"/>
        </w:rPr>
      </w:pPr>
      <w:r>
        <w:rPr>
          <w:rFonts w:hint="eastAsia"/>
          <w:lang w:val="zh-CN"/>
        </w:rPr>
        <w:t>16.1投标有效期见投标人须知前附表。投标有效期短于此规定期限的投标，将被拒绝。</w:t>
      </w:r>
    </w:p>
    <w:p>
      <w:pPr>
        <w:pStyle w:val="208"/>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217446052"/>
      <w:bookmarkStart w:id="92" w:name="_Toc183582225"/>
    </w:p>
    <w:p>
      <w:pPr>
        <w:pStyle w:val="4"/>
        <w:jc w:val="both"/>
        <w:rPr>
          <w:rFonts w:ascii="宋体" w:hAnsi="宋体" w:cs="宋体"/>
          <w:sz w:val="24"/>
          <w:lang w:val="zh-CN"/>
        </w:rPr>
      </w:pPr>
      <w:bookmarkStart w:id="93" w:name="_Toc596"/>
      <w:bookmarkStart w:id="94" w:name="_Toc16741"/>
      <w:r>
        <w:rPr>
          <w:rFonts w:hint="eastAsia" w:ascii="宋体" w:hAnsi="宋体" w:cs="宋体"/>
          <w:sz w:val="24"/>
          <w:lang w:val="zh-CN"/>
        </w:rPr>
        <w:t>17．投标文件的印制和签署</w:t>
      </w:r>
      <w:bookmarkEnd w:id="90"/>
      <w:bookmarkEnd w:id="91"/>
      <w:bookmarkEnd w:id="92"/>
      <w:bookmarkEnd w:id="93"/>
      <w:bookmarkEnd w:id="94"/>
    </w:p>
    <w:p>
      <w:pPr>
        <w:pStyle w:val="208"/>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8"/>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8"/>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8"/>
        <w:spacing w:line="360" w:lineRule="auto"/>
        <w:jc w:val="both"/>
        <w:rPr>
          <w:lang w:val="zh-CN"/>
        </w:rPr>
      </w:pPr>
      <w:r>
        <w:rPr>
          <w:rFonts w:hint="eastAsia"/>
          <w:lang w:val="zh-CN"/>
        </w:rPr>
        <w:t>17.4投标文件正本和副本必须装订成册并逐页编目编码且使用无线胶装。</w:t>
      </w:r>
    </w:p>
    <w:p>
      <w:pPr>
        <w:pStyle w:val="208"/>
        <w:spacing w:line="360" w:lineRule="auto"/>
        <w:jc w:val="both"/>
        <w:rPr>
          <w:lang w:val="zh-CN"/>
        </w:rPr>
      </w:pPr>
      <w:r>
        <w:rPr>
          <w:rFonts w:hint="eastAsia"/>
          <w:lang w:val="zh-CN"/>
        </w:rPr>
        <w:t>17.5投标文件应根据招标文件的要求制作，签署、盖章和内容应完整，如有遗漏，将被视为无效投标。</w:t>
      </w:r>
    </w:p>
    <w:p>
      <w:pPr>
        <w:pStyle w:val="208"/>
        <w:spacing w:line="360" w:lineRule="auto"/>
        <w:jc w:val="both"/>
        <w:rPr>
          <w:lang w:val="zh-CN"/>
        </w:rPr>
      </w:pPr>
      <w:r>
        <w:rPr>
          <w:rFonts w:hint="eastAsia"/>
          <w:lang w:val="zh-CN"/>
        </w:rPr>
        <w:t>17.6投标文件统一用A4幅面纸印制。</w:t>
      </w:r>
    </w:p>
    <w:p>
      <w:pPr>
        <w:pStyle w:val="208"/>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8"/>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8"/>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8"/>
        <w:spacing w:line="360" w:lineRule="auto"/>
        <w:jc w:val="both"/>
        <w:rPr>
          <w:rFonts w:hint="eastAsia"/>
          <w:lang w:val="zh-CN"/>
        </w:rPr>
      </w:pPr>
      <w:r>
        <w:rPr>
          <w:rFonts w:hint="eastAsia"/>
          <w:lang w:val="zh-CN"/>
        </w:rPr>
        <w:t>采购人：</w:t>
      </w:r>
      <w:r>
        <w:rPr>
          <w:rFonts w:hint="eastAsia"/>
          <w:lang w:val="zh-CN"/>
        </w:rPr>
        <w:tab/>
      </w:r>
    </w:p>
    <w:p>
      <w:pPr>
        <w:pStyle w:val="208"/>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招标文件编号：</w:t>
      </w:r>
      <w:r>
        <w:rPr>
          <w:rFonts w:hint="eastAsia"/>
          <w:lang w:val="zh-CN"/>
        </w:rPr>
        <w:tab/>
      </w:r>
    </w:p>
    <w:p>
      <w:pPr>
        <w:pStyle w:val="208"/>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8"/>
        <w:spacing w:line="360" w:lineRule="auto"/>
        <w:jc w:val="both"/>
        <w:rPr>
          <w:rFonts w:hint="eastAsia"/>
          <w:lang w:val="zh-CN"/>
        </w:rPr>
      </w:pPr>
      <w:r>
        <w:rPr>
          <w:rFonts w:hint="eastAsia"/>
          <w:lang w:val="zh-CN"/>
        </w:rPr>
        <w:t>详细地址：</w:t>
      </w:r>
      <w:r>
        <w:rPr>
          <w:rFonts w:hint="eastAsia"/>
          <w:lang w:val="zh-CN"/>
        </w:rPr>
        <w:tab/>
      </w:r>
    </w:p>
    <w:p>
      <w:pPr>
        <w:pStyle w:val="208"/>
        <w:spacing w:line="360" w:lineRule="auto"/>
        <w:jc w:val="both"/>
        <w:rPr>
          <w:rFonts w:hint="eastAsia"/>
          <w:lang w:val="zh-CN"/>
        </w:rPr>
      </w:pPr>
      <w:r>
        <w:rPr>
          <w:rFonts w:hint="eastAsia"/>
          <w:lang w:val="zh-CN"/>
        </w:rPr>
        <w:t>日期：</w:t>
      </w:r>
    </w:p>
    <w:p>
      <w:pPr>
        <w:pStyle w:val="208"/>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8"/>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8"/>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8"/>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8"/>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8"/>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8"/>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682369"/>
      <w:bookmarkStart w:id="114" w:name="_Toc183582232"/>
      <w:bookmarkStart w:id="115" w:name="_Toc217446057"/>
    </w:p>
    <w:p>
      <w:pPr>
        <w:pStyle w:val="4"/>
        <w:jc w:val="both"/>
        <w:rPr>
          <w:rFonts w:ascii="宋体" w:hAnsi="宋体" w:cs="宋体"/>
          <w:sz w:val="24"/>
          <w:lang w:val="zh-CN"/>
        </w:rPr>
      </w:pPr>
      <w:bookmarkStart w:id="116" w:name="_Toc3020"/>
      <w:bookmarkStart w:id="117" w:name="_Toc17974"/>
      <w:r>
        <w:rPr>
          <w:rFonts w:hint="eastAsia" w:ascii="宋体" w:hAnsi="宋体" w:cs="宋体"/>
          <w:sz w:val="24"/>
          <w:lang w:val="zh-CN"/>
        </w:rPr>
        <w:t>21．开标</w:t>
      </w:r>
      <w:bookmarkEnd w:id="113"/>
      <w:bookmarkEnd w:id="114"/>
      <w:bookmarkEnd w:id="115"/>
      <w:bookmarkEnd w:id="116"/>
      <w:bookmarkEnd w:id="117"/>
    </w:p>
    <w:p>
      <w:pPr>
        <w:pStyle w:val="208"/>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8"/>
        <w:spacing w:line="360" w:lineRule="auto"/>
        <w:jc w:val="both"/>
        <w:rPr>
          <w:lang w:val="zh-CN"/>
        </w:rPr>
      </w:pPr>
      <w:r>
        <w:rPr>
          <w:rFonts w:hint="eastAsia"/>
          <w:lang w:val="zh-CN"/>
        </w:rPr>
        <w:t>21.2开标时，由投标人或者其推选的代表检查投标文件的密封情况；经确认无误后，由各投标人授权代表签字确认</w:t>
      </w:r>
      <w:r>
        <w:rPr>
          <w:rFonts w:hint="eastAsia"/>
          <w:color w:val="auto"/>
          <w:lang w:val="zh-CN"/>
        </w:rPr>
        <w:t>。并由招标工作人员将投标人单独递交的“开标一览表”当众拆封，并由唱标人员进行唱标。投</w:t>
      </w:r>
      <w:r>
        <w:rPr>
          <w:rFonts w:hint="eastAsia"/>
          <w:lang w:val="zh-CN"/>
        </w:rPr>
        <w:t>标人不足3家的，不得开标。</w:t>
      </w:r>
    </w:p>
    <w:p>
      <w:pPr>
        <w:pStyle w:val="208"/>
        <w:spacing w:line="360" w:lineRule="auto"/>
        <w:jc w:val="both"/>
        <w:rPr>
          <w:lang w:val="zh-CN"/>
        </w:rPr>
      </w:pPr>
      <w:r>
        <w:rPr>
          <w:rFonts w:hint="eastAsia"/>
          <w:lang w:val="zh-CN"/>
        </w:rPr>
        <w:t>21.</w:t>
      </w:r>
      <w:r>
        <w:rPr>
          <w:rFonts w:hint="eastAsia"/>
          <w:lang w:val="en-US" w:eastAsia="zh-CN"/>
        </w:rPr>
        <w:t>3</w:t>
      </w:r>
      <w:r>
        <w:rPr>
          <w:rFonts w:hint="eastAsia"/>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8"/>
        <w:spacing w:line="360" w:lineRule="auto"/>
        <w:jc w:val="both"/>
        <w:rPr>
          <w:rFonts w:hint="eastAsia"/>
          <w:lang w:val="zh-CN"/>
        </w:rPr>
      </w:pPr>
      <w:r>
        <w:rPr>
          <w:rFonts w:hint="eastAsia"/>
          <w:lang w:val="zh-CN"/>
        </w:rPr>
        <w:t>21.</w:t>
      </w:r>
      <w:r>
        <w:rPr>
          <w:rFonts w:hint="eastAsia"/>
          <w:lang w:val="en-US" w:eastAsia="zh-CN"/>
        </w:rPr>
        <w:t>4</w:t>
      </w:r>
      <w:r>
        <w:rPr>
          <w:rFonts w:hint="eastAsia"/>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sz w:val="24"/>
          <w:lang w:val="zh-CN"/>
        </w:rPr>
      </w:pPr>
      <w:bookmarkStart w:id="118" w:name="_Toc217446059"/>
      <w:bookmarkStart w:id="119" w:name="_Toc7344"/>
      <w:bookmarkStart w:id="120" w:name="_Toc20981"/>
      <w:r>
        <w:rPr>
          <w:rFonts w:hint="eastAsia" w:ascii="宋体" w:hAnsi="宋体" w:cs="宋体"/>
          <w:sz w:val="24"/>
          <w:lang w:val="zh-CN"/>
        </w:rPr>
        <w:t>2</w:t>
      </w:r>
      <w:r>
        <w:rPr>
          <w:rFonts w:hint="eastAsia" w:ascii="宋体" w:hAnsi="宋体" w:cs="宋体"/>
          <w:sz w:val="24"/>
        </w:rPr>
        <w:t>2</w:t>
      </w:r>
      <w:r>
        <w:rPr>
          <w:rFonts w:hint="eastAsia" w:ascii="宋体" w:hAnsi="宋体" w:cs="宋体"/>
          <w:sz w:val="24"/>
          <w:lang w:val="zh-CN"/>
        </w:rPr>
        <w:t>.评标</w:t>
      </w:r>
      <w:bookmarkEnd w:id="118"/>
      <w:r>
        <w:rPr>
          <w:rFonts w:hint="eastAsia" w:ascii="宋体" w:hAnsi="宋体" w:cs="宋体"/>
          <w:sz w:val="24"/>
          <w:lang w:val="zh-CN"/>
        </w:rPr>
        <w:t>委员会</w:t>
      </w:r>
      <w:bookmarkEnd w:id="119"/>
      <w:bookmarkEnd w:id="120"/>
    </w:p>
    <w:p>
      <w:pPr>
        <w:pStyle w:val="208"/>
        <w:spacing w:line="360" w:lineRule="auto"/>
        <w:jc w:val="both"/>
        <w:rPr>
          <w:color w:val="auto"/>
          <w:lang w:val="zh-CN"/>
        </w:rPr>
      </w:pPr>
      <w:r>
        <w:rPr>
          <w:rFonts w:hint="eastAsia"/>
          <w:lang w:val="zh-CN"/>
        </w:rPr>
        <w:t>2</w:t>
      </w:r>
      <w:r>
        <w:rPr>
          <w:rFonts w:hint="eastAsia"/>
        </w:rPr>
        <w:t>2</w:t>
      </w:r>
      <w:r>
        <w:rPr>
          <w:rFonts w:hint="eastAsia"/>
          <w:lang w:val="zh-CN"/>
        </w:rPr>
        <w:t>.1评标工作由招标采购单位组建的评标委员会（以下简称评委会）负责。评标委员会成员由采购人代表和评审专家组成，</w:t>
      </w:r>
      <w:r>
        <w:rPr>
          <w:rFonts w:hint="eastAsia"/>
          <w:color w:val="auto"/>
          <w:lang w:val="zh-CN"/>
        </w:rPr>
        <w:t>成员人数应当为5人以上单数，其中评审专家不得少于成员总数的三分之二。</w:t>
      </w:r>
    </w:p>
    <w:p>
      <w:pPr>
        <w:pStyle w:val="208"/>
        <w:spacing w:line="360" w:lineRule="auto"/>
        <w:jc w:val="both"/>
        <w:rPr>
          <w:rFonts w:hint="eastAsia"/>
          <w:color w:val="auto"/>
        </w:rPr>
      </w:pPr>
      <w:r>
        <w:rPr>
          <w:rFonts w:hint="eastAsia"/>
          <w:color w:val="auto"/>
          <w:lang w:val="zh-CN"/>
        </w:rPr>
        <w:t>2</w:t>
      </w:r>
      <w:r>
        <w:rPr>
          <w:rFonts w:hint="eastAsia"/>
          <w:color w:val="auto"/>
        </w:rPr>
        <w:t>2</w:t>
      </w:r>
      <w:r>
        <w:rPr>
          <w:rFonts w:hint="eastAsia"/>
          <w:color w:val="auto"/>
          <w:lang w:val="zh-CN"/>
        </w:rPr>
        <w:t>.2</w:t>
      </w:r>
      <w:r>
        <w:rPr>
          <w:rFonts w:hint="eastAsia"/>
          <w:color w:val="auto"/>
        </w:rPr>
        <w:t>评标委员会负责审查投标文件是否符合招标文件的要求，并进行审查、询标、评估和比较。评标委员会认为必要时，可向投标人进行询标。</w:t>
      </w:r>
    </w:p>
    <w:p>
      <w:pPr>
        <w:pStyle w:val="208"/>
        <w:spacing w:line="360" w:lineRule="auto"/>
        <w:jc w:val="both"/>
        <w:rPr>
          <w:rFonts w:hint="eastAsia"/>
          <w:color w:val="auto"/>
          <w:lang w:val="en-US" w:eastAsia="zh-CN"/>
        </w:rPr>
      </w:pPr>
      <w:r>
        <w:rPr>
          <w:rFonts w:hint="eastAsia"/>
          <w:color w:val="auto"/>
          <w:lang w:val="en-US" w:eastAsia="zh-CN"/>
        </w:rPr>
        <w:t>22.3评标委员会负责完成全部评标工作，向采购人提出经评标委员会签字的书面评标报告。</w:t>
      </w:r>
    </w:p>
    <w:p>
      <w:pPr>
        <w:pStyle w:val="208"/>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8"/>
        <w:spacing w:line="360" w:lineRule="auto"/>
        <w:jc w:val="both"/>
        <w:rPr>
          <w:lang w:val="zh-CN"/>
        </w:rPr>
      </w:pPr>
      <w:r>
        <w:rPr>
          <w:rFonts w:hint="eastAsia"/>
          <w:lang w:val="zh-CN"/>
        </w:rPr>
        <w:t>2</w:t>
      </w:r>
      <w:r>
        <w:rPr>
          <w:rFonts w:hint="eastAsia"/>
        </w:rPr>
        <w:t>2</w:t>
      </w:r>
      <w:r>
        <w:rPr>
          <w:rFonts w:hint="eastAsia"/>
          <w:lang w:val="zh-CN"/>
        </w:rPr>
        <w:t>.</w:t>
      </w:r>
      <w:r>
        <w:rPr>
          <w:rFonts w:hint="eastAsia"/>
          <w:lang w:val="en-US" w:eastAsia="zh-CN"/>
        </w:rPr>
        <w:t>5</w:t>
      </w:r>
      <w:r>
        <w:rPr>
          <w:rFonts w:hint="eastAsia"/>
          <w:lang w:val="zh-CN"/>
        </w:rPr>
        <w:t>评标过程严格保密。投标人对评委会的评标过程或合同授予决定施加影响的任何行为都可能导致其投标被拒绝。</w:t>
      </w:r>
    </w:p>
    <w:p>
      <w:pPr>
        <w:pStyle w:val="208"/>
        <w:spacing w:line="360" w:lineRule="auto"/>
        <w:jc w:val="both"/>
        <w:rPr>
          <w:lang w:val="zh-CN"/>
        </w:rPr>
      </w:pPr>
      <w:r>
        <w:rPr>
          <w:rFonts w:hint="eastAsia"/>
          <w:lang w:val="zh-CN"/>
        </w:rPr>
        <w:t>2</w:t>
      </w:r>
      <w:r>
        <w:rPr>
          <w:rFonts w:hint="eastAsia"/>
        </w:rPr>
        <w:t>2</w:t>
      </w:r>
      <w:r>
        <w:rPr>
          <w:rFonts w:hint="eastAsia"/>
          <w:lang w:val="zh-CN"/>
        </w:rPr>
        <w:t>.6如果投标文件没有实质性响应招标文件的要求，评委会将予以拒绝。投标人不得通过修正或撤消不合要求的偏离或保留从而使其投标成为实质性响应的投标。</w:t>
      </w:r>
    </w:p>
    <w:p>
      <w:pPr>
        <w:pStyle w:val="208"/>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8"/>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8"/>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8"/>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8"/>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8"/>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8"/>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8"/>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8"/>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8"/>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8"/>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8"/>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8"/>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8"/>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8"/>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8"/>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8"/>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8"/>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8"/>
        <w:spacing w:line="360" w:lineRule="auto"/>
        <w:jc w:val="both"/>
        <w:rPr>
          <w:rFonts w:hint="eastAsia"/>
          <w:b/>
          <w:bCs/>
          <w:lang w:val="en-US" w:eastAsia="zh-CN"/>
        </w:rPr>
      </w:pPr>
      <w:r>
        <w:rPr>
          <w:rFonts w:hint="eastAsia"/>
          <w:b/>
          <w:bCs/>
          <w:lang w:val="en-US" w:eastAsia="zh-CN"/>
        </w:rPr>
        <w:t>25.投标的评估和比较</w:t>
      </w:r>
    </w:p>
    <w:p>
      <w:pPr>
        <w:pStyle w:val="208"/>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8"/>
        <w:spacing w:line="360" w:lineRule="auto"/>
        <w:jc w:val="both"/>
        <w:rPr>
          <w:rFonts w:hint="eastAsia"/>
          <w:b/>
          <w:bCs/>
          <w:lang w:val="en-US" w:eastAsia="zh-CN"/>
        </w:rPr>
      </w:pPr>
      <w:r>
        <w:rPr>
          <w:rFonts w:hint="eastAsia"/>
          <w:b/>
          <w:bCs/>
          <w:lang w:val="en-US" w:eastAsia="zh-CN"/>
        </w:rPr>
        <w:t>26.评标原则和评标方法</w:t>
      </w:r>
    </w:p>
    <w:p>
      <w:pPr>
        <w:pStyle w:val="208"/>
        <w:spacing w:line="360" w:lineRule="auto"/>
        <w:jc w:val="both"/>
        <w:rPr>
          <w:rFonts w:hint="eastAsia"/>
          <w:lang w:val="en-US" w:eastAsia="zh-CN"/>
        </w:rPr>
      </w:pPr>
      <w:r>
        <w:rPr>
          <w:rFonts w:hint="eastAsia"/>
          <w:lang w:val="en-US" w:eastAsia="zh-CN"/>
        </w:rPr>
        <w:t>26.1评标原则</w:t>
      </w:r>
    </w:p>
    <w:p>
      <w:pPr>
        <w:pStyle w:val="208"/>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8"/>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8"/>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8"/>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8"/>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8"/>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8"/>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8"/>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8"/>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8"/>
        <w:spacing w:line="360" w:lineRule="auto"/>
        <w:jc w:val="both"/>
        <w:rPr>
          <w:rFonts w:hint="eastAsia"/>
          <w:lang w:val="en-US" w:eastAsia="zh-CN"/>
        </w:rPr>
      </w:pPr>
      <w:r>
        <w:rPr>
          <w:rFonts w:hint="eastAsia"/>
          <w:lang w:val="en-US" w:eastAsia="zh-CN"/>
        </w:rPr>
        <w:t>26.2.2最低评标价法</w:t>
      </w:r>
    </w:p>
    <w:p>
      <w:pPr>
        <w:pStyle w:val="208"/>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8"/>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8"/>
        <w:spacing w:line="360" w:lineRule="auto"/>
        <w:jc w:val="both"/>
        <w:rPr>
          <w:rFonts w:hint="eastAsia"/>
          <w:b/>
          <w:bCs/>
          <w:lang w:val="en-US" w:eastAsia="zh-CN"/>
        </w:rPr>
      </w:pPr>
      <w:r>
        <w:rPr>
          <w:rFonts w:hint="eastAsia"/>
          <w:b/>
          <w:bCs/>
          <w:lang w:val="en-US" w:eastAsia="zh-CN"/>
        </w:rPr>
        <w:t>27.其他注意事项</w:t>
      </w:r>
    </w:p>
    <w:p>
      <w:pPr>
        <w:pStyle w:val="208"/>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8"/>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8"/>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8"/>
        <w:spacing w:line="360" w:lineRule="auto"/>
        <w:jc w:val="both"/>
        <w:rPr>
          <w:color w:val="FF0000"/>
          <w:lang w:val="zh-CN"/>
        </w:rPr>
      </w:pPr>
      <w:r>
        <w:rPr>
          <w:rFonts w:hint="eastAsia"/>
        </w:rPr>
        <w:t>2</w:t>
      </w:r>
      <w:r>
        <w:rPr>
          <w:rFonts w:hint="eastAsia"/>
          <w:lang w:val="en-US" w:eastAsia="zh-CN"/>
        </w:rPr>
        <w:t>8</w:t>
      </w:r>
      <w:r>
        <w:rPr>
          <w:rFonts w:hint="eastAsia"/>
        </w:rPr>
        <w:t>.1</w:t>
      </w:r>
      <w:bookmarkStart w:id="125" w:name="_Toc217446062"/>
      <w:r>
        <w:rPr>
          <w:rFonts w:hint="eastAsia"/>
          <w:color w:val="auto"/>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8"/>
        <w:spacing w:line="360" w:lineRule="auto"/>
        <w:jc w:val="both"/>
        <w:rPr>
          <w:lang w:val="zh-CN"/>
        </w:rPr>
      </w:pPr>
      <w:bookmarkStart w:id="126" w:name="_Toc183582238"/>
      <w:bookmarkStart w:id="127" w:name="_Toc183682375"/>
      <w:bookmarkStart w:id="128" w:name="_Toc217446063"/>
      <w:r>
        <w:rPr>
          <w:rFonts w:hint="eastAsia"/>
          <w:lang w:val="zh-CN"/>
        </w:rPr>
        <w:t>2</w:t>
      </w:r>
      <w:r>
        <w:rPr>
          <w:rFonts w:hint="eastAsia"/>
          <w:lang w:val="en-US" w:eastAsia="zh-CN"/>
        </w:rPr>
        <w:t>8</w:t>
      </w:r>
      <w:r>
        <w:rPr>
          <w:rFonts w:hint="eastAsia"/>
          <w:lang w:val="zh-CN"/>
        </w:rPr>
        <w:t>.</w:t>
      </w:r>
      <w:r>
        <w:rPr>
          <w:rFonts w:hint="eastAsia"/>
          <w:lang w:val="en-US" w:eastAsia="zh-CN"/>
        </w:rPr>
        <w:t>2</w:t>
      </w:r>
      <w:r>
        <w:rPr>
          <w:rFonts w:hint="eastAsia"/>
          <w:lang w:val="zh-CN"/>
        </w:rPr>
        <w:t>采购人在出具评标报告后5个工作日内，按照评标报告中推荐的中标候选人顺序确定中标人。</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8"/>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41"/>
      <w:bookmarkStart w:id="130" w:name="_Toc25170"/>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8"/>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582240"/>
      <w:bookmarkStart w:id="133" w:name="_Toc183682377"/>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8"/>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8"/>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8"/>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19334"/>
      <w:bookmarkStart w:id="139" w:name="_Toc217446066"/>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8"/>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8"/>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8"/>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8"/>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17948"/>
      <w:bookmarkStart w:id="146" w:name="_Toc14355"/>
      <w:bookmarkStart w:id="147" w:name="_Toc217446069"/>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8"/>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8"/>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8"/>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8"/>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8"/>
        <w:spacing w:line="360" w:lineRule="auto"/>
        <w:ind w:firstLine="480" w:firstLineChars="200"/>
        <w:jc w:val="both"/>
        <w:rPr>
          <w:lang w:val="zh-CN"/>
        </w:rPr>
      </w:pPr>
      <w:r>
        <w:rPr>
          <w:rFonts w:hint="eastAsia"/>
          <w:lang w:val="zh-CN"/>
        </w:rPr>
        <w:t>（2）出现影响采购公正的违法、违规行为的；</w:t>
      </w:r>
    </w:p>
    <w:p>
      <w:pPr>
        <w:pStyle w:val="208"/>
        <w:spacing w:line="360" w:lineRule="auto"/>
        <w:ind w:firstLine="480" w:firstLineChars="200"/>
        <w:jc w:val="both"/>
        <w:rPr>
          <w:lang w:val="zh-CN"/>
        </w:rPr>
      </w:pPr>
      <w:r>
        <w:rPr>
          <w:rFonts w:hint="eastAsia"/>
          <w:lang w:val="zh-CN"/>
        </w:rPr>
        <w:t>（3）投标人的报价均超过了采购预算，采购人不能支付的；</w:t>
      </w:r>
    </w:p>
    <w:p>
      <w:pPr>
        <w:pStyle w:val="208"/>
        <w:spacing w:line="360" w:lineRule="auto"/>
        <w:ind w:firstLine="480" w:firstLineChars="200"/>
        <w:jc w:val="both"/>
        <w:rPr>
          <w:lang w:val="zh-CN"/>
        </w:rPr>
      </w:pPr>
      <w:r>
        <w:rPr>
          <w:rFonts w:hint="eastAsia"/>
          <w:lang w:val="zh-CN"/>
        </w:rPr>
        <w:t>（4）因重大变故，采购任务取消的。</w:t>
      </w:r>
    </w:p>
    <w:p>
      <w:pPr>
        <w:pStyle w:val="208"/>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8"/>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8"/>
        <w:spacing w:line="360" w:lineRule="auto"/>
        <w:jc w:val="both"/>
        <w:rPr>
          <w:rFonts w:hint="eastAsia"/>
          <w:lang w:val="en-US" w:eastAsia="zh-CN"/>
        </w:rPr>
      </w:pPr>
      <w:r>
        <w:rPr>
          <w:rFonts w:hint="eastAsia"/>
          <w:lang w:val="en-US" w:eastAsia="zh-CN"/>
        </w:rPr>
        <w:t>（一）不同投标人的投标文件由同一单位或者个人编制；</w:t>
      </w:r>
    </w:p>
    <w:p>
      <w:pPr>
        <w:pStyle w:val="208"/>
        <w:spacing w:line="360" w:lineRule="auto"/>
        <w:jc w:val="both"/>
        <w:rPr>
          <w:rFonts w:hint="eastAsia"/>
          <w:lang w:val="en-US" w:eastAsia="zh-CN"/>
        </w:rPr>
      </w:pPr>
      <w:r>
        <w:rPr>
          <w:rFonts w:hint="eastAsia"/>
          <w:lang w:val="en-US" w:eastAsia="zh-CN"/>
        </w:rPr>
        <w:t>（二）不同投标人委托同一单位或者个人办理投标事宜；</w:t>
      </w:r>
    </w:p>
    <w:p>
      <w:pPr>
        <w:pStyle w:val="208"/>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8"/>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8"/>
        <w:spacing w:line="360" w:lineRule="auto"/>
        <w:jc w:val="both"/>
        <w:rPr>
          <w:rFonts w:hint="eastAsia"/>
          <w:lang w:val="en-US" w:eastAsia="zh-CN"/>
        </w:rPr>
      </w:pPr>
      <w:r>
        <w:rPr>
          <w:rFonts w:hint="eastAsia"/>
          <w:lang w:val="en-US" w:eastAsia="zh-CN"/>
        </w:rPr>
        <w:t>（五）不同投标人的投标文件相互混装；</w:t>
      </w:r>
    </w:p>
    <w:p>
      <w:pPr>
        <w:pStyle w:val="208"/>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8"/>
        <w:spacing w:line="360" w:lineRule="auto"/>
        <w:ind w:firstLine="480" w:firstLineChars="200"/>
        <w:jc w:val="both"/>
        <w:rPr>
          <w:lang w:val="zh-CN"/>
        </w:rPr>
      </w:pPr>
      <w:r>
        <w:rPr>
          <w:rFonts w:hint="eastAsia"/>
          <w:lang w:val="zh-CN"/>
        </w:rPr>
        <w:t>投标人参加投标不得有下列情形：</w:t>
      </w:r>
    </w:p>
    <w:p>
      <w:pPr>
        <w:pStyle w:val="208"/>
        <w:spacing w:line="360" w:lineRule="auto"/>
        <w:ind w:firstLine="480" w:firstLineChars="200"/>
        <w:jc w:val="both"/>
        <w:rPr>
          <w:lang w:val="zh-CN"/>
        </w:rPr>
      </w:pPr>
      <w:r>
        <w:rPr>
          <w:rFonts w:hint="eastAsia"/>
          <w:lang w:val="zh-CN"/>
        </w:rPr>
        <w:t>（1）提供虚假材料谋取中标；</w:t>
      </w:r>
    </w:p>
    <w:p>
      <w:pPr>
        <w:pStyle w:val="208"/>
        <w:spacing w:line="360" w:lineRule="auto"/>
        <w:ind w:firstLine="480" w:firstLineChars="200"/>
        <w:jc w:val="both"/>
        <w:rPr>
          <w:lang w:val="zh-CN"/>
        </w:rPr>
      </w:pPr>
      <w:r>
        <w:rPr>
          <w:rFonts w:hint="eastAsia"/>
          <w:lang w:val="zh-CN"/>
        </w:rPr>
        <w:t>（2）采取不正当手段诋毁、排挤其他投标人；</w:t>
      </w:r>
    </w:p>
    <w:p>
      <w:pPr>
        <w:pStyle w:val="208"/>
        <w:spacing w:line="360" w:lineRule="auto"/>
        <w:ind w:firstLine="480" w:firstLineChars="200"/>
        <w:jc w:val="both"/>
        <w:rPr>
          <w:lang w:val="zh-CN"/>
        </w:rPr>
      </w:pPr>
      <w:r>
        <w:rPr>
          <w:rFonts w:hint="eastAsia"/>
          <w:lang w:val="zh-CN"/>
        </w:rPr>
        <w:t>（3）与招标采购单位、其他投标人恶意串通；</w:t>
      </w:r>
    </w:p>
    <w:p>
      <w:pPr>
        <w:pStyle w:val="208"/>
        <w:spacing w:line="360" w:lineRule="auto"/>
        <w:ind w:firstLine="480" w:firstLineChars="200"/>
        <w:jc w:val="both"/>
        <w:rPr>
          <w:lang w:val="zh-CN"/>
        </w:rPr>
      </w:pPr>
      <w:r>
        <w:rPr>
          <w:rFonts w:hint="eastAsia"/>
          <w:lang w:val="zh-CN"/>
        </w:rPr>
        <w:t>（4）向招标采购单位、评标委员会成员行贿或者提供其他不正当利益；</w:t>
      </w:r>
    </w:p>
    <w:p>
      <w:pPr>
        <w:pStyle w:val="208"/>
        <w:spacing w:line="360" w:lineRule="auto"/>
        <w:ind w:firstLine="480" w:firstLineChars="200"/>
        <w:jc w:val="both"/>
        <w:rPr>
          <w:lang w:val="zh-CN"/>
        </w:rPr>
      </w:pPr>
      <w:r>
        <w:rPr>
          <w:rFonts w:hint="eastAsia"/>
          <w:lang w:val="zh-CN"/>
        </w:rPr>
        <w:t>（5）在招标过程中与招标采购单位进行协商谈判；</w:t>
      </w:r>
    </w:p>
    <w:p>
      <w:pPr>
        <w:pStyle w:val="208"/>
        <w:spacing w:line="360" w:lineRule="auto"/>
        <w:ind w:firstLine="480" w:firstLineChars="200"/>
        <w:jc w:val="both"/>
        <w:rPr>
          <w:lang w:val="zh-CN"/>
        </w:rPr>
      </w:pPr>
      <w:r>
        <w:rPr>
          <w:rFonts w:hint="eastAsia"/>
          <w:lang w:val="zh-CN"/>
        </w:rPr>
        <w:t>（6）拒绝有关部门的监督检查或者向监督检查部门提供虚假情况。</w:t>
      </w:r>
    </w:p>
    <w:p>
      <w:pPr>
        <w:pStyle w:val="208"/>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8"/>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32409"/>
      <w:bookmarkStart w:id="167" w:name="_Toc1308"/>
      <w:bookmarkStart w:id="168" w:name="_Toc23620"/>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3368"/>
      <w:bookmarkStart w:id="170" w:name="_Toc4489"/>
      <w:bookmarkStart w:id="171" w:name="_Toc20085"/>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color w:val="000000" w:themeColor="text1"/>
          <w:sz w:val="32"/>
          <w:szCs w:val="32"/>
        </w:rPr>
      </w:pPr>
      <w:bookmarkStart w:id="179" w:name="_Toc20581"/>
      <w:r>
        <w:rPr>
          <w:rFonts w:hint="eastAsia" w:ascii="宋体" w:hAnsi="宋体" w:cs="宋体"/>
          <w:color w:val="000000" w:themeColor="text1"/>
          <w:sz w:val="32"/>
          <w:szCs w:val="32"/>
          <w:lang w:val="en-US" w:eastAsia="zh-CN"/>
        </w:rPr>
        <w:t xml:space="preserve"> </w:t>
      </w:r>
      <w:r>
        <w:rPr>
          <w:rFonts w:hint="eastAsia" w:ascii="宋体" w:hAnsi="宋体" w:cs="宋体"/>
          <w:color w:val="000000" w:themeColor="text1"/>
          <w:sz w:val="32"/>
          <w:szCs w:val="32"/>
        </w:rPr>
        <w:t>采购需求及技术要求</w:t>
      </w:r>
      <w:bookmarkEnd w:id="179"/>
    </w:p>
    <w:p>
      <w:pPr>
        <w:pStyle w:val="220"/>
        <w:tabs>
          <w:tab w:val="left" w:pos="426"/>
          <w:tab w:val="left" w:pos="567"/>
        </w:tabs>
        <w:adjustRightInd w:val="0"/>
        <w:snapToGrid w:val="0"/>
        <w:spacing w:line="360" w:lineRule="auto"/>
        <w:ind w:firstLine="0" w:firstLineChars="0"/>
        <w:jc w:val="left"/>
        <w:rPr>
          <w:rFonts w:hint="default" w:ascii="宋体" w:hAnsi="宋体" w:eastAsia="宋体" w:cs="Arial"/>
          <w:sz w:val="28"/>
          <w:szCs w:val="28"/>
          <w:lang w:val="en-US" w:eastAsia="zh-CN"/>
        </w:rPr>
      </w:pPr>
      <w:r>
        <w:rPr>
          <w:rFonts w:hint="eastAsia" w:ascii="宋体" w:hAnsi="宋体" w:cs="Arial"/>
          <w:sz w:val="28"/>
          <w:szCs w:val="28"/>
          <w:lang w:eastAsia="zh-CN"/>
        </w:rPr>
        <w:t>要求提供相应的硬件配套设施，提供</w:t>
      </w:r>
      <w:r>
        <w:rPr>
          <w:rFonts w:hint="eastAsia" w:ascii="宋体" w:hAnsi="宋体" w:cs="Arial"/>
          <w:sz w:val="28"/>
          <w:szCs w:val="28"/>
          <w:lang w:val="en-US" w:eastAsia="zh-CN"/>
        </w:rPr>
        <w:t>500M带宽服务。</w:t>
      </w:r>
    </w:p>
    <w:p/>
    <w:p>
      <w:pPr>
        <w:widowControl/>
        <w:spacing w:line="400" w:lineRule="exact"/>
        <w:rPr>
          <w:rFonts w:ascii="宋体" w:hAnsi="宋体" w:cs="宋体"/>
          <w:b/>
          <w:bCs/>
          <w:kern w:val="0"/>
          <w:sz w:val="32"/>
          <w:szCs w:val="32"/>
        </w:rPr>
      </w:pPr>
    </w:p>
    <w:p>
      <w:pPr>
        <w:pStyle w:val="3"/>
        <w:jc w:val="both"/>
        <w:rPr>
          <w:rFonts w:ascii="宋体" w:hAnsi="宋体" w:cs="宋体"/>
        </w:rPr>
        <w:sectPr>
          <w:headerReference r:id="rId10" w:type="firs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3"/>
        <w:rPr>
          <w:rFonts w:hint="eastAsia" w:ascii="宋体" w:hAnsi="宋体" w:cs="宋体"/>
          <w:color w:val="000000" w:themeColor="text1"/>
          <w:sz w:val="32"/>
          <w:szCs w:val="32"/>
          <w:lang w:val="en-US" w:eastAsia="zh-CN"/>
        </w:rPr>
      </w:pPr>
      <w:bookmarkStart w:id="180" w:name="_Toc20396"/>
      <w:r>
        <w:rPr>
          <w:rFonts w:hint="eastAsia" w:ascii="宋体" w:hAnsi="宋体" w:cs="宋体"/>
          <w:sz w:val="32"/>
          <w:szCs w:val="32"/>
          <w:lang w:eastAsia="zh-CN"/>
        </w:rPr>
        <w:t>第四章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color w:val="000000" w:themeColor="text1"/>
          <w:spacing w:val="4"/>
          <w:sz w:val="24"/>
          <w:szCs w:val="24"/>
        </w:rPr>
        <w:t>一、投标人有效的营业执照，或事业单位法人证书，或自然人</w:t>
      </w:r>
      <w:r>
        <w:rPr>
          <w:rFonts w:hint="eastAsia" w:ascii="宋体" w:hAnsi="宋体" w:eastAsia="宋体" w:cs="宋体"/>
          <w:b w:val="0"/>
          <w:bCs w:val="0"/>
          <w:spacing w:val="4"/>
          <w:sz w:val="24"/>
          <w:szCs w:val="24"/>
        </w:rPr>
        <w:t>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numPr>
          <w:ilvl w:val="0"/>
          <w:numId w:val="0"/>
        </w:numPr>
        <w:spacing w:line="360" w:lineRule="auto"/>
        <w:rPr>
          <w:rFonts w:hint="eastAsia" w:ascii="宋体" w:hAnsi="宋体" w:eastAsia="宋体" w:cs="宋体"/>
          <w:b w:val="0"/>
          <w:bCs w:val="0"/>
          <w:spacing w:val="4"/>
          <w:sz w:val="24"/>
          <w:szCs w:val="24"/>
          <w:lang w:eastAsia="zh-CN"/>
        </w:rPr>
      </w:pPr>
      <w:r>
        <w:rPr>
          <w:rFonts w:hint="eastAsia" w:ascii="宋体" w:hAnsi="宋体" w:cs="宋体"/>
          <w:color w:val="auto"/>
          <w:kern w:val="2"/>
          <w:sz w:val="24"/>
          <w:szCs w:val="24"/>
          <w:highlight w:val="none"/>
          <w:lang w:val="en-US" w:eastAsia="zh-CN" w:bidi="ar-SA"/>
        </w:rPr>
        <w:t>五、</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六、近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20553"/>
      <w:bookmarkStart w:id="182" w:name="_Toc9747"/>
      <w:bookmarkStart w:id="183" w:name="_Toc2580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rPr>
          <w:rFonts w:hint="eastAsia" w:ascii="宋体" w:hAnsi="宋体" w:cs="宋体"/>
          <w:sz w:val="32"/>
          <w:szCs w:val="32"/>
        </w:rPr>
      </w:pPr>
    </w:p>
    <w:p>
      <w:pPr>
        <w:pStyle w:val="28"/>
        <w:rPr>
          <w:rFonts w:hint="eastAsia"/>
        </w:rPr>
      </w:pPr>
    </w:p>
    <w:p>
      <w:pPr>
        <w:rPr>
          <w:rFonts w:hint="eastAsia"/>
        </w:rPr>
      </w:pPr>
    </w:p>
    <w:p>
      <w:pPr>
        <w:pStyle w:val="2"/>
        <w:rPr>
          <w:rFonts w:hint="eastAsia"/>
        </w:rPr>
      </w:pPr>
    </w:p>
    <w:p>
      <w:pPr>
        <w:pStyle w:val="2"/>
        <w:rPr>
          <w:rFonts w:hint="eastAsia"/>
        </w:rPr>
      </w:pPr>
      <w:bookmarkStart w:id="278" w:name="_GoBack"/>
      <w:bookmarkEnd w:id="278"/>
    </w:p>
    <w:p>
      <w:pPr>
        <w:pStyle w:val="2"/>
        <w:rPr>
          <w:rFonts w:hint="eastAsia"/>
        </w:rPr>
      </w:pPr>
    </w:p>
    <w:p>
      <w:pPr>
        <w:pStyle w:val="2"/>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217446098"/>
      <w:bookmarkStart w:id="188" w:name="_Toc11058"/>
      <w:bookmarkStart w:id="189" w:name="_Toc31035"/>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1"/>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1"/>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1"/>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1"/>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1"/>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1"/>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1"/>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1"/>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1"/>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1"/>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1"/>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1"/>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1"/>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1"/>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lang w:val="en-US" w:eastAsia="zh-CN"/>
        </w:rPr>
      </w:pPr>
      <w:r>
        <w:rPr>
          <w:rFonts w:hint="eastAsia" w:ascii="宋体" w:hAnsi="宋体" w:cs="宋体"/>
          <w:sz w:val="24"/>
        </w:rPr>
        <w:t>（4）综合评分明细表：以科学合理、降低评标委员会自由裁量权为原则</w:t>
      </w:r>
    </w:p>
    <w:tbl>
      <w:tblPr>
        <w:tblStyle w:val="35"/>
        <w:tblW w:w="9636" w:type="dxa"/>
        <w:tblInd w:w="0" w:type="dxa"/>
        <w:shd w:val="clear" w:color="auto" w:fill="auto"/>
        <w:tblLayout w:type="autofit"/>
        <w:tblCellMar>
          <w:top w:w="0" w:type="dxa"/>
          <w:left w:w="0" w:type="dxa"/>
          <w:bottom w:w="0" w:type="dxa"/>
          <w:right w:w="0" w:type="dxa"/>
        </w:tblCellMar>
      </w:tblPr>
      <w:tblGrid>
        <w:gridCol w:w="677"/>
        <w:gridCol w:w="804"/>
        <w:gridCol w:w="1284"/>
        <w:gridCol w:w="6871"/>
      </w:tblGrid>
      <w:tr>
        <w:tblPrEx>
          <w:shd w:val="clear" w:color="auto" w:fill="auto"/>
          <w:tblCellMar>
            <w:top w:w="0" w:type="dxa"/>
            <w:left w:w="0" w:type="dxa"/>
            <w:bottom w:w="0" w:type="dxa"/>
            <w:right w:w="0" w:type="dxa"/>
          </w:tblCellMar>
        </w:tblPrEx>
        <w:trPr>
          <w:trHeight w:val="112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序号</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评审因素</w:t>
            </w: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评标原则与标准</w:t>
            </w:r>
          </w:p>
        </w:tc>
      </w:tr>
      <w:tr>
        <w:tblPrEx>
          <w:tblCellMar>
            <w:top w:w="0" w:type="dxa"/>
            <w:left w:w="0" w:type="dxa"/>
            <w:bottom w:w="0" w:type="dxa"/>
            <w:right w:w="0" w:type="dxa"/>
          </w:tblCellMar>
        </w:tblPrEx>
        <w:trPr>
          <w:trHeight w:val="11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价格部分(15分)</w:t>
            </w: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采用低价优先法计算，即满足招标文件要求且投标价格最低的投标报价为评标基准价，其价格分为满分。投标报价得分＝（评标基准价/投标报价）×15</w:t>
            </w:r>
          </w:p>
        </w:tc>
      </w:tr>
      <w:tr>
        <w:tblPrEx>
          <w:tblCellMar>
            <w:top w:w="0" w:type="dxa"/>
            <w:left w:w="0" w:type="dxa"/>
            <w:bottom w:w="0" w:type="dxa"/>
            <w:right w:w="0" w:type="dxa"/>
          </w:tblCellMar>
        </w:tblPrEx>
        <w:trPr>
          <w:trHeight w:val="112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w:t>
            </w:r>
          </w:p>
        </w:tc>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商务评议(35分)</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服务案例（5分）</w:t>
            </w: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近5年内，参与兰州地区三甲医院互联网专线项目，提供与行业单位签订的业务合同，每个案例得1分，最多不超过5分（需提供合同复印件并加盖公章）；</w:t>
            </w:r>
          </w:p>
        </w:tc>
      </w:tr>
      <w:tr>
        <w:tblPrEx>
          <w:tblCellMar>
            <w:top w:w="0" w:type="dxa"/>
            <w:left w:w="0" w:type="dxa"/>
            <w:bottom w:w="0" w:type="dxa"/>
            <w:right w:w="0"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供应商能力（30分）</w:t>
            </w: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1、投标人具有中华人民共和国基础电信业务经营许可证，具有得5分，没有不得分。</w:t>
            </w:r>
          </w:p>
        </w:tc>
      </w:tr>
      <w:tr>
        <w:tblPrEx>
          <w:tblCellMar>
            <w:top w:w="0" w:type="dxa"/>
            <w:left w:w="0" w:type="dxa"/>
            <w:bottom w:w="0" w:type="dxa"/>
            <w:right w:w="0"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2、投标人具有中华人民共和国增值电信业务经营许可证,具有得5分，没有不得分。</w:t>
            </w:r>
          </w:p>
        </w:tc>
      </w:tr>
      <w:tr>
        <w:tblPrEx>
          <w:tblCellMar>
            <w:top w:w="0" w:type="dxa"/>
            <w:left w:w="0" w:type="dxa"/>
            <w:bottom w:w="0" w:type="dxa"/>
            <w:right w:w="0"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3、投标人具有信息技术服务管理体系认证证书ISO20000,具有得5分，没有不得分。</w:t>
            </w:r>
          </w:p>
        </w:tc>
      </w:tr>
      <w:tr>
        <w:tblPrEx>
          <w:tblCellMar>
            <w:top w:w="0" w:type="dxa"/>
            <w:left w:w="0" w:type="dxa"/>
            <w:bottom w:w="0" w:type="dxa"/>
            <w:right w:w="0"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4、投标人具有职业健康安全管理体系认证证书ISO45001,具有得5分，没有不得分。</w:t>
            </w:r>
          </w:p>
        </w:tc>
      </w:tr>
      <w:tr>
        <w:tblPrEx>
          <w:tblCellMar>
            <w:top w:w="0" w:type="dxa"/>
            <w:left w:w="0" w:type="dxa"/>
            <w:bottom w:w="0" w:type="dxa"/>
            <w:right w:w="0"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5、投标人具有质量管理体系认证证书ISO9001,具有得5分，没有不得分。</w:t>
            </w:r>
          </w:p>
        </w:tc>
      </w:tr>
      <w:tr>
        <w:tblPrEx>
          <w:tblCellMar>
            <w:top w:w="0" w:type="dxa"/>
            <w:left w:w="0" w:type="dxa"/>
            <w:bottom w:w="0" w:type="dxa"/>
            <w:right w:w="0"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6874" w:type="dxa"/>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6、投标人具有信息安全应急处理服务资质认证（三级）,具有得5分，没有不得分。</w:t>
            </w:r>
          </w:p>
        </w:tc>
      </w:tr>
      <w:tr>
        <w:tblPrEx>
          <w:tblCellMar>
            <w:top w:w="0" w:type="dxa"/>
            <w:left w:w="0" w:type="dxa"/>
            <w:bottom w:w="0" w:type="dxa"/>
            <w:right w:w="0" w:type="dxa"/>
          </w:tblCellMar>
        </w:tblPrEx>
        <w:trPr>
          <w:trHeight w:val="132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3</w:t>
            </w:r>
          </w:p>
        </w:tc>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技术方案(50分)</w:t>
            </w: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对项目建设目标了解程度（10分）</w:t>
            </w: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对项目的需求、目标和现状调研充分，了解全面。按前期业务合作情况评分，如属对原有业务扩容，得：6-10分，如新建线路按方案准备情况，得1-5分。</w:t>
            </w:r>
          </w:p>
        </w:tc>
      </w:tr>
      <w:tr>
        <w:tblPrEx>
          <w:tblCellMar>
            <w:top w:w="0" w:type="dxa"/>
            <w:left w:w="0" w:type="dxa"/>
            <w:bottom w:w="0" w:type="dxa"/>
            <w:right w:w="0" w:type="dxa"/>
          </w:tblCellMar>
        </w:tblPrEx>
        <w:trPr>
          <w:trHeight w:val="12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针对本项目全面、整体的技术方案（10分）</w:t>
            </w: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1、技术方案：针对本项目，投标人提出的方案结合实际，对现网结构影响最小，具有全面性、可行性、合理性的，满足招标文件技术要求的，根据响应情况得1-5分。</w:t>
            </w:r>
          </w:p>
        </w:tc>
      </w:tr>
      <w:tr>
        <w:tblPrEx>
          <w:tblCellMar>
            <w:top w:w="0" w:type="dxa"/>
            <w:left w:w="0" w:type="dxa"/>
            <w:bottom w:w="0" w:type="dxa"/>
            <w:right w:w="0" w:type="dxa"/>
          </w:tblCellMar>
        </w:tblPrEx>
        <w:trPr>
          <w:trHeight w:val="1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2、合理化建议：针对本项目，投标人提出切实可行的合理化建议和优化措施的，根据响应情况得1-5分。</w:t>
            </w:r>
          </w:p>
        </w:tc>
      </w:tr>
      <w:tr>
        <w:tblPrEx>
          <w:tblCellMar>
            <w:top w:w="0" w:type="dxa"/>
            <w:left w:w="0" w:type="dxa"/>
            <w:bottom w:w="0" w:type="dxa"/>
            <w:right w:w="0" w:type="dxa"/>
          </w:tblCellMar>
        </w:tblPrEx>
        <w:trPr>
          <w:trHeight w:val="12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项目实施能力能力（10分）</w:t>
            </w: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1、项目实施方案：投标人有详细的项目组织方案与实施组织架构，能够明确各职责方职责及配套设施的，按方案详细程度得1-5分。</w:t>
            </w:r>
          </w:p>
        </w:tc>
      </w:tr>
      <w:tr>
        <w:tblPrEx>
          <w:tblCellMar>
            <w:top w:w="0" w:type="dxa"/>
            <w:left w:w="0" w:type="dxa"/>
            <w:bottom w:w="0" w:type="dxa"/>
            <w:right w:w="0"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2、项目验收：有详细的项目验收方案，验收方案及验收标准客观明确。按方案详细程度得1-5分。</w:t>
            </w:r>
          </w:p>
        </w:tc>
      </w:tr>
      <w:tr>
        <w:tblPrEx>
          <w:tblCellMar>
            <w:top w:w="0" w:type="dxa"/>
            <w:left w:w="0" w:type="dxa"/>
            <w:bottom w:w="0" w:type="dxa"/>
            <w:right w:w="0"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运维服务（10分）</w:t>
            </w: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1、故障处理及售后保障：售后方案具体详细，全面响应招标要求，运维方案可操作性强，有详细的故障申告流程及故障响应策略。按照方案详细程度得1-5分。</w:t>
            </w:r>
          </w:p>
        </w:tc>
      </w:tr>
      <w:tr>
        <w:tblPrEx>
          <w:tblCellMar>
            <w:top w:w="0" w:type="dxa"/>
            <w:left w:w="0" w:type="dxa"/>
            <w:bottom w:w="0" w:type="dxa"/>
            <w:right w:w="0" w:type="dxa"/>
          </w:tblCellMar>
        </w:tblPrEx>
        <w:trPr>
          <w:trHeight w:val="11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2、线路割接、调整。有详细的割接流程和网络调整流程的，得1-5分。</w:t>
            </w:r>
          </w:p>
        </w:tc>
      </w:tr>
      <w:tr>
        <w:tblPrEx>
          <w:tblCellMar>
            <w:top w:w="0" w:type="dxa"/>
            <w:left w:w="0" w:type="dxa"/>
            <w:bottom w:w="0" w:type="dxa"/>
            <w:right w:w="0" w:type="dxa"/>
          </w:tblCellMar>
        </w:tblPrEx>
        <w:trPr>
          <w:trHeight w:val="1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4"/>
                <w:szCs w:val="24"/>
                <w:u w:val="none"/>
              </w:rPr>
            </w:pPr>
          </w:p>
        </w:tc>
        <w:tc>
          <w:tcPr>
            <w:tcW w:w="12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应急保障（10）</w:t>
            </w:r>
          </w:p>
        </w:tc>
        <w:tc>
          <w:tcPr>
            <w:tcW w:w="687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运营商具有专业的光纤资源维护队伍，有专职的省、市干线光缆传输网应急保障、抢修机构和队伍并能提供相关证明材料，有省级的得1分，每增加1个市级应急保障机构的，得1分，最高10分</w:t>
            </w:r>
          </w:p>
        </w:tc>
      </w:tr>
    </w:tbl>
    <w:p>
      <w:pPr>
        <w:spacing w:line="360" w:lineRule="auto"/>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208849022"/>
      <w:bookmarkStart w:id="191" w:name="_Toc183682432"/>
      <w:bookmarkStart w:id="192" w:name="_Toc217446105"/>
      <w:bookmarkStart w:id="193" w:name="_Toc183582297"/>
      <w:bookmarkStart w:id="194" w:name="_Toc26707"/>
      <w:bookmarkStart w:id="195" w:name="_Toc30936"/>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25902"/>
      <w:bookmarkStart w:id="197"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1807"/>
      <w:bookmarkStart w:id="199" w:name="_Toc23996"/>
      <w:bookmarkStart w:id="200" w:name="_Toc12937"/>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2"/>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3429"/>
      <w:bookmarkStart w:id="204" w:name="_Toc13676"/>
      <w:bookmarkStart w:id="205" w:name="_Toc22178"/>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1"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numPr>
          <w:ilvl w:val="0"/>
          <w:numId w:val="0"/>
        </w:numPr>
        <w:spacing w:before="0" w:after="0"/>
        <w:ind w:firstLine="3092" w:firstLineChars="1100"/>
        <w:jc w:val="left"/>
        <w:rPr>
          <w:rFonts w:hint="eastAsia" w:ascii="宋体" w:hAnsi="宋体" w:cs="宋体"/>
          <w:sz w:val="28"/>
          <w:szCs w:val="28"/>
        </w:rPr>
      </w:pPr>
      <w:bookmarkStart w:id="208" w:name="_Toc10904"/>
      <w:bookmarkStart w:id="209" w:name="_Toc16816"/>
      <w:bookmarkStart w:id="210" w:name="_Toc3146"/>
      <w:bookmarkStart w:id="211" w:name="_Toc258923306"/>
      <w:r>
        <w:rPr>
          <w:rFonts w:hint="eastAsia" w:ascii="宋体" w:hAnsi="宋体" w:cs="宋体"/>
          <w:sz w:val="28"/>
          <w:szCs w:val="28"/>
          <w:lang w:val="en-US" w:eastAsia="zh-CN"/>
        </w:rPr>
        <w:t>2.</w:t>
      </w:r>
      <w:r>
        <w:rPr>
          <w:rFonts w:hint="eastAsia" w:ascii="宋体" w:hAnsi="宋体" w:cs="宋体"/>
          <w:sz w:val="28"/>
          <w:szCs w:val="28"/>
        </w:rPr>
        <w:t>法定代表人身份证明</w:t>
      </w:r>
    </w:p>
    <w:p>
      <w:pPr>
        <w:pStyle w:val="4"/>
        <w:numPr>
          <w:ilvl w:val="0"/>
          <w:numId w:val="0"/>
        </w:numPr>
        <w:spacing w:before="0" w:after="0"/>
        <w:ind w:firstLine="1124" w:firstLineChars="400"/>
        <w:jc w:val="left"/>
        <w:rPr>
          <w:rFonts w:ascii="宋体" w:hAnsi="宋体" w:cs="宋体"/>
          <w:b w:val="0"/>
          <w:sz w:val="24"/>
          <w:szCs w:val="24"/>
        </w:rPr>
      </w:pP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15783"/>
      <w:bookmarkStart w:id="213" w:name="_Toc3177"/>
      <w:bookmarkStart w:id="214" w:name="_Toc10366"/>
      <w:bookmarkStart w:id="215" w:name="_Toc19360"/>
      <w:bookmarkStart w:id="216" w:name="_Toc19965"/>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6475"/>
      <w:bookmarkStart w:id="218" w:name="_Toc22060"/>
      <w:bookmarkStart w:id="219" w:name="_Toc19163"/>
      <w:bookmarkStart w:id="220" w:name="_Toc12383"/>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firstLine="3654" w:firstLineChars="1300"/>
        <w:jc w:val="left"/>
        <w:rPr>
          <w:rFonts w:hint="eastAsia" w:ascii="宋体" w:hAnsi="宋体" w:cs="宋体"/>
          <w:sz w:val="28"/>
          <w:szCs w:val="28"/>
        </w:rPr>
      </w:pPr>
      <w:bookmarkStart w:id="222" w:name="_Toc16103"/>
      <w:bookmarkStart w:id="223" w:name="_Toc20910"/>
      <w:r>
        <w:rPr>
          <w:rFonts w:hint="eastAsia" w:ascii="宋体" w:hAnsi="宋体" w:cs="宋体"/>
          <w:sz w:val="28"/>
          <w:szCs w:val="28"/>
          <w:lang w:val="en-US" w:eastAsia="zh-CN"/>
        </w:rPr>
        <w:t>3.</w:t>
      </w:r>
      <w:r>
        <w:rPr>
          <w:rFonts w:hint="eastAsia" w:ascii="宋体" w:hAnsi="宋体" w:cs="宋体"/>
          <w:sz w:val="28"/>
          <w:szCs w:val="28"/>
        </w:rPr>
        <w:t>法人授权函</w:t>
      </w:r>
    </w:p>
    <w:p>
      <w:pPr>
        <w:pStyle w:val="4"/>
        <w:numPr>
          <w:ilvl w:val="0"/>
          <w:numId w:val="0"/>
        </w:numPr>
        <w:spacing w:before="0" w:after="0"/>
        <w:ind w:leftChars="600"/>
        <w:jc w:val="both"/>
        <w:rPr>
          <w:rFonts w:ascii="宋体" w:hAnsi="宋体" w:cs="宋体"/>
          <w:sz w:val="24"/>
          <w:szCs w:val="24"/>
          <w:u w:val="single"/>
        </w:rPr>
      </w:pP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bookmarkEnd w:id="221"/>
      <w:bookmarkEnd w:id="222"/>
      <w:bookmarkEnd w:id="223"/>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8565"/>
      <w:bookmarkStart w:id="225" w:name="_Toc20796"/>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1"/>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1"/>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1"/>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8"/>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0679"/>
      <w:bookmarkStart w:id="229" w:name="_Toc21291"/>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10"/>
        <w:spacing w:line="360" w:lineRule="auto"/>
        <w:rPr>
          <w:rFonts w:ascii="宋体" w:hAnsi="宋体" w:cs="宋体"/>
          <w:b/>
          <w:sz w:val="22"/>
          <w:szCs w:val="22"/>
        </w:rPr>
      </w:pPr>
    </w:p>
    <w:p>
      <w:pPr>
        <w:pStyle w:val="210"/>
        <w:spacing w:line="360" w:lineRule="auto"/>
        <w:rPr>
          <w:rFonts w:ascii="宋体" w:hAnsi="宋体" w:cs="宋体"/>
          <w:b/>
          <w:sz w:val="22"/>
          <w:szCs w:val="22"/>
        </w:rPr>
      </w:pPr>
    </w:p>
    <w:p>
      <w:pPr>
        <w:pStyle w:val="210"/>
        <w:spacing w:line="360" w:lineRule="auto"/>
        <w:jc w:val="center"/>
        <w:rPr>
          <w:rFonts w:ascii="宋体" w:hAnsi="宋体" w:cs="宋体"/>
          <w:b/>
          <w:szCs w:val="28"/>
        </w:rPr>
      </w:pPr>
      <w:bookmarkStart w:id="230" w:name="_Toc12836"/>
      <w:bookmarkStart w:id="231" w:name="_Toc26303"/>
      <w:bookmarkStart w:id="232" w:name="_Toc16887"/>
      <w:bookmarkStart w:id="233" w:name="_Toc3392"/>
      <w:bookmarkStart w:id="234" w:name="_Toc10205"/>
      <w:bookmarkStart w:id="235" w:name="_Toc26432"/>
      <w:bookmarkStart w:id="236" w:name="_Toc4270"/>
      <w:bookmarkStart w:id="237" w:name="_Toc8733"/>
      <w:bookmarkStart w:id="238" w:name="_Toc27827"/>
      <w:bookmarkStart w:id="239" w:name="_Toc6233"/>
      <w:bookmarkStart w:id="240" w:name="_Toc7146"/>
      <w:bookmarkStart w:id="241" w:name="_Toc27676"/>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3" w:type="first"/>
          <w:headerReference r:id="rId12"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13401"/>
      <w:bookmarkStart w:id="243" w:name="_Toc258923307"/>
      <w:bookmarkStart w:id="244" w:name="_Toc24708"/>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11092"/>
      <w:bookmarkStart w:id="246" w:name="_Toc9716"/>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5" w:type="first"/>
          <w:headerReference r:id="rId14"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1"/>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5303"/>
      <w:bookmarkStart w:id="253" w:name="_Toc25387"/>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56166280"/>
      <w:bookmarkStart w:id="259" w:name="_Toc433806381"/>
      <w:bookmarkStart w:id="260" w:name="_Toc32144"/>
      <w:bookmarkStart w:id="261" w:name="_Toc11978"/>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16308"/>
      <w:bookmarkStart w:id="263" w:name="_Toc20408"/>
      <w:bookmarkStart w:id="264" w:name="_Toc15673"/>
      <w:bookmarkStart w:id="265" w:name="_Toc15095"/>
      <w:bookmarkStart w:id="266" w:name="_Toc9735"/>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19846"/>
      <w:bookmarkStart w:id="268" w:name="_Toc9385"/>
      <w:bookmarkStart w:id="269" w:name="_Toc408"/>
      <w:bookmarkStart w:id="270" w:name="_Toc7530"/>
      <w:bookmarkStart w:id="271" w:name="_Toc1997"/>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5"/>
          <w:rFonts w:hint="eastAsia" w:ascii="宋体" w:hAnsi="宋体" w:eastAsia="宋体" w:cs="宋体"/>
          <w:color w:val="auto"/>
          <w:sz w:val="24"/>
          <w:szCs w:val="24"/>
        </w:rPr>
        <w:br w:type="textWrapping"/>
      </w:r>
      <w:r>
        <w:rPr>
          <w:rStyle w:val="215"/>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30081"/>
      <w:bookmarkStart w:id="276" w:name="_Toc13452"/>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w:t>
      </w:r>
      <w:r>
        <w:rPr>
          <w:rFonts w:hint="eastAsia" w:ascii="宋体" w:hAnsi="宋体" w:cs="宋体"/>
          <w:sz w:val="32"/>
          <w:szCs w:val="32"/>
          <w:lang w:val="en-US" w:eastAsia="zh-CN"/>
        </w:rPr>
        <w:t>服务方案及</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hint="eastAsia" w:ascii="宋体" w:hAnsi="宋体" w:eastAsia="宋体" w:cs="宋体"/>
          <w:b/>
          <w:bCs/>
          <w:sz w:val="48"/>
          <w:szCs w:val="48"/>
          <w:lang w:val="en-US" w:eastAsia="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r>
        <w:rPr>
          <w:rFonts w:hint="eastAsia" w:ascii="宋体" w:hAnsi="宋体" w:cs="宋体"/>
          <w:color w:val="FF0000"/>
          <w:sz w:val="32"/>
          <w:szCs w:val="32"/>
          <w:lang w:val="en-US" w:eastAsia="zh-CN"/>
        </w:rPr>
        <w:t>(供参考）</w:t>
      </w:r>
    </w:p>
    <w:p>
      <w:pPr>
        <w:pStyle w:val="2"/>
        <w:rPr>
          <w:rFonts w:hint="eastAsia" w:ascii="宋体" w:hAnsi="宋体" w:cs="宋体"/>
          <w:b/>
          <w:bCs/>
          <w:sz w:val="48"/>
          <w:szCs w:val="48"/>
        </w:rPr>
      </w:pPr>
    </w:p>
    <w:p>
      <w:pPr>
        <w:jc w:val="center"/>
        <w:rPr>
          <w:rFonts w:ascii="宋体" w:hAnsi="宋体" w:cs="宋体"/>
          <w:b/>
          <w:bCs/>
          <w:sz w:val="48"/>
          <w:szCs w:val="48"/>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项目名称：甘肃省第二人民医院</w:t>
      </w:r>
      <w:r>
        <w:rPr>
          <w:rFonts w:hint="eastAsia" w:ascii="宋体" w:hAnsi="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cs="宋体"/>
          <w:b/>
          <w:sz w:val="32"/>
          <w:szCs w:val="32"/>
          <w:u w:val="single"/>
        </w:rPr>
        <w:t xml:space="preserve"> </w:t>
      </w:r>
      <w:r>
        <w:rPr>
          <w:rFonts w:hint="eastAsia" w:ascii="宋体" w:hAnsi="宋体" w:cs="宋体"/>
          <w:b/>
          <w:sz w:val="32"/>
          <w:szCs w:val="32"/>
        </w:rPr>
        <w:t>采购项目</w:t>
      </w:r>
    </w:p>
    <w:p>
      <w:pPr>
        <w:spacing w:line="360" w:lineRule="auto"/>
        <w:ind w:firstLine="643" w:firstLineChars="200"/>
        <w:jc w:val="left"/>
        <w:rPr>
          <w:rFonts w:ascii="宋体" w:hAnsi="宋体" w:cs="宋体"/>
          <w:b/>
          <w:bCs/>
          <w:sz w:val="32"/>
          <w:szCs w:val="32"/>
          <w:u w:val="single"/>
        </w:rPr>
      </w:pPr>
      <w:r>
        <w:rPr>
          <w:rFonts w:hint="eastAsia" w:ascii="宋体" w:hAnsi="宋体" w:cs="宋体"/>
          <w:b/>
          <w:sz w:val="32"/>
          <w:szCs w:val="32"/>
        </w:rPr>
        <w:t>招标编号</w:t>
      </w:r>
      <w:r>
        <w:rPr>
          <w:rFonts w:hint="eastAsia" w:ascii="宋体" w:hAnsi="宋体" w:cs="宋体"/>
          <w:sz w:val="32"/>
          <w:szCs w:val="32"/>
        </w:rPr>
        <w:t>：</w:t>
      </w: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p>
    <w:p>
      <w:pPr>
        <w:pStyle w:val="2"/>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甲方：甘肃省第二人民医院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4"/>
        <w:rPr>
          <w:rFonts w:ascii="宋体" w:hAnsi="宋体" w:cs="宋体"/>
          <w:sz w:val="24"/>
          <w:szCs w:val="24"/>
        </w:rPr>
      </w:pPr>
      <w:r>
        <w:rPr>
          <w:rFonts w:hint="eastAsia" w:ascii="宋体" w:hAnsi="宋体" w:cs="宋体"/>
          <w:sz w:val="24"/>
          <w:szCs w:val="24"/>
        </w:rPr>
        <w:br w:type="page"/>
      </w:r>
    </w:p>
    <w:p>
      <w:pPr>
        <w:spacing w:line="360" w:lineRule="auto"/>
        <w:ind w:firstLine="482" w:firstLineChars="200"/>
        <w:jc w:val="left"/>
        <w:rPr>
          <w:rFonts w:ascii="宋体" w:hAnsi="宋体" w:cs="宋体"/>
          <w:b/>
          <w:sz w:val="24"/>
          <w:u w:val="single"/>
        </w:rPr>
      </w:pPr>
      <w:r>
        <w:rPr>
          <w:rFonts w:hint="eastAsia" w:ascii="宋体" w:hAnsi="宋体" w:cs="宋体"/>
          <w:b/>
          <w:sz w:val="24"/>
        </w:rPr>
        <w:t>甲方：甘肃省第二人民医院</w:t>
      </w:r>
    </w:p>
    <w:p>
      <w:pPr>
        <w:spacing w:line="360" w:lineRule="auto"/>
        <w:ind w:firstLine="482" w:firstLineChars="200"/>
        <w:jc w:val="left"/>
        <w:rPr>
          <w:rFonts w:ascii="宋体" w:hAnsi="宋体" w:cs="宋体"/>
          <w:b/>
          <w:sz w:val="24"/>
          <w:u w:val="single"/>
        </w:rPr>
      </w:pPr>
      <w:r>
        <w:rPr>
          <w:rFonts w:hint="eastAsia" w:ascii="宋体" w:hAnsi="宋体" w:cs="宋体"/>
          <w:b/>
          <w:sz w:val="24"/>
        </w:rPr>
        <w:t>乙方：</w:t>
      </w:r>
    </w:p>
    <w:p>
      <w:pPr>
        <w:spacing w:line="360" w:lineRule="auto"/>
        <w:ind w:firstLine="480" w:firstLineChars="200"/>
        <w:jc w:val="left"/>
        <w:rPr>
          <w:rFonts w:ascii="宋体" w:hAnsi="宋体" w:cs="宋体"/>
          <w:sz w:val="24"/>
        </w:rPr>
      </w:pPr>
      <w:r>
        <w:rPr>
          <w:rFonts w:hint="eastAsia" w:ascii="宋体" w:hAnsi="宋体" w:cs="宋体"/>
          <w:sz w:val="24"/>
        </w:rPr>
        <w:t>（以下简称甲方和乙方）</w:t>
      </w:r>
    </w:p>
    <w:p>
      <w:pPr>
        <w:spacing w:line="360" w:lineRule="auto"/>
        <w:ind w:firstLine="480" w:firstLineChars="200"/>
        <w:jc w:val="left"/>
        <w:rPr>
          <w:rFonts w:ascii="宋体" w:hAnsi="宋体" w:cs="宋体"/>
          <w:sz w:val="24"/>
        </w:rPr>
      </w:pPr>
      <w:r>
        <w:rPr>
          <w:rFonts w:hint="eastAsia" w:ascii="宋体" w:hAnsi="宋体" w:cs="宋体"/>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sz w:val="24"/>
        </w:rPr>
      </w:pPr>
      <w:r>
        <w:rPr>
          <w:rFonts w:hint="eastAsia" w:ascii="宋体" w:hAnsi="宋体" w:cs="宋体"/>
          <w:sz w:val="24"/>
        </w:rPr>
        <w:t>一、项目名称</w:t>
      </w:r>
    </w:p>
    <w:p>
      <w:pPr>
        <w:spacing w:line="360" w:lineRule="auto"/>
        <w:ind w:firstLine="480" w:firstLineChars="200"/>
        <w:jc w:val="left"/>
        <w:rPr>
          <w:rFonts w:ascii="宋体" w:hAnsi="宋体" w:cs="宋体"/>
          <w:sz w:val="24"/>
          <w:u w:val="single"/>
        </w:rPr>
      </w:pPr>
      <w:r>
        <w:rPr>
          <w:rFonts w:hint="eastAsia" w:ascii="宋体" w:hAnsi="宋体" w:cs="宋体"/>
          <w:sz w:val="24"/>
        </w:rPr>
        <w:t>项目名称：甘肃省第二人民医院</w:t>
      </w:r>
      <w:r>
        <w:rPr>
          <w:rFonts w:hint="eastAsia" w:ascii="宋体" w:hAnsi="宋体" w:cs="宋体"/>
          <w:sz w:val="24"/>
          <w:u w:val="single"/>
        </w:rPr>
        <w:t xml:space="preserve">     </w:t>
      </w:r>
      <w:r>
        <w:rPr>
          <w:rFonts w:hint="eastAsia" w:ascii="宋体" w:hAnsi="宋体" w:cs="宋体"/>
          <w:sz w:val="24"/>
        </w:rPr>
        <w:t>采购项目</w:t>
      </w:r>
    </w:p>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合计含税价(元)</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r>
        <w:tblPrEx>
          <w:tblCellMar>
            <w:top w:w="0" w:type="dxa"/>
            <w:left w:w="30" w:type="dxa"/>
            <w:bottom w:w="0" w:type="dxa"/>
            <w:right w:w="30" w:type="dxa"/>
          </w:tblCellMar>
        </w:tblPrEx>
        <w:trPr>
          <w:trHeight w:val="292" w:hRule="atLeast"/>
          <w:jc w:val="center"/>
        </w:trPr>
        <w:tc>
          <w:tcPr>
            <w:tcW w:w="1892" w:type="dxa"/>
            <w:gridSpan w:val="2"/>
            <w:tcBorders>
              <w:top w:val="single" w:color="auto" w:sz="6" w:space="0"/>
              <w:left w:val="single" w:color="auto" w:sz="6" w:space="0"/>
              <w:bottom w:val="single" w:color="auto" w:sz="6" w:space="0"/>
              <w:right w:val="single" w:color="auto" w:sz="6" w:space="0"/>
            </w:tcBorders>
            <w:vAlign w:val="center"/>
          </w:tcPr>
          <w:p>
            <w:pPr>
              <w:spacing w:line="360" w:lineRule="auto"/>
              <w:rPr>
                <w:rFonts w:ascii="宋体" w:hAnsi="宋体" w:cs="宋体"/>
                <w:sz w:val="24"/>
              </w:rPr>
            </w:pPr>
            <w:r>
              <w:rPr>
                <w:rFonts w:hint="eastAsia" w:ascii="宋体" w:hAnsi="宋体" w:cs="宋体"/>
                <w:sz w:val="24"/>
              </w:rPr>
              <w:t>合计（含税价）</w:t>
            </w:r>
          </w:p>
        </w:tc>
        <w:tc>
          <w:tcPr>
            <w:tcW w:w="7523" w:type="dxa"/>
            <w:gridSpan w:val="7"/>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bl>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合同金额</w:t>
      </w:r>
    </w:p>
    <w:p>
      <w:pPr>
        <w:pStyle w:val="28"/>
        <w:spacing w:line="360" w:lineRule="auto"/>
        <w:ind w:left="0" w:leftChars="0" w:firstLine="480" w:firstLineChars="200"/>
        <w:rPr>
          <w:rFonts w:ascii="宋体" w:hAnsi="宋体" w:cs="宋体"/>
          <w:sz w:val="24"/>
          <w:u w:val="single"/>
        </w:rPr>
      </w:pPr>
      <w:r>
        <w:rPr>
          <w:rFonts w:hint="eastAsia" w:ascii="宋体" w:hAnsi="宋体" w:cs="宋体"/>
          <w:sz w:val="24"/>
        </w:rPr>
        <w:t>1.合同金额：大写：</w:t>
      </w:r>
      <w:r>
        <w:rPr>
          <w:rFonts w:hint="eastAsia" w:ascii="宋体" w:hAnsi="宋体" w:cs="宋体"/>
          <w:sz w:val="24"/>
          <w:u w:val="single"/>
        </w:rPr>
        <w:t xml:space="preserve">     </w:t>
      </w:r>
      <w:r>
        <w:rPr>
          <w:rFonts w:hint="eastAsia" w:ascii="宋体" w:hAnsi="宋体" w:cs="宋体"/>
          <w:sz w:val="24"/>
        </w:rPr>
        <w:t>小写：</w:t>
      </w:r>
      <w:r>
        <w:rPr>
          <w:rFonts w:hint="eastAsia" w:ascii="宋体" w:hAnsi="宋体" w:cs="宋体"/>
          <w:sz w:val="24"/>
          <w:u w:val="single"/>
        </w:rPr>
        <w:t xml:space="preserve">     </w:t>
      </w:r>
    </w:p>
    <w:p>
      <w:pPr>
        <w:spacing w:line="360" w:lineRule="auto"/>
        <w:ind w:firstLine="465"/>
        <w:jc w:val="left"/>
        <w:rPr>
          <w:rFonts w:ascii="宋体" w:hAnsi="宋体" w:cs="宋体"/>
          <w:color w:val="FF0000"/>
          <w:sz w:val="24"/>
        </w:rPr>
      </w:pPr>
      <w:r>
        <w:rPr>
          <w:rFonts w:hint="eastAsia" w:ascii="宋体" w:hAnsi="宋体" w:cs="宋体"/>
          <w:sz w:val="24"/>
        </w:rPr>
        <w:t>2.</w:t>
      </w:r>
      <w:r>
        <w:rPr>
          <w:rFonts w:hint="eastAsia" w:ascii="宋体" w:hAnsi="宋体" w:cs="宋体"/>
          <w:color w:val="auto"/>
          <w:sz w:val="24"/>
        </w:rPr>
        <w:t>合同有效期为签订合同之日起一年内。</w:t>
      </w:r>
    </w:p>
    <w:p>
      <w:pPr>
        <w:spacing w:line="360" w:lineRule="auto"/>
        <w:ind w:firstLine="465"/>
        <w:jc w:val="left"/>
        <w:rPr>
          <w:rFonts w:ascii="宋体" w:hAnsi="宋体" w:cs="宋体"/>
          <w:sz w:val="24"/>
        </w:rPr>
      </w:pPr>
      <w:r>
        <w:rPr>
          <w:rFonts w:hint="eastAsia" w:ascii="宋体" w:hAnsi="宋体" w:cs="宋体"/>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sz w:val="24"/>
        </w:rPr>
      </w:pPr>
      <w:r>
        <w:rPr>
          <w:rFonts w:hint="eastAsia" w:ascii="宋体" w:hAnsi="宋体" w:cs="宋体"/>
          <w:sz w:val="24"/>
        </w:rPr>
        <w:t>4.合同签订的货物单价为固定不变价，天数为日历日。</w:t>
      </w:r>
    </w:p>
    <w:p>
      <w:pPr>
        <w:spacing w:line="360" w:lineRule="auto"/>
        <w:ind w:firstLine="480" w:firstLineChars="200"/>
        <w:jc w:val="left"/>
        <w:rPr>
          <w:rFonts w:ascii="宋体" w:hAnsi="宋体" w:cs="宋体"/>
          <w:bCs/>
          <w:sz w:val="24"/>
        </w:rPr>
      </w:pPr>
      <w:r>
        <w:rPr>
          <w:rFonts w:hint="eastAsia" w:ascii="宋体" w:hAnsi="宋体" w:cs="宋体"/>
          <w:bCs/>
          <w:sz w:val="24"/>
        </w:rPr>
        <w:t>四、货物产地及验收标准</w:t>
      </w:r>
    </w:p>
    <w:p>
      <w:pPr>
        <w:spacing w:line="360" w:lineRule="auto"/>
        <w:ind w:firstLine="480" w:firstLineChars="200"/>
        <w:jc w:val="left"/>
        <w:rPr>
          <w:rFonts w:ascii="宋体" w:hAnsi="宋体" w:cs="宋体"/>
          <w:sz w:val="24"/>
        </w:rPr>
      </w:pPr>
      <w:r>
        <w:rPr>
          <w:rFonts w:hint="eastAsia" w:ascii="宋体" w:hAnsi="宋体" w:cs="宋体"/>
          <w:sz w:val="24"/>
        </w:rPr>
        <w:t>1.乙方按照合同规定将货物送达甲方指定地点后，由供需双方现场核查。</w:t>
      </w:r>
    </w:p>
    <w:p>
      <w:pPr>
        <w:spacing w:line="360" w:lineRule="auto"/>
        <w:ind w:firstLine="480" w:firstLineChars="200"/>
        <w:jc w:val="left"/>
        <w:rPr>
          <w:rFonts w:ascii="宋体" w:hAnsi="宋体" w:cs="宋体"/>
          <w:sz w:val="24"/>
        </w:rPr>
      </w:pPr>
      <w:r>
        <w:rPr>
          <w:rFonts w:hint="eastAsia" w:ascii="宋体" w:hAnsi="宋体" w:cs="宋体"/>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sz w:val="24"/>
        </w:rPr>
      </w:pPr>
      <w:r>
        <w:rPr>
          <w:rFonts w:hint="eastAsia" w:ascii="宋体" w:hAnsi="宋体" w:cs="宋体"/>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sz w:val="24"/>
        </w:rPr>
      </w:pPr>
      <w:r>
        <w:rPr>
          <w:rFonts w:hint="eastAsia" w:ascii="宋体" w:hAnsi="宋体" w:cs="宋体"/>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sz w:val="24"/>
        </w:rPr>
      </w:pPr>
      <w:r>
        <w:rPr>
          <w:rFonts w:hint="eastAsia" w:ascii="宋体" w:hAnsi="宋体" w:cs="宋体"/>
          <w:sz w:val="24"/>
        </w:rPr>
        <w:t>5.国内制造的产品必须具备出厂合格证。</w:t>
      </w:r>
    </w:p>
    <w:p>
      <w:pPr>
        <w:spacing w:line="360" w:lineRule="auto"/>
        <w:ind w:firstLine="480" w:firstLineChars="200"/>
        <w:jc w:val="left"/>
        <w:rPr>
          <w:rFonts w:ascii="宋体" w:hAnsi="宋体" w:cs="宋体"/>
          <w:sz w:val="24"/>
        </w:rPr>
      </w:pPr>
      <w:r>
        <w:rPr>
          <w:rFonts w:hint="eastAsia" w:ascii="宋体" w:hAnsi="宋体" w:cs="宋体"/>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sz w:val="24"/>
        </w:rPr>
      </w:pPr>
      <w:r>
        <w:rPr>
          <w:rFonts w:hint="eastAsia" w:ascii="宋体" w:hAnsi="宋体" w:cs="宋体"/>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pPr>
      <w:r>
        <w:rPr>
          <w:rFonts w:hint="eastAsia" w:ascii="宋体" w:hAnsi="宋体" w:cs="宋体"/>
          <w:color w:val="000000"/>
          <w:sz w:val="24"/>
        </w:rPr>
        <w:t>8.完成交货及验收后，乙方须全权处理包装垃圾。</w:t>
      </w:r>
    </w:p>
    <w:p>
      <w:pPr>
        <w:spacing w:line="360" w:lineRule="auto"/>
        <w:ind w:firstLine="480" w:firstLineChars="200"/>
        <w:rPr>
          <w:rFonts w:ascii="宋体" w:hAnsi="宋体" w:cs="宋体"/>
          <w:sz w:val="24"/>
        </w:rPr>
      </w:pPr>
      <w:r>
        <w:rPr>
          <w:rFonts w:hint="eastAsia" w:ascii="宋体" w:hAnsi="宋体" w:cs="宋体"/>
          <w:sz w:val="24"/>
        </w:rPr>
        <w:t>五、付款方式：</w:t>
      </w:r>
    </w:p>
    <w:p>
      <w:pPr>
        <w:spacing w:line="360" w:lineRule="auto"/>
        <w:ind w:firstLine="480" w:firstLineChars="200"/>
        <w:rPr>
          <w:rFonts w:ascii="宋体" w:hAnsi="宋体" w:cs="宋体"/>
          <w:sz w:val="24"/>
        </w:rPr>
      </w:pPr>
      <w:r>
        <w:rPr>
          <w:rFonts w:hint="eastAsia" w:ascii="宋体" w:hAnsi="宋体" w:cs="宋体"/>
          <w:sz w:val="24"/>
        </w:rPr>
        <w:t>1）货物到达交货地点，卖方安装、调试、试运行、培训，经买方（使用单位）验收合格后，凭验收合</w:t>
      </w:r>
      <w:r>
        <w:rPr>
          <w:rFonts w:hint="eastAsia" w:ascii="宋体" w:hAnsi="宋体" w:cs="宋体"/>
          <w:color w:val="auto"/>
          <w:sz w:val="24"/>
        </w:rPr>
        <w:t>格证明及按合同总价开具的发票（完税价），由买方支付合同总价款的</w:t>
      </w:r>
      <w:r>
        <w:rPr>
          <w:rFonts w:hint="eastAsia" w:ascii="宋体" w:hAnsi="宋体" w:cs="宋体"/>
          <w:color w:val="auto"/>
          <w:sz w:val="24"/>
          <w:lang w:val="en-US" w:eastAsia="zh-CN"/>
        </w:rPr>
        <w:t>90</w:t>
      </w:r>
      <w:r>
        <w:rPr>
          <w:rFonts w:hint="eastAsia" w:ascii="宋体" w:hAnsi="宋体" w:cs="宋体"/>
          <w:color w:val="auto"/>
          <w:sz w:val="24"/>
        </w:rPr>
        <w:t>％，剩余的</w:t>
      </w:r>
      <w:r>
        <w:rPr>
          <w:rFonts w:hint="eastAsia" w:ascii="宋体" w:hAnsi="宋体" w:cs="宋体"/>
          <w:color w:val="auto"/>
          <w:sz w:val="24"/>
          <w:lang w:val="en-US" w:eastAsia="zh-CN"/>
        </w:rPr>
        <w:t>10</w:t>
      </w:r>
      <w:r>
        <w:rPr>
          <w:rFonts w:hint="eastAsia" w:ascii="宋体" w:hAnsi="宋体" w:cs="宋体"/>
          <w:color w:val="auto"/>
          <w:sz w:val="24"/>
        </w:rPr>
        <w:t>%作为质量保证金待设备正常运行</w:t>
      </w:r>
      <w:r>
        <w:rPr>
          <w:rFonts w:hint="eastAsia" w:ascii="宋体" w:hAnsi="宋体" w:cs="宋体"/>
          <w:color w:val="auto"/>
          <w:sz w:val="24"/>
          <w:lang w:eastAsia="zh-CN"/>
        </w:rPr>
        <w:t>一</w:t>
      </w:r>
      <w:r>
        <w:rPr>
          <w:rFonts w:hint="eastAsia" w:ascii="宋体" w:hAnsi="宋体" w:cs="宋体"/>
          <w:color w:val="auto"/>
          <w:sz w:val="24"/>
        </w:rPr>
        <w:t>年</w:t>
      </w:r>
      <w:r>
        <w:rPr>
          <w:rFonts w:hint="eastAsia" w:ascii="宋体" w:hAnsi="宋体" w:cs="宋体"/>
          <w:color w:val="auto"/>
          <w:sz w:val="24"/>
          <w:lang w:eastAsia="zh-CN"/>
        </w:rPr>
        <w:t>（</w:t>
      </w:r>
      <w:r>
        <w:rPr>
          <w:rFonts w:hint="eastAsia" w:ascii="宋体" w:hAnsi="宋体" w:cs="宋体"/>
          <w:color w:val="auto"/>
          <w:sz w:val="24"/>
          <w:lang w:val="en-US" w:eastAsia="zh-CN"/>
        </w:rPr>
        <w:t>12</w:t>
      </w:r>
      <w:r>
        <w:rPr>
          <w:rFonts w:hint="eastAsia" w:ascii="宋体" w:hAnsi="宋体" w:cs="宋体"/>
          <w:color w:val="auto"/>
          <w:sz w:val="24"/>
        </w:rPr>
        <w:t>个月）无任何质量问题后，买方支付剩余的合同货款。</w:t>
      </w:r>
    </w:p>
    <w:p>
      <w:pPr>
        <w:spacing w:line="360" w:lineRule="auto"/>
        <w:ind w:firstLine="480"/>
        <w:jc w:val="left"/>
        <w:rPr>
          <w:rFonts w:ascii="宋体" w:hAnsi="宋体" w:cs="宋体"/>
          <w:bCs/>
          <w:color w:val="auto"/>
          <w:sz w:val="24"/>
        </w:rPr>
      </w:pPr>
      <w:r>
        <w:rPr>
          <w:rFonts w:hint="eastAsia" w:ascii="宋体" w:hAnsi="宋体" w:cs="宋体"/>
          <w:bCs/>
          <w:sz w:val="24"/>
        </w:rPr>
        <w:t>六、质保</w:t>
      </w:r>
      <w:r>
        <w:rPr>
          <w:rFonts w:hint="eastAsia" w:ascii="宋体" w:hAnsi="宋体" w:cs="宋体"/>
          <w:bCs/>
          <w:color w:val="auto"/>
          <w:sz w:val="24"/>
        </w:rPr>
        <w:t>期及售后服务要求</w:t>
      </w:r>
    </w:p>
    <w:p>
      <w:pPr>
        <w:spacing w:line="360" w:lineRule="auto"/>
        <w:ind w:firstLine="480"/>
        <w:jc w:val="left"/>
        <w:rPr>
          <w:rFonts w:ascii="宋体" w:hAnsi="宋体" w:cs="宋体"/>
          <w:color w:val="auto"/>
          <w:sz w:val="24"/>
        </w:rPr>
      </w:pPr>
      <w:r>
        <w:rPr>
          <w:rFonts w:hint="eastAsia" w:ascii="宋体" w:hAnsi="宋体" w:cs="宋体"/>
          <w:color w:val="auto"/>
          <w:sz w:val="24"/>
        </w:rPr>
        <w:t>（1）本合同整体设备的质量保证期为自甲方验收合格之日起一年（12个月），按厂家承诺执行，质保期内乙方对所供货物实行包修、包换、包退，不收取任何费用。</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（3）在质保期内有任何质量问题，乙方在接报后必须无条件予以退换。</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（4）维修更换之零部件的质保期自维修验收之日起1年。</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color w:val="auto"/>
          <w:sz w:val="24"/>
        </w:rPr>
      </w:pPr>
      <w:r>
        <w:rPr>
          <w:rFonts w:hint="eastAsia" w:ascii="宋体" w:hAnsi="宋体" w:cs="宋体"/>
          <w:color w:val="auto"/>
          <w:sz w:val="24"/>
        </w:rPr>
        <w:t>（6）设备安装现场乙方须对使用人员进行培训，培训人数不限。生产厂家应用实验室提供免费培训，培训人数不少于</w:t>
      </w:r>
      <w:r>
        <w:rPr>
          <w:rStyle w:val="47"/>
          <w:color w:val="auto"/>
        </w:rPr>
        <w:t>2</w:t>
      </w:r>
      <w:r>
        <w:rPr>
          <w:rFonts w:hint="eastAsia" w:ascii="宋体" w:hAnsi="宋体" w:cs="宋体"/>
          <w:color w:val="auto"/>
          <w:sz w:val="24"/>
        </w:rPr>
        <w:t>人。</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七、交货时间、交货地点和验收单位：</w:t>
      </w:r>
    </w:p>
    <w:p>
      <w:pPr>
        <w:spacing w:line="360" w:lineRule="auto"/>
        <w:ind w:firstLine="480"/>
        <w:rPr>
          <w:rFonts w:ascii="宋体" w:hAnsi="宋体" w:cs="宋体"/>
          <w:color w:val="auto"/>
          <w:sz w:val="24"/>
        </w:rPr>
      </w:pPr>
      <w:r>
        <w:rPr>
          <w:rFonts w:hint="eastAsia" w:ascii="宋体" w:hAnsi="宋体" w:cs="宋体"/>
          <w:color w:val="auto"/>
          <w:sz w:val="24"/>
        </w:rPr>
        <w:t>1.交付时间：合同签订之日起30天内。</w:t>
      </w:r>
    </w:p>
    <w:p>
      <w:pPr>
        <w:spacing w:line="360" w:lineRule="auto"/>
        <w:ind w:firstLine="480" w:firstLineChars="200"/>
        <w:textAlignment w:val="baseline"/>
        <w:rPr>
          <w:rFonts w:ascii="宋体" w:hAnsi="宋体" w:cs="宋体"/>
          <w:color w:val="auto"/>
          <w:sz w:val="24"/>
        </w:rPr>
      </w:pPr>
      <w:r>
        <w:rPr>
          <w:rFonts w:hint="eastAsia" w:ascii="宋体" w:hAnsi="宋体" w:cs="宋体"/>
          <w:color w:val="auto"/>
          <w:sz w:val="24"/>
        </w:rPr>
        <w:t>2.交货地点：</w:t>
      </w:r>
      <w:r>
        <w:rPr>
          <w:rFonts w:hint="eastAsia" w:ascii="宋体" w:hAnsi="宋体" w:cs="宋体"/>
          <w:color w:val="auto"/>
          <w:sz w:val="24"/>
          <w:u w:val="single"/>
        </w:rPr>
        <w:t xml:space="preserve">               </w:t>
      </w:r>
      <w:r>
        <w:rPr>
          <w:rFonts w:hint="eastAsia" w:ascii="宋体" w:hAnsi="宋体" w:cs="宋体"/>
          <w:color w:val="auto"/>
          <w:sz w:val="24"/>
        </w:rPr>
        <w:t>。</w:t>
      </w:r>
    </w:p>
    <w:p>
      <w:pPr>
        <w:spacing w:line="360" w:lineRule="auto"/>
        <w:ind w:firstLine="480" w:firstLineChars="200"/>
        <w:textAlignment w:val="baseline"/>
        <w:rPr>
          <w:rFonts w:ascii="宋体" w:hAnsi="宋体" w:cs="宋体"/>
          <w:sz w:val="24"/>
        </w:rPr>
      </w:pPr>
      <w:r>
        <w:rPr>
          <w:rFonts w:hint="eastAsia" w:ascii="宋体" w:hAnsi="宋体" w:cs="宋体"/>
          <w:sz w:val="24"/>
        </w:rPr>
        <w:t>3.验收单位：甘肃省第二人民医院</w:t>
      </w:r>
    </w:p>
    <w:p>
      <w:pPr>
        <w:spacing w:line="360" w:lineRule="auto"/>
        <w:ind w:firstLine="480" w:firstLineChars="200"/>
        <w:textAlignment w:val="baseline"/>
        <w:rPr>
          <w:rFonts w:ascii="宋体" w:hAnsi="宋体" w:cs="宋体"/>
          <w:sz w:val="24"/>
        </w:rPr>
      </w:pPr>
      <w:r>
        <w:rPr>
          <w:rFonts w:hint="eastAsia" w:ascii="宋体" w:hAnsi="宋体" w:cs="宋体"/>
          <w:sz w:val="24"/>
        </w:rPr>
        <w:t>八、经济责任：</w:t>
      </w:r>
    </w:p>
    <w:p>
      <w:pPr>
        <w:spacing w:line="360" w:lineRule="auto"/>
        <w:ind w:firstLine="480" w:firstLineChars="200"/>
        <w:textAlignment w:val="baseline"/>
        <w:rPr>
          <w:rFonts w:ascii="宋体" w:hAnsi="宋体" w:cs="宋体"/>
          <w:sz w:val="24"/>
        </w:rPr>
      </w:pPr>
      <w:r>
        <w:rPr>
          <w:rFonts w:hint="eastAsia" w:ascii="宋体" w:hAnsi="宋体" w:cs="宋体"/>
          <w:sz w:val="24"/>
        </w:rPr>
        <w:t>（一）乙方责任</w:t>
      </w:r>
    </w:p>
    <w:p>
      <w:pPr>
        <w:spacing w:line="360" w:lineRule="auto"/>
        <w:ind w:firstLine="480" w:firstLineChars="200"/>
        <w:textAlignment w:val="baseline"/>
        <w:rPr>
          <w:rFonts w:ascii="宋体" w:hAnsi="宋体" w:cs="宋体"/>
          <w:sz w:val="24"/>
        </w:rPr>
      </w:pPr>
      <w:r>
        <w:rPr>
          <w:rFonts w:hint="eastAsia" w:ascii="宋体" w:hAnsi="宋体" w:cs="宋体"/>
          <w:sz w:val="24"/>
        </w:rPr>
        <w:t>（1）乙方不履行合同或交付的货物全部或部分不符合合同要求的，甲方有权拒收不符合质量要求的全部或部分货物，乙方须向甲方支付拒收货物价款总</w:t>
      </w:r>
      <w:r>
        <w:rPr>
          <w:rFonts w:hint="eastAsia" w:ascii="宋体" w:hAnsi="宋体" w:cs="宋体"/>
          <w:color w:val="auto"/>
          <w:sz w:val="24"/>
        </w:rPr>
        <w:t>额</w:t>
      </w:r>
      <w:r>
        <w:rPr>
          <w:rFonts w:ascii="宋体" w:hAnsi="宋体" w:cs="宋体"/>
          <w:color w:val="auto"/>
          <w:sz w:val="24"/>
        </w:rPr>
        <w:t>3</w:t>
      </w:r>
      <w:r>
        <w:rPr>
          <w:rFonts w:hint="eastAsia" w:ascii="宋体" w:hAnsi="宋体" w:cs="宋体"/>
          <w:color w:val="auto"/>
          <w:sz w:val="24"/>
        </w:rPr>
        <w:t>0%的违约</w:t>
      </w:r>
      <w:r>
        <w:rPr>
          <w:rFonts w:hint="eastAsia" w:ascii="宋体" w:hAnsi="宋体" w:cs="宋体"/>
          <w:sz w:val="24"/>
        </w:rPr>
        <w:t>金。</w:t>
      </w:r>
    </w:p>
    <w:p>
      <w:pPr>
        <w:spacing w:line="360" w:lineRule="auto"/>
        <w:ind w:firstLine="480" w:firstLineChars="200"/>
        <w:textAlignment w:val="baseline"/>
        <w:rPr>
          <w:rFonts w:ascii="宋体" w:hAnsi="宋体" w:cs="宋体"/>
          <w:color w:val="auto"/>
          <w:sz w:val="24"/>
        </w:rPr>
      </w:pPr>
      <w:r>
        <w:rPr>
          <w:rFonts w:hint="eastAsia" w:ascii="宋体" w:hAnsi="宋体" w:cs="宋体"/>
          <w:sz w:val="24"/>
        </w:rPr>
        <w:t>（2）货物质量不符合合同规定时，甲方同意利用的按质论价，不能利用的，乙方负责包退包换。由于上述原因导致延误交货时间的，</w:t>
      </w:r>
      <w:r>
        <w:rPr>
          <w:rFonts w:hint="eastAsia" w:ascii="宋体" w:hAnsi="宋体" w:cs="宋体"/>
          <w:color w:val="auto"/>
          <w:sz w:val="24"/>
        </w:rPr>
        <w:t>每延误一日，乙应方应按逾期交货部分货物价款总值的</w:t>
      </w:r>
      <w:r>
        <w:rPr>
          <w:rFonts w:hint="eastAsia" w:ascii="宋体" w:hAnsi="宋体" w:cs="宋体"/>
          <w:color w:val="auto"/>
          <w:sz w:val="24"/>
          <w:lang w:val="en-US" w:eastAsia="zh-CN"/>
        </w:rPr>
        <w:t>0.</w:t>
      </w:r>
      <w:r>
        <w:rPr>
          <w:rFonts w:hint="eastAsia" w:ascii="宋体" w:hAnsi="宋体" w:cs="宋体"/>
          <w:color w:val="auto"/>
          <w:sz w:val="24"/>
        </w:rPr>
        <w:t>5‰向甲方偿付违约金。</w:t>
      </w:r>
    </w:p>
    <w:p>
      <w:pPr>
        <w:spacing w:line="360" w:lineRule="auto"/>
        <w:ind w:firstLine="480" w:firstLineChars="200"/>
        <w:textAlignment w:val="baseline"/>
        <w:rPr>
          <w:rFonts w:ascii="宋体" w:hAnsi="宋体" w:cs="宋体"/>
          <w:sz w:val="24"/>
        </w:rPr>
      </w:pPr>
      <w:r>
        <w:rPr>
          <w:rFonts w:hint="eastAsia" w:ascii="宋体" w:hAnsi="宋体" w:cs="宋体"/>
          <w:sz w:val="24"/>
        </w:rPr>
        <w:t>（3）乙方每次按照甲方的订货通知单发货，在接到通知单后7日内交货，每逾期一日，中标人必须向甲方支付逾期交货部分货物总</w:t>
      </w:r>
      <w:r>
        <w:rPr>
          <w:rFonts w:hint="eastAsia" w:ascii="宋体" w:hAnsi="宋体" w:cs="宋体"/>
          <w:color w:val="auto"/>
          <w:sz w:val="24"/>
        </w:rPr>
        <w:t>额</w:t>
      </w:r>
      <w:r>
        <w:rPr>
          <w:rFonts w:hint="eastAsia" w:ascii="宋体" w:hAnsi="宋体" w:cs="宋体"/>
          <w:color w:val="auto"/>
          <w:sz w:val="24"/>
          <w:lang w:val="en-US" w:eastAsia="zh-CN"/>
        </w:rPr>
        <w:t>0.</w:t>
      </w:r>
      <w:r>
        <w:rPr>
          <w:rFonts w:hint="eastAsia" w:ascii="宋体" w:hAnsi="宋体" w:cs="宋体"/>
          <w:color w:val="auto"/>
          <w:sz w:val="24"/>
        </w:rPr>
        <w:t>5‰的违约金。逾</w:t>
      </w:r>
      <w:r>
        <w:rPr>
          <w:rFonts w:hint="eastAsia" w:ascii="宋体" w:hAnsi="宋体" w:cs="宋体"/>
          <w:sz w:val="24"/>
        </w:rPr>
        <w:t>期交货超过30日，采购方有权解除合同，且履约保证金不予退还。</w:t>
      </w:r>
    </w:p>
    <w:p>
      <w:pPr>
        <w:spacing w:line="360" w:lineRule="auto"/>
        <w:ind w:firstLine="480" w:firstLineChars="200"/>
        <w:textAlignment w:val="baseline"/>
        <w:rPr>
          <w:rFonts w:ascii="宋体" w:hAnsi="宋体" w:cs="宋体"/>
          <w:sz w:val="24"/>
        </w:rPr>
      </w:pPr>
      <w:r>
        <w:rPr>
          <w:rFonts w:hint="eastAsia" w:ascii="宋体" w:hAnsi="宋体" w:cs="宋体"/>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sz w:val="24"/>
        </w:rPr>
      </w:pPr>
      <w:r>
        <w:rPr>
          <w:rFonts w:hint="eastAsia" w:ascii="宋体" w:hAnsi="宋体" w:cs="宋体"/>
          <w:sz w:val="24"/>
        </w:rPr>
        <w:t>（二）甲方责任</w:t>
      </w:r>
    </w:p>
    <w:p>
      <w:pPr>
        <w:spacing w:line="360" w:lineRule="auto"/>
        <w:ind w:firstLine="480" w:firstLineChars="200"/>
        <w:textAlignment w:val="baseline"/>
        <w:rPr>
          <w:rFonts w:ascii="宋体" w:hAnsi="宋体" w:cs="宋体"/>
          <w:sz w:val="24"/>
        </w:rPr>
      </w:pPr>
      <w:r>
        <w:rPr>
          <w:rFonts w:hint="eastAsia" w:ascii="宋体" w:hAnsi="宋体" w:cs="宋体"/>
          <w:sz w:val="24"/>
        </w:rPr>
        <w:t>甲方无正当理由，中途退货或拒绝收货，应向乙方支付退货部分货款总额10%的违约金，并承担因此造成的经济损失及运输费用。</w:t>
      </w:r>
    </w:p>
    <w:p>
      <w:pPr>
        <w:pStyle w:val="2"/>
        <w:numPr>
          <w:ilvl w:val="0"/>
          <w:numId w:val="8"/>
        </w:numPr>
        <w:ind w:left="48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合同组成部分</w:t>
      </w:r>
    </w:p>
    <w:p>
      <w:pPr>
        <w:numPr>
          <w:ilvl w:val="0"/>
          <w:numId w:val="9"/>
        </w:numPr>
        <w:ind w:left="240" w:leftChars="0" w:firstLine="0" w:firstLineChars="0"/>
        <w:rPr>
          <w:rFonts w:hint="eastAsia" w:asciiTheme="minorEastAsia" w:hAnsiTheme="minorEastAsia" w:cstheme="minorEastAsia"/>
          <w:b w:val="0"/>
          <w:bCs w:val="0"/>
          <w:sz w:val="24"/>
          <w:szCs w:val="24"/>
        </w:rPr>
      </w:pPr>
      <w:r>
        <w:rPr>
          <w:rFonts w:hint="eastAsia" w:asciiTheme="minorEastAsia" w:hAnsiTheme="minorEastAsia" w:cstheme="minorEastAsia"/>
          <w:b w:val="0"/>
          <w:bCs w:val="0"/>
          <w:sz w:val="24"/>
          <w:szCs w:val="24"/>
        </w:rPr>
        <w:t>《中标通知书》 </w:t>
      </w:r>
    </w:p>
    <w:p>
      <w:pPr>
        <w:pStyle w:val="2"/>
        <w:numPr>
          <w:ilvl w:val="0"/>
          <w:numId w:val="9"/>
        </w:numPr>
        <w:ind w:left="240" w:leftChars="0" w:firstLine="0" w:firstLineChars="0"/>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售后服务承诺书及质量保证承诺书》</w:t>
      </w:r>
      <w:r>
        <w:rPr>
          <w:rFonts w:hint="eastAsia" w:asciiTheme="minorEastAsia" w:hAnsiTheme="minorEastAsia" w:cstheme="minorEastAsia"/>
          <w:b w:val="0"/>
          <w:bCs w:val="0"/>
          <w:sz w:val="24"/>
          <w:szCs w:val="24"/>
        </w:rPr>
        <w:t>（参见《投标文件》）</w:t>
      </w:r>
    </w:p>
    <w:p>
      <w:pPr>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rPr>
        <w:t xml:space="preserve"> </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3</w:t>
      </w:r>
      <w:r>
        <w:rPr>
          <w:rFonts w:hint="eastAsia" w:asciiTheme="minorEastAsia" w:hAnsiTheme="minorEastAsia" w:cstheme="minorEastAsia"/>
          <w:b w:val="0"/>
          <w:bCs w:val="0"/>
          <w:sz w:val="24"/>
          <w:szCs w:val="24"/>
          <w:lang w:eastAsia="zh-CN"/>
        </w:rPr>
        <w:t>）</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cstheme="minorEastAsia"/>
          <w:b w:val="0"/>
          <w:bCs w:val="0"/>
          <w:sz w:val="24"/>
          <w:szCs w:val="24"/>
        </w:rPr>
        <w:t>《配送时间及伴随服务承诺表》（参见《投标文件》）。</w:t>
      </w:r>
    </w:p>
    <w:p>
      <w:pPr>
        <w:spacing w:line="360" w:lineRule="auto"/>
        <w:ind w:firstLine="480" w:firstLineChars="200"/>
        <w:textAlignment w:val="baseline"/>
        <w:rPr>
          <w:rFonts w:ascii="宋体" w:hAnsi="宋体" w:cs="宋体"/>
          <w:sz w:val="24"/>
        </w:rPr>
      </w:pPr>
      <w:r>
        <w:rPr>
          <w:rFonts w:hint="eastAsia" w:ascii="宋体" w:hAnsi="宋体" w:cs="宋体"/>
          <w:sz w:val="24"/>
          <w:lang w:eastAsia="zh-CN"/>
        </w:rPr>
        <w:t>十</w:t>
      </w:r>
      <w:r>
        <w:rPr>
          <w:rFonts w:hint="eastAsia" w:ascii="宋体" w:hAnsi="宋体" w:cs="宋体"/>
          <w:sz w:val="24"/>
        </w:rPr>
        <w:t>、合同解释：</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sz w:val="24"/>
        </w:rPr>
      </w:pPr>
      <w:r>
        <w:rPr>
          <w:rFonts w:hint="eastAsia" w:ascii="宋体" w:hAnsi="宋体" w:cs="宋体"/>
          <w:sz w:val="24"/>
        </w:rPr>
        <w:t>十</w:t>
      </w:r>
      <w:r>
        <w:rPr>
          <w:rFonts w:hint="eastAsia" w:ascii="宋体" w:hAnsi="宋体" w:cs="宋体"/>
          <w:sz w:val="24"/>
          <w:lang w:eastAsia="zh-CN"/>
        </w:rPr>
        <w:t>一</w:t>
      </w:r>
      <w:r>
        <w:rPr>
          <w:rFonts w:hint="eastAsia" w:ascii="宋体" w:hAnsi="宋体" w:cs="宋体"/>
          <w:sz w:val="24"/>
        </w:rPr>
        <w:t>、合同执行过程中发生的一切争议，双方应通过友好协商解决，如协商不能解决，</w:t>
      </w:r>
      <w:r>
        <w:rPr>
          <w:rFonts w:hint="eastAsia" w:ascii="宋体" w:hAnsi="宋体" w:cs="宋体"/>
          <w:color w:val="000000" w:themeColor="text1"/>
          <w:sz w:val="24"/>
        </w:rPr>
        <w:t>双方均可向甲方所在地人民法院诉讼解决。</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二</w:t>
      </w:r>
      <w:r>
        <w:rPr>
          <w:rFonts w:hint="eastAsia" w:ascii="宋体" w:hAnsi="宋体" w:cs="宋体"/>
          <w:sz w:val="24"/>
        </w:rPr>
        <w:t>、其它未尽事宜由甲乙双方协商约定。</w:t>
      </w:r>
    </w:p>
    <w:p>
      <w:pPr>
        <w:spacing w:line="360" w:lineRule="auto"/>
        <w:ind w:firstLine="480" w:firstLineChars="200"/>
        <w:jc w:val="left"/>
        <w:rPr>
          <w:rFonts w:ascii="宋体" w:hAnsi="宋体" w:cs="宋体"/>
          <w:sz w:val="24"/>
        </w:rPr>
      </w:pPr>
      <w:r>
        <w:rPr>
          <w:rFonts w:hint="eastAsia" w:ascii="宋体" w:hAnsi="宋体" w:cs="宋体"/>
          <w:sz w:val="24"/>
        </w:rPr>
        <w:t>十</w:t>
      </w:r>
      <w:r>
        <w:rPr>
          <w:rFonts w:hint="eastAsia" w:ascii="宋体" w:hAnsi="宋体" w:cs="宋体"/>
          <w:sz w:val="24"/>
          <w:lang w:eastAsia="zh-CN"/>
        </w:rPr>
        <w:t>三</w:t>
      </w:r>
      <w:r>
        <w:rPr>
          <w:rFonts w:hint="eastAsia" w:ascii="宋体" w:hAnsi="宋体" w:cs="宋体"/>
          <w:sz w:val="24"/>
        </w:rPr>
        <w:t>、本合同一式</w:t>
      </w:r>
      <w:r>
        <w:rPr>
          <w:rFonts w:hint="eastAsia" w:ascii="宋体" w:hAnsi="宋体" w:cs="宋体"/>
          <w:sz w:val="24"/>
          <w:lang w:eastAsia="zh-CN"/>
        </w:rPr>
        <w:t>肆</w:t>
      </w:r>
      <w:r>
        <w:rPr>
          <w:rFonts w:hint="eastAsia" w:ascii="宋体" w:hAnsi="宋体" w:cs="宋体"/>
          <w:sz w:val="24"/>
        </w:rPr>
        <w:t>份，甲方、乙方各执二份。</w:t>
      </w: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
      <w:pPr>
        <w:rPr>
          <w:rFonts w:ascii="宋体" w:hAnsi="宋体" w:cs="宋体"/>
          <w:sz w:val="24"/>
        </w:rPr>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8"/>
          <w:szCs w:val="36"/>
        </w:rPr>
      </w:pPr>
    </w:p>
    <w:p>
      <w:pPr>
        <w:rPr>
          <w:rFonts w:ascii="宋体" w:hAnsi="宋体" w:cs="宋体"/>
          <w:sz w:val="28"/>
          <w:szCs w:val="36"/>
        </w:rPr>
      </w:pPr>
    </w:p>
    <w:p>
      <w:pPr>
        <w:pStyle w:val="2"/>
      </w:pPr>
    </w:p>
    <w:p>
      <w:pPr>
        <w:pStyle w:val="28"/>
        <w:spacing w:line="360" w:lineRule="auto"/>
        <w:ind w:left="0" w:leftChars="0"/>
        <w:rPr>
          <w:rFonts w:ascii="宋体" w:hAnsi="宋体" w:cs="宋体"/>
          <w:sz w:val="28"/>
          <w:szCs w:val="36"/>
        </w:rPr>
      </w:pPr>
    </w:p>
    <w:p>
      <w:pPr>
        <w:pStyle w:val="28"/>
        <w:spacing w:line="360" w:lineRule="auto"/>
        <w:ind w:left="0" w:leftChars="0"/>
        <w:rPr>
          <w:rFonts w:ascii="宋体" w:hAnsi="宋体" w:cs="宋体"/>
          <w:sz w:val="22"/>
          <w:szCs w:val="28"/>
        </w:rPr>
      </w:pPr>
      <w:r>
        <w:rPr>
          <w:rFonts w:hint="eastAsia" w:ascii="宋体" w:hAnsi="宋体" w:cs="宋体"/>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ascii="宋体" w:hAnsi="宋体" w:cs="宋体"/>
                <w:sz w:val="24"/>
              </w:rPr>
            </w:pPr>
            <w:r>
              <w:rPr>
                <w:rFonts w:hint="eastAsia" w:ascii="宋体" w:hAnsi="宋体" w:cs="宋体"/>
                <w:sz w:val="24"/>
              </w:rPr>
              <w:t>甲方（公章）：</w:t>
            </w:r>
          </w:p>
          <w:p>
            <w:pPr>
              <w:spacing w:line="360" w:lineRule="auto"/>
              <w:rPr>
                <w:rFonts w:ascii="宋体" w:hAnsi="宋体" w:cs="宋体"/>
                <w:sz w:val="24"/>
              </w:rPr>
            </w:pPr>
            <w:r>
              <w:rPr>
                <w:rFonts w:hint="eastAsia" w:ascii="宋体" w:hAnsi="宋体" w:cs="宋体"/>
                <w:sz w:val="24"/>
              </w:rPr>
              <w:t>地址：兰州市城关区和政西街1号</w:t>
            </w:r>
          </w:p>
          <w:p>
            <w:pPr>
              <w:spacing w:line="360" w:lineRule="auto"/>
              <w:rPr>
                <w:rFonts w:ascii="宋体" w:hAnsi="宋体" w:cs="宋体"/>
                <w:sz w:val="24"/>
              </w:rPr>
            </w:pPr>
            <w:r>
              <w:rPr>
                <w:rFonts w:hint="eastAsia" w:ascii="宋体" w:hAnsi="宋体" w:cs="宋体"/>
                <w:sz w:val="24"/>
              </w:rPr>
              <w:t>电话:0931-4923487</w:t>
            </w:r>
          </w:p>
          <w:p>
            <w:pPr>
              <w:spacing w:line="360" w:lineRule="auto"/>
              <w:rPr>
                <w:rFonts w:ascii="宋体" w:hAnsi="宋体" w:cs="宋体"/>
                <w:sz w:val="24"/>
              </w:rPr>
            </w:pPr>
            <w:r>
              <w:rPr>
                <w:rFonts w:hint="eastAsia" w:ascii="宋体" w:hAnsi="宋体" w:cs="宋体"/>
                <w:sz w:val="24"/>
              </w:rPr>
              <w:t>邮编:730000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rPr>
              <w:t>甲方法定代表人：</w:t>
            </w:r>
          </w:p>
          <w:p>
            <w:pPr>
              <w:spacing w:line="72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rPr>
              <w:t>乙方法定代表人：</w:t>
            </w:r>
          </w:p>
          <w:p>
            <w:pPr>
              <w:spacing w:line="72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委托授权人:</w:t>
            </w:r>
          </w:p>
          <w:p>
            <w:pPr>
              <w:spacing w:line="600" w:lineRule="auto"/>
              <w:rPr>
                <w:rFonts w:ascii="宋体" w:hAnsi="宋体" w:cs="宋体"/>
                <w:sz w:val="24"/>
              </w:rPr>
            </w:pPr>
            <w:r>
              <w:rPr>
                <w:rFonts w:hint="eastAsia" w:ascii="宋体" w:hAnsi="宋体" w:cs="宋体"/>
                <w:sz w:val="24"/>
              </w:rPr>
              <w:t>签字日期：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rPr>
              <w:t>开户行：</w:t>
            </w:r>
          </w:p>
          <w:p>
            <w:pPr>
              <w:spacing w:line="600" w:lineRule="auto"/>
              <w:rPr>
                <w:rFonts w:ascii="宋体" w:hAnsi="宋体" w:cs="宋体"/>
                <w:sz w:val="24"/>
              </w:rPr>
            </w:pPr>
            <w:r>
              <w:rPr>
                <w:rFonts w:hint="eastAsia" w:ascii="宋体" w:hAnsi="宋体" w:cs="宋体"/>
                <w:sz w:val="24"/>
              </w:rPr>
              <w:t>账号：</w:t>
            </w:r>
          </w:p>
        </w:tc>
      </w:tr>
    </w:tbl>
    <w:p/>
    <w:p/>
    <w:p/>
    <w:sectPr>
      <w:headerReference r:id="rId17" w:type="first"/>
      <w:headerReference r:id="rId16" w:type="default"/>
      <w:footerReference r:id="rId18"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28C7CB44"/>
    <w:multiLevelType w:val="singleLevel"/>
    <w:tmpl w:val="28C7CB44"/>
    <w:lvl w:ilvl="0" w:tentative="0">
      <w:start w:val="1"/>
      <w:numFmt w:val="decimal"/>
      <w:suff w:val="space"/>
      <w:lvlText w:val="（%1）"/>
      <w:lvlJc w:val="left"/>
      <w:pPr>
        <w:ind w:left="240" w:leftChars="0" w:firstLine="0" w:firstLineChars="0"/>
      </w:pPr>
    </w:lvl>
  </w:abstractNum>
  <w:abstractNum w:abstractNumId="3">
    <w:nsid w:val="3D536D5B"/>
    <w:multiLevelType w:val="singleLevel"/>
    <w:tmpl w:val="3D536D5B"/>
    <w:lvl w:ilvl="0" w:tentative="0">
      <w:start w:val="9"/>
      <w:numFmt w:val="chineseCounting"/>
      <w:suff w:val="nothing"/>
      <w:lvlText w:val="%1、"/>
      <w:lvlJc w:val="left"/>
      <w:pPr>
        <w:ind w:left="480" w:leftChars="0" w:firstLine="0" w:firstLineChars="0"/>
      </w:pPr>
      <w:rPr>
        <w:rFonts w:hint="eastAsia"/>
      </w:rPr>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9DF3391"/>
    <w:multiLevelType w:val="singleLevel"/>
    <w:tmpl w:val="59DF3391"/>
    <w:lvl w:ilvl="0" w:tentative="0">
      <w:start w:val="7"/>
      <w:numFmt w:val="decimal"/>
      <w:suff w:val="space"/>
      <w:lvlText w:val="%1."/>
      <w:lvlJc w:val="left"/>
    </w:lvl>
  </w:abstractNum>
  <w:abstractNum w:abstractNumId="7">
    <w:nsid w:val="59E00BC4"/>
    <w:multiLevelType w:val="singleLevel"/>
    <w:tmpl w:val="59E00BC4"/>
    <w:lvl w:ilvl="0" w:tentative="0">
      <w:start w:val="2"/>
      <w:numFmt w:val="chineseCounting"/>
      <w:suff w:val="nothing"/>
      <w:lvlText w:val="%1、"/>
      <w:lvlJc w:val="left"/>
    </w:lvl>
  </w:abstractNum>
  <w:abstractNum w:abstractNumId="8">
    <w:nsid w:val="7DB1AA8B"/>
    <w:multiLevelType w:val="singleLevel"/>
    <w:tmpl w:val="7DB1AA8B"/>
    <w:lvl w:ilvl="0" w:tentative="0">
      <w:start w:val="3"/>
      <w:numFmt w:val="decimal"/>
      <w:suff w:val="nothing"/>
      <w:lvlText w:val="%1）"/>
      <w:lvlJc w:val="left"/>
    </w:lvl>
  </w:abstractNum>
  <w:num w:numId="1">
    <w:abstractNumId w:val="1"/>
  </w:num>
  <w:num w:numId="2">
    <w:abstractNumId w:val="4"/>
  </w:num>
  <w:num w:numId="3">
    <w:abstractNumId w:val="8"/>
  </w:num>
  <w:num w:numId="4">
    <w:abstractNumId w:val="6"/>
  </w:num>
  <w:num w:numId="5">
    <w:abstractNumId w:val="0"/>
  </w:num>
  <w:num w:numId="6">
    <w:abstractNumId w:val="5"/>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ED00D5"/>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239B"/>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D5E50"/>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0760"/>
    <w:rsid w:val="081E3EDD"/>
    <w:rsid w:val="08247245"/>
    <w:rsid w:val="0827466F"/>
    <w:rsid w:val="08362B39"/>
    <w:rsid w:val="08371C1B"/>
    <w:rsid w:val="083D5FDE"/>
    <w:rsid w:val="084530A0"/>
    <w:rsid w:val="08556BD2"/>
    <w:rsid w:val="085D0A3D"/>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836D7"/>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71B92"/>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AA2E7A"/>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C1090"/>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576A5"/>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A675F"/>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D2456"/>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2F0456"/>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45BF8"/>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F0B00"/>
    <w:rsid w:val="2BF57E32"/>
    <w:rsid w:val="2BF65BD4"/>
    <w:rsid w:val="2BFA63ED"/>
    <w:rsid w:val="2C023DF0"/>
    <w:rsid w:val="2C0A4A47"/>
    <w:rsid w:val="2C1808A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607E81"/>
    <w:rsid w:val="36670789"/>
    <w:rsid w:val="3674137E"/>
    <w:rsid w:val="36782E8C"/>
    <w:rsid w:val="367F76AF"/>
    <w:rsid w:val="36895A48"/>
    <w:rsid w:val="368D5697"/>
    <w:rsid w:val="36971AEE"/>
    <w:rsid w:val="36975AC3"/>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63E83"/>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971FB"/>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A0DEA"/>
    <w:rsid w:val="40E42B3F"/>
    <w:rsid w:val="40E520CE"/>
    <w:rsid w:val="40F55419"/>
    <w:rsid w:val="40FF507D"/>
    <w:rsid w:val="41025354"/>
    <w:rsid w:val="41045CD3"/>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6FF63D6"/>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8A72C5"/>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8F80AC8"/>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04572"/>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35064"/>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7023D"/>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8C1365"/>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351A7"/>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54623"/>
    <w:rsid w:val="70391E13"/>
    <w:rsid w:val="704275CC"/>
    <w:rsid w:val="70444793"/>
    <w:rsid w:val="70551138"/>
    <w:rsid w:val="705D6E76"/>
    <w:rsid w:val="706042A3"/>
    <w:rsid w:val="7060638A"/>
    <w:rsid w:val="70687EB7"/>
    <w:rsid w:val="70760EFF"/>
    <w:rsid w:val="70786F1D"/>
    <w:rsid w:val="70792E46"/>
    <w:rsid w:val="707F37AA"/>
    <w:rsid w:val="70825A52"/>
    <w:rsid w:val="70846CCB"/>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D84"/>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E51251"/>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54050"/>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D2955"/>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77327"/>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9"/>
    <w:qFormat/>
    <w:uiPriority w:val="99"/>
    <w:pPr>
      <w:spacing w:line="360" w:lineRule="auto"/>
      <w:jc w:val="center"/>
      <w:outlineLvl w:val="0"/>
    </w:pPr>
    <w:rPr>
      <w:b/>
      <w:bCs/>
      <w:kern w:val="44"/>
      <w:sz w:val="44"/>
      <w:szCs w:val="44"/>
    </w:rPr>
  </w:style>
  <w:style w:type="paragraph" w:styleId="4">
    <w:name w:val="heading 2"/>
    <w:basedOn w:val="1"/>
    <w:next w:val="5"/>
    <w:link w:val="50"/>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1"/>
    <w:qFormat/>
    <w:uiPriority w:val="99"/>
    <w:pPr>
      <w:spacing w:line="360" w:lineRule="auto"/>
      <w:ind w:firstLine="482" w:firstLineChars="200"/>
      <w:outlineLvl w:val="2"/>
    </w:pPr>
    <w:rPr>
      <w:b/>
      <w:bCs/>
      <w:kern w:val="0"/>
      <w:sz w:val="32"/>
      <w:szCs w:val="32"/>
    </w:rPr>
  </w:style>
  <w:style w:type="paragraph" w:styleId="7">
    <w:name w:val="heading 4"/>
    <w:basedOn w:val="1"/>
    <w:next w:val="1"/>
    <w:link w:val="52"/>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3"/>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4"/>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5"/>
    <w:qFormat/>
    <w:uiPriority w:val="99"/>
    <w:pPr>
      <w:keepNext/>
      <w:keepLines/>
      <w:spacing w:before="240" w:after="64" w:line="320" w:lineRule="auto"/>
      <w:outlineLvl w:val="6"/>
    </w:pPr>
    <w:rPr>
      <w:b/>
      <w:bCs/>
      <w:kern w:val="0"/>
      <w:sz w:val="24"/>
    </w:rPr>
  </w:style>
  <w:style w:type="paragraph" w:styleId="11">
    <w:name w:val="heading 8"/>
    <w:basedOn w:val="1"/>
    <w:next w:val="1"/>
    <w:link w:val="56"/>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7"/>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8"/>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9"/>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1"/>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2"/>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3"/>
    <w:qFormat/>
    <w:uiPriority w:val="99"/>
    <w:pPr>
      <w:ind w:left="100" w:leftChars="2500"/>
    </w:pPr>
    <w:rPr>
      <w:kern w:val="0"/>
      <w:sz w:val="24"/>
    </w:rPr>
  </w:style>
  <w:style w:type="paragraph" w:styleId="21">
    <w:name w:val="Body Text Indent 2"/>
    <w:basedOn w:val="1"/>
    <w:link w:val="64"/>
    <w:qFormat/>
    <w:uiPriority w:val="99"/>
    <w:pPr>
      <w:spacing w:line="460" w:lineRule="exact"/>
      <w:ind w:firstLine="570"/>
    </w:pPr>
    <w:rPr>
      <w:kern w:val="0"/>
      <w:sz w:val="24"/>
    </w:rPr>
  </w:style>
  <w:style w:type="paragraph" w:styleId="22">
    <w:name w:val="Balloon Text"/>
    <w:basedOn w:val="1"/>
    <w:link w:val="65"/>
    <w:qFormat/>
    <w:uiPriority w:val="99"/>
    <w:rPr>
      <w:kern w:val="0"/>
      <w:sz w:val="16"/>
      <w:szCs w:val="16"/>
    </w:rPr>
  </w:style>
  <w:style w:type="paragraph" w:styleId="23">
    <w:name w:val="footer"/>
    <w:basedOn w:val="1"/>
    <w:link w:val="66"/>
    <w:qFormat/>
    <w:uiPriority w:val="99"/>
    <w:pPr>
      <w:tabs>
        <w:tab w:val="center" w:pos="4153"/>
        <w:tab w:val="right" w:pos="8306"/>
      </w:tabs>
      <w:snapToGrid w:val="0"/>
      <w:jc w:val="left"/>
    </w:pPr>
    <w:rPr>
      <w:kern w:val="0"/>
      <w:sz w:val="18"/>
      <w:szCs w:val="18"/>
    </w:rPr>
  </w:style>
  <w:style w:type="paragraph" w:styleId="24">
    <w:name w:val="header"/>
    <w:basedOn w:val="1"/>
    <w:link w:val="67"/>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8"/>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9"/>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annotation reference"/>
    <w:basedOn w:val="37"/>
    <w:qFormat/>
    <w:locked/>
    <w:uiPriority w:val="0"/>
    <w:rPr>
      <w:sz w:val="21"/>
      <w:szCs w:val="21"/>
    </w:rPr>
  </w:style>
  <w:style w:type="character" w:styleId="48">
    <w:name w:val="HTML Cite"/>
    <w:basedOn w:val="37"/>
    <w:unhideWhenUsed/>
    <w:qFormat/>
    <w:locked/>
    <w:uiPriority w:val="99"/>
  </w:style>
  <w:style w:type="character" w:customStyle="1" w:styleId="49">
    <w:name w:val="标题 1 Char"/>
    <w:link w:val="3"/>
    <w:qFormat/>
    <w:locked/>
    <w:uiPriority w:val="99"/>
    <w:rPr>
      <w:rFonts w:cs="Times New Roman"/>
      <w:b/>
      <w:bCs/>
      <w:kern w:val="44"/>
      <w:sz w:val="44"/>
      <w:szCs w:val="44"/>
    </w:rPr>
  </w:style>
  <w:style w:type="character" w:customStyle="1" w:styleId="50">
    <w:name w:val="标题 2 Char"/>
    <w:link w:val="4"/>
    <w:semiHidden/>
    <w:qFormat/>
    <w:locked/>
    <w:uiPriority w:val="99"/>
    <w:rPr>
      <w:rFonts w:ascii="Cambria" w:hAnsi="Cambria" w:eastAsia="宋体" w:cs="黑体"/>
      <w:b/>
      <w:bCs/>
      <w:sz w:val="32"/>
      <w:szCs w:val="32"/>
    </w:rPr>
  </w:style>
  <w:style w:type="character" w:customStyle="1" w:styleId="51">
    <w:name w:val="标题 3 Char"/>
    <w:link w:val="6"/>
    <w:semiHidden/>
    <w:qFormat/>
    <w:locked/>
    <w:uiPriority w:val="99"/>
    <w:rPr>
      <w:rFonts w:cs="Times New Roman"/>
      <w:b/>
      <w:bCs/>
      <w:sz w:val="32"/>
      <w:szCs w:val="32"/>
    </w:rPr>
  </w:style>
  <w:style w:type="character" w:customStyle="1" w:styleId="52">
    <w:name w:val="标题 4 Char"/>
    <w:link w:val="7"/>
    <w:semiHidden/>
    <w:qFormat/>
    <w:locked/>
    <w:uiPriority w:val="99"/>
    <w:rPr>
      <w:rFonts w:ascii="Cambria" w:hAnsi="Cambria" w:eastAsia="宋体" w:cs="黑体"/>
      <w:b/>
      <w:bCs/>
      <w:sz w:val="28"/>
      <w:szCs w:val="28"/>
    </w:rPr>
  </w:style>
  <w:style w:type="character" w:customStyle="1" w:styleId="53">
    <w:name w:val="标题 5 Char"/>
    <w:link w:val="8"/>
    <w:semiHidden/>
    <w:qFormat/>
    <w:locked/>
    <w:uiPriority w:val="99"/>
    <w:rPr>
      <w:rFonts w:cs="Times New Roman"/>
      <w:b/>
      <w:bCs/>
      <w:sz w:val="28"/>
      <w:szCs w:val="28"/>
    </w:rPr>
  </w:style>
  <w:style w:type="character" w:customStyle="1" w:styleId="54">
    <w:name w:val="标题 6 Char"/>
    <w:link w:val="9"/>
    <w:semiHidden/>
    <w:qFormat/>
    <w:locked/>
    <w:uiPriority w:val="99"/>
    <w:rPr>
      <w:rFonts w:ascii="Cambria" w:hAnsi="Cambria" w:eastAsia="宋体" w:cs="黑体"/>
      <w:b/>
      <w:bCs/>
      <w:sz w:val="24"/>
      <w:szCs w:val="24"/>
    </w:rPr>
  </w:style>
  <w:style w:type="character" w:customStyle="1" w:styleId="55">
    <w:name w:val="标题 7 Char"/>
    <w:link w:val="10"/>
    <w:semiHidden/>
    <w:qFormat/>
    <w:locked/>
    <w:uiPriority w:val="99"/>
    <w:rPr>
      <w:rFonts w:cs="Times New Roman"/>
      <w:b/>
      <w:bCs/>
      <w:sz w:val="24"/>
      <w:szCs w:val="24"/>
    </w:rPr>
  </w:style>
  <w:style w:type="character" w:customStyle="1" w:styleId="56">
    <w:name w:val="标题 8 Char"/>
    <w:link w:val="11"/>
    <w:semiHidden/>
    <w:qFormat/>
    <w:locked/>
    <w:uiPriority w:val="99"/>
    <w:rPr>
      <w:rFonts w:ascii="Cambria" w:hAnsi="Cambria" w:eastAsia="宋体" w:cs="黑体"/>
      <w:sz w:val="24"/>
      <w:szCs w:val="24"/>
    </w:rPr>
  </w:style>
  <w:style w:type="character" w:customStyle="1" w:styleId="57">
    <w:name w:val="标题 9 Char"/>
    <w:link w:val="12"/>
    <w:semiHidden/>
    <w:qFormat/>
    <w:locked/>
    <w:uiPriority w:val="99"/>
    <w:rPr>
      <w:rFonts w:ascii="Cambria" w:hAnsi="Cambria" w:eastAsia="宋体" w:cs="黑体"/>
      <w:sz w:val="21"/>
      <w:szCs w:val="21"/>
    </w:rPr>
  </w:style>
  <w:style w:type="character" w:customStyle="1" w:styleId="58">
    <w:name w:val="注释标题 Char"/>
    <w:link w:val="13"/>
    <w:semiHidden/>
    <w:qFormat/>
    <w:locked/>
    <w:uiPriority w:val="99"/>
    <w:rPr>
      <w:rFonts w:cs="Times New Roman"/>
      <w:sz w:val="24"/>
      <w:szCs w:val="24"/>
    </w:rPr>
  </w:style>
  <w:style w:type="character" w:customStyle="1" w:styleId="59">
    <w:name w:val="文档结构图 Char"/>
    <w:link w:val="15"/>
    <w:semiHidden/>
    <w:qFormat/>
    <w:locked/>
    <w:uiPriority w:val="99"/>
    <w:rPr>
      <w:rFonts w:ascii="宋体" w:cs="Times New Roman"/>
      <w:kern w:val="2"/>
      <w:sz w:val="18"/>
      <w:szCs w:val="18"/>
    </w:rPr>
  </w:style>
  <w:style w:type="character" w:customStyle="1" w:styleId="60">
    <w:name w:val="正文文本 Char"/>
    <w:link w:val="2"/>
    <w:semiHidden/>
    <w:qFormat/>
    <w:locked/>
    <w:uiPriority w:val="99"/>
    <w:rPr>
      <w:rFonts w:cs="Times New Roman"/>
      <w:sz w:val="24"/>
      <w:szCs w:val="24"/>
    </w:rPr>
  </w:style>
  <w:style w:type="character" w:customStyle="1" w:styleId="61">
    <w:name w:val="正文文本缩进 Char"/>
    <w:link w:val="17"/>
    <w:semiHidden/>
    <w:qFormat/>
    <w:locked/>
    <w:uiPriority w:val="99"/>
    <w:rPr>
      <w:rFonts w:cs="Times New Roman"/>
      <w:sz w:val="24"/>
      <w:szCs w:val="24"/>
    </w:rPr>
  </w:style>
  <w:style w:type="character" w:customStyle="1" w:styleId="62">
    <w:name w:val="纯文本 Char"/>
    <w:link w:val="19"/>
    <w:semiHidden/>
    <w:qFormat/>
    <w:locked/>
    <w:uiPriority w:val="99"/>
    <w:rPr>
      <w:rFonts w:ascii="宋体" w:hAnsi="Courier New" w:cs="Courier New"/>
      <w:sz w:val="21"/>
      <w:szCs w:val="21"/>
    </w:rPr>
  </w:style>
  <w:style w:type="character" w:customStyle="1" w:styleId="63">
    <w:name w:val="日期 Char"/>
    <w:link w:val="20"/>
    <w:semiHidden/>
    <w:qFormat/>
    <w:locked/>
    <w:uiPriority w:val="99"/>
    <w:rPr>
      <w:rFonts w:cs="Times New Roman"/>
      <w:sz w:val="24"/>
      <w:szCs w:val="24"/>
    </w:rPr>
  </w:style>
  <w:style w:type="character" w:customStyle="1" w:styleId="64">
    <w:name w:val="正文文本缩进 2 Char"/>
    <w:link w:val="21"/>
    <w:semiHidden/>
    <w:qFormat/>
    <w:locked/>
    <w:uiPriority w:val="99"/>
    <w:rPr>
      <w:rFonts w:cs="Times New Roman"/>
      <w:sz w:val="24"/>
      <w:szCs w:val="24"/>
    </w:rPr>
  </w:style>
  <w:style w:type="character" w:customStyle="1" w:styleId="65">
    <w:name w:val="批注框文本 Char"/>
    <w:link w:val="22"/>
    <w:semiHidden/>
    <w:qFormat/>
    <w:locked/>
    <w:uiPriority w:val="99"/>
    <w:rPr>
      <w:rFonts w:cs="Times New Roman"/>
      <w:sz w:val="16"/>
      <w:szCs w:val="16"/>
    </w:rPr>
  </w:style>
  <w:style w:type="character" w:customStyle="1" w:styleId="66">
    <w:name w:val="页脚 Char"/>
    <w:link w:val="23"/>
    <w:semiHidden/>
    <w:qFormat/>
    <w:locked/>
    <w:uiPriority w:val="99"/>
    <w:rPr>
      <w:rFonts w:cs="Times New Roman"/>
      <w:sz w:val="18"/>
      <w:szCs w:val="18"/>
    </w:rPr>
  </w:style>
  <w:style w:type="character" w:customStyle="1" w:styleId="67">
    <w:name w:val="页眉 Char"/>
    <w:link w:val="24"/>
    <w:semiHidden/>
    <w:qFormat/>
    <w:locked/>
    <w:uiPriority w:val="99"/>
    <w:rPr>
      <w:rFonts w:cs="Times New Roman"/>
      <w:sz w:val="18"/>
      <w:szCs w:val="18"/>
    </w:rPr>
  </w:style>
  <w:style w:type="character" w:customStyle="1" w:styleId="68">
    <w:name w:val="正文文本缩进 3 Char"/>
    <w:link w:val="27"/>
    <w:semiHidden/>
    <w:qFormat/>
    <w:locked/>
    <w:uiPriority w:val="99"/>
    <w:rPr>
      <w:rFonts w:cs="Times New Roman"/>
      <w:sz w:val="16"/>
      <w:szCs w:val="16"/>
    </w:rPr>
  </w:style>
  <w:style w:type="character" w:customStyle="1" w:styleId="69">
    <w:name w:val="标题 Char"/>
    <w:link w:val="33"/>
    <w:qFormat/>
    <w:locked/>
    <w:uiPriority w:val="99"/>
    <w:rPr>
      <w:rFonts w:ascii="Cambria" w:hAnsi="Cambria" w:cs="Times New Roman"/>
      <w:b/>
      <w:bCs/>
      <w:kern w:val="2"/>
      <w:sz w:val="32"/>
      <w:szCs w:val="32"/>
    </w:rPr>
  </w:style>
  <w:style w:type="paragraph" w:customStyle="1" w:styleId="70">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1">
    <w:name w:val="表中"/>
    <w:basedOn w:val="1"/>
    <w:qFormat/>
    <w:uiPriority w:val="99"/>
    <w:pPr>
      <w:adjustRightInd w:val="0"/>
      <w:snapToGrid w:val="0"/>
      <w:spacing w:line="420" w:lineRule="atLeast"/>
      <w:jc w:val="center"/>
      <w:textAlignment w:val="baseline"/>
    </w:pPr>
    <w:rPr>
      <w:kern w:val="0"/>
      <w:szCs w:val="20"/>
    </w:rPr>
  </w:style>
  <w:style w:type="paragraph" w:customStyle="1" w:styleId="72">
    <w:name w:val="样式1"/>
    <w:basedOn w:val="1"/>
    <w:qFormat/>
    <w:uiPriority w:val="99"/>
    <w:pPr>
      <w:tabs>
        <w:tab w:val="left" w:pos="360"/>
      </w:tabs>
    </w:pPr>
  </w:style>
  <w:style w:type="paragraph" w:customStyle="1" w:styleId="73">
    <w:name w:val="附件正文"/>
    <w:basedOn w:val="1"/>
    <w:qFormat/>
    <w:uiPriority w:val="99"/>
    <w:pPr>
      <w:snapToGrid w:val="0"/>
    </w:pPr>
    <w:rPr>
      <w:kern w:val="0"/>
      <w:sz w:val="24"/>
    </w:rPr>
  </w:style>
  <w:style w:type="paragraph" w:customStyle="1" w:styleId="74">
    <w:name w:val="列出段落1"/>
    <w:basedOn w:val="1"/>
    <w:qFormat/>
    <w:uiPriority w:val="99"/>
    <w:pPr>
      <w:ind w:firstLine="420" w:firstLineChars="200"/>
    </w:pPr>
  </w:style>
  <w:style w:type="paragraph" w:customStyle="1" w:styleId="75">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6">
    <w:name w:val="注"/>
    <w:basedOn w:val="1"/>
    <w:qFormat/>
    <w:uiPriority w:val="99"/>
    <w:pPr>
      <w:adjustRightInd w:val="0"/>
      <w:spacing w:line="420" w:lineRule="atLeast"/>
      <w:ind w:firstLine="340"/>
      <w:textAlignment w:val="baseline"/>
    </w:pPr>
    <w:rPr>
      <w:kern w:val="0"/>
      <w:sz w:val="18"/>
      <w:szCs w:val="20"/>
    </w:rPr>
  </w:style>
  <w:style w:type="paragraph" w:customStyle="1" w:styleId="77">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8">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9">
    <w:name w:val="标题4"/>
    <w:basedOn w:val="1"/>
    <w:qFormat/>
    <w:uiPriority w:val="99"/>
    <w:pPr>
      <w:spacing w:beforeLines="100" w:afterLines="100" w:line="360" w:lineRule="auto"/>
    </w:pPr>
    <w:rPr>
      <w:sz w:val="28"/>
    </w:rPr>
  </w:style>
  <w:style w:type="paragraph" w:customStyle="1" w:styleId="80">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1">
    <w:name w:val="列出段落2"/>
    <w:basedOn w:val="1"/>
    <w:qFormat/>
    <w:uiPriority w:val="99"/>
    <w:pPr>
      <w:ind w:firstLine="420" w:firstLineChars="200"/>
    </w:pPr>
    <w:rPr>
      <w:rFonts w:ascii="Calibri" w:hAnsi="Calibri"/>
      <w:szCs w:val="22"/>
    </w:rPr>
  </w:style>
  <w:style w:type="paragraph" w:customStyle="1" w:styleId="82">
    <w:name w:val="列出段落3"/>
    <w:basedOn w:val="1"/>
    <w:qFormat/>
    <w:uiPriority w:val="99"/>
    <w:pPr>
      <w:ind w:firstLine="420" w:firstLineChars="200"/>
    </w:pPr>
    <w:rPr>
      <w:rFonts w:ascii="Calibri" w:hAnsi="Calibri"/>
      <w:szCs w:val="22"/>
    </w:rPr>
  </w:style>
  <w:style w:type="paragraph" w:customStyle="1" w:styleId="83">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4">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5">
    <w:name w:val="font7"/>
    <w:basedOn w:val="1"/>
    <w:qFormat/>
    <w:uiPriority w:val="99"/>
    <w:pPr>
      <w:widowControl/>
      <w:spacing w:before="100" w:beforeAutospacing="1" w:after="100" w:afterAutospacing="1"/>
      <w:jc w:val="left"/>
    </w:pPr>
    <w:rPr>
      <w:kern w:val="0"/>
      <w:sz w:val="20"/>
      <w:szCs w:val="20"/>
    </w:rPr>
  </w:style>
  <w:style w:type="paragraph" w:customStyle="1" w:styleId="86">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7">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8">
    <w:name w:val="font10"/>
    <w:basedOn w:val="1"/>
    <w:qFormat/>
    <w:uiPriority w:val="99"/>
    <w:pPr>
      <w:widowControl/>
      <w:spacing w:before="100" w:beforeAutospacing="1" w:after="100" w:afterAutospacing="1"/>
      <w:jc w:val="left"/>
    </w:pPr>
    <w:rPr>
      <w:kern w:val="0"/>
      <w:szCs w:val="21"/>
    </w:rPr>
  </w:style>
  <w:style w:type="paragraph" w:customStyle="1" w:styleId="89">
    <w:name w:val="font11"/>
    <w:basedOn w:val="1"/>
    <w:qFormat/>
    <w:uiPriority w:val="99"/>
    <w:pPr>
      <w:widowControl/>
      <w:spacing w:before="100" w:beforeAutospacing="1" w:after="100" w:afterAutospacing="1"/>
      <w:jc w:val="left"/>
    </w:pPr>
    <w:rPr>
      <w:kern w:val="0"/>
      <w:sz w:val="22"/>
      <w:szCs w:val="22"/>
    </w:rPr>
  </w:style>
  <w:style w:type="paragraph" w:customStyle="1" w:styleId="90">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1">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2">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3">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4">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5">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6">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0">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1">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2">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3">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4">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6">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7">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8">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9">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0">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1">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3">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4">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5">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6">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8">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9">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0">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4">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5">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7">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8">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0">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1">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3">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5">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7">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8">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5">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7">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9">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0">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4">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5">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3">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4">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5">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6">
    <w:name w:val="Char Char Char"/>
    <w:qFormat/>
    <w:uiPriority w:val="99"/>
    <w:rPr>
      <w:rFonts w:ascii="Arial" w:hAnsi="Arial" w:eastAsia="宋体" w:cs="Times New Roman"/>
      <w:b/>
      <w:bCs/>
      <w:kern w:val="2"/>
      <w:sz w:val="32"/>
      <w:szCs w:val="32"/>
      <w:lang w:val="en-US" w:eastAsia="zh-CN" w:bidi="ar-SA"/>
    </w:rPr>
  </w:style>
  <w:style w:type="character" w:customStyle="1" w:styleId="177">
    <w:name w:val="Char Char1"/>
    <w:qFormat/>
    <w:uiPriority w:val="99"/>
    <w:rPr>
      <w:rFonts w:eastAsia="宋体" w:cs="Times New Roman"/>
      <w:b/>
      <w:bCs/>
      <w:kern w:val="44"/>
      <w:sz w:val="44"/>
      <w:szCs w:val="44"/>
      <w:lang w:val="en-US" w:eastAsia="zh-CN" w:bidi="ar-SA"/>
    </w:rPr>
  </w:style>
  <w:style w:type="character" w:customStyle="1" w:styleId="178">
    <w:name w:val="标题 2 Char Char"/>
    <w:qFormat/>
    <w:uiPriority w:val="99"/>
    <w:rPr>
      <w:rFonts w:ascii="Arial" w:hAnsi="Arial" w:eastAsia="宋体" w:cs="Times New Roman"/>
      <w:b/>
      <w:bCs/>
      <w:kern w:val="2"/>
      <w:sz w:val="32"/>
      <w:szCs w:val="32"/>
      <w:lang w:val="en-US" w:eastAsia="zh-CN" w:bidi="ar-SA"/>
    </w:rPr>
  </w:style>
  <w:style w:type="character" w:customStyle="1" w:styleId="179">
    <w:name w:val="unnamed11"/>
    <w:qFormat/>
    <w:uiPriority w:val="99"/>
    <w:rPr>
      <w:rFonts w:cs="Times New Roman"/>
      <w:sz w:val="18"/>
      <w:szCs w:val="18"/>
    </w:rPr>
  </w:style>
  <w:style w:type="character" w:customStyle="1" w:styleId="180">
    <w:name w:val="页码1"/>
    <w:qFormat/>
    <w:uiPriority w:val="99"/>
    <w:rPr>
      <w:rFonts w:cs="Times New Roman"/>
    </w:rPr>
  </w:style>
  <w:style w:type="character" w:customStyle="1" w:styleId="181">
    <w:name w:val="font131"/>
    <w:qFormat/>
    <w:uiPriority w:val="99"/>
    <w:rPr>
      <w:rFonts w:ascii="宋体" w:hAnsi="宋体" w:eastAsia="宋体" w:cs="宋体"/>
      <w:color w:val="000000"/>
      <w:sz w:val="22"/>
      <w:szCs w:val="22"/>
      <w:u w:val="none"/>
    </w:rPr>
  </w:style>
  <w:style w:type="character" w:customStyle="1" w:styleId="182">
    <w:name w:val="font81"/>
    <w:qFormat/>
    <w:uiPriority w:val="99"/>
    <w:rPr>
      <w:rFonts w:ascii="Arial" w:hAnsi="Arial" w:cs="Arial"/>
      <w:color w:val="000000"/>
      <w:sz w:val="22"/>
      <w:szCs w:val="22"/>
      <w:u w:val="none"/>
    </w:rPr>
  </w:style>
  <w:style w:type="character" w:customStyle="1" w:styleId="183">
    <w:name w:val="font91"/>
    <w:qFormat/>
    <w:uiPriority w:val="99"/>
    <w:rPr>
      <w:rFonts w:ascii="宋体" w:hAnsi="宋体" w:eastAsia="宋体" w:cs="宋体"/>
      <w:color w:val="000000"/>
      <w:sz w:val="14"/>
      <w:szCs w:val="14"/>
      <w:u w:val="none"/>
    </w:rPr>
  </w:style>
  <w:style w:type="character" w:customStyle="1" w:styleId="184">
    <w:name w:val="font61"/>
    <w:qFormat/>
    <w:uiPriority w:val="99"/>
    <w:rPr>
      <w:rFonts w:ascii="宋体" w:hAnsi="宋体" w:eastAsia="宋体" w:cs="宋体"/>
      <w:color w:val="000000"/>
      <w:sz w:val="20"/>
      <w:szCs w:val="20"/>
      <w:u w:val="none"/>
    </w:rPr>
  </w:style>
  <w:style w:type="character" w:customStyle="1" w:styleId="185">
    <w:name w:val="font21"/>
    <w:qFormat/>
    <w:uiPriority w:val="99"/>
    <w:rPr>
      <w:rFonts w:ascii="宋体" w:hAnsi="宋体" w:eastAsia="宋体" w:cs="宋体"/>
      <w:color w:val="000000"/>
      <w:sz w:val="16"/>
      <w:szCs w:val="16"/>
      <w:u w:val="none"/>
    </w:rPr>
  </w:style>
  <w:style w:type="character" w:customStyle="1" w:styleId="186">
    <w:name w:val="font31"/>
    <w:qFormat/>
    <w:uiPriority w:val="99"/>
    <w:rPr>
      <w:rFonts w:ascii="Arial" w:hAnsi="Arial" w:cs="Arial"/>
      <w:b/>
      <w:color w:val="000000"/>
      <w:sz w:val="22"/>
      <w:szCs w:val="22"/>
      <w:u w:val="none"/>
    </w:rPr>
  </w:style>
  <w:style w:type="character" w:customStyle="1" w:styleId="187">
    <w:name w:val="font111"/>
    <w:qFormat/>
    <w:uiPriority w:val="99"/>
    <w:rPr>
      <w:rFonts w:ascii="宋体" w:hAnsi="宋体" w:eastAsia="宋体" w:cs="宋体"/>
      <w:b/>
      <w:color w:val="000000"/>
      <w:sz w:val="22"/>
      <w:szCs w:val="22"/>
      <w:u w:val="none"/>
    </w:rPr>
  </w:style>
  <w:style w:type="character" w:customStyle="1" w:styleId="188">
    <w:name w:val="font51"/>
    <w:qFormat/>
    <w:uiPriority w:val="99"/>
    <w:rPr>
      <w:rFonts w:ascii="Arial" w:hAnsi="Arial" w:cs="Arial"/>
      <w:b/>
      <w:color w:val="000000"/>
      <w:sz w:val="20"/>
      <w:szCs w:val="20"/>
      <w:u w:val="none"/>
    </w:rPr>
  </w:style>
  <w:style w:type="character" w:customStyle="1" w:styleId="189">
    <w:name w:val="font101"/>
    <w:qFormat/>
    <w:uiPriority w:val="99"/>
    <w:rPr>
      <w:rFonts w:ascii="宋体" w:hAnsi="宋体" w:eastAsia="宋体" w:cs="宋体"/>
      <w:b/>
      <w:color w:val="000000"/>
      <w:sz w:val="20"/>
      <w:szCs w:val="20"/>
      <w:u w:val="none"/>
    </w:rPr>
  </w:style>
  <w:style w:type="character" w:customStyle="1" w:styleId="190">
    <w:name w:val="font01"/>
    <w:qFormat/>
    <w:uiPriority w:val="99"/>
    <w:rPr>
      <w:rFonts w:ascii="Arial" w:hAnsi="Arial" w:cs="Arial"/>
      <w:color w:val="000000"/>
      <w:sz w:val="20"/>
      <w:szCs w:val="20"/>
      <w:u w:val="none"/>
    </w:rPr>
  </w:style>
  <w:style w:type="character" w:customStyle="1" w:styleId="191">
    <w:name w:val="font41"/>
    <w:qFormat/>
    <w:uiPriority w:val="99"/>
    <w:rPr>
      <w:rFonts w:ascii="微软雅黑" w:hAnsi="微软雅黑" w:eastAsia="微软雅黑" w:cs="微软雅黑"/>
      <w:color w:val="000000"/>
      <w:sz w:val="20"/>
      <w:szCs w:val="20"/>
      <w:u w:val="none"/>
    </w:rPr>
  </w:style>
  <w:style w:type="character" w:customStyle="1" w:styleId="192">
    <w:name w:val="font121"/>
    <w:qFormat/>
    <w:uiPriority w:val="99"/>
    <w:rPr>
      <w:rFonts w:ascii="宋体" w:hAnsi="宋体" w:eastAsia="宋体" w:cs="宋体"/>
      <w:color w:val="000000"/>
      <w:sz w:val="22"/>
      <w:szCs w:val="22"/>
      <w:u w:val="none"/>
    </w:rPr>
  </w:style>
  <w:style w:type="character" w:customStyle="1" w:styleId="193">
    <w:name w:val="font151"/>
    <w:qFormat/>
    <w:uiPriority w:val="99"/>
    <w:rPr>
      <w:rFonts w:ascii="Calibri" w:hAnsi="Calibri" w:cs="Calibri"/>
      <w:color w:val="000000"/>
      <w:sz w:val="20"/>
      <w:szCs w:val="20"/>
      <w:u w:val="none"/>
    </w:rPr>
  </w:style>
  <w:style w:type="character" w:customStyle="1" w:styleId="194">
    <w:name w:val="font141"/>
    <w:qFormat/>
    <w:uiPriority w:val="99"/>
    <w:rPr>
      <w:rFonts w:ascii="Calibri" w:hAnsi="Calibri" w:cs="Calibri"/>
      <w:color w:val="000000"/>
      <w:sz w:val="21"/>
      <w:szCs w:val="21"/>
      <w:u w:val="none"/>
    </w:rPr>
  </w:style>
  <w:style w:type="character" w:customStyle="1" w:styleId="195">
    <w:name w:val="font71"/>
    <w:qFormat/>
    <w:uiPriority w:val="99"/>
    <w:rPr>
      <w:rFonts w:ascii="宋体" w:hAnsi="宋体" w:eastAsia="宋体" w:cs="宋体"/>
      <w:color w:val="000000"/>
      <w:sz w:val="18"/>
      <w:szCs w:val="18"/>
      <w:u w:val="none"/>
    </w:rPr>
  </w:style>
  <w:style w:type="character" w:customStyle="1" w:styleId="196">
    <w:name w:val="l-btn-empty"/>
    <w:basedOn w:val="37"/>
    <w:qFormat/>
    <w:uiPriority w:val="0"/>
  </w:style>
  <w:style w:type="character" w:customStyle="1" w:styleId="197">
    <w:name w:val="l-btn-left2"/>
    <w:basedOn w:val="37"/>
    <w:qFormat/>
    <w:uiPriority w:val="0"/>
  </w:style>
  <w:style w:type="character" w:customStyle="1" w:styleId="198">
    <w:name w:val="l-btn-left3"/>
    <w:basedOn w:val="37"/>
    <w:qFormat/>
    <w:uiPriority w:val="0"/>
  </w:style>
  <w:style w:type="character" w:customStyle="1" w:styleId="199">
    <w:name w:val="l-btn-left4"/>
    <w:basedOn w:val="37"/>
    <w:qFormat/>
    <w:uiPriority w:val="0"/>
  </w:style>
  <w:style w:type="character" w:customStyle="1" w:styleId="200">
    <w:name w:val="l-btn-left5"/>
    <w:basedOn w:val="37"/>
    <w:qFormat/>
    <w:uiPriority w:val="0"/>
  </w:style>
  <w:style w:type="character" w:customStyle="1" w:styleId="201">
    <w:name w:val="l-btn-text"/>
    <w:basedOn w:val="37"/>
    <w:qFormat/>
    <w:uiPriority w:val="0"/>
  </w:style>
  <w:style w:type="character" w:customStyle="1" w:styleId="202">
    <w:name w:val="l-selected2"/>
    <w:qFormat/>
    <w:uiPriority w:val="0"/>
    <w:rPr>
      <w:color w:val="355686"/>
      <w:bdr w:val="single" w:color="DAB364" w:sz="6" w:space="0"/>
      <w:shd w:val="clear" w:color="auto" w:fill="FFFFFF"/>
    </w:rPr>
  </w:style>
  <w:style w:type="character" w:customStyle="1" w:styleId="203">
    <w:name w:val="l-open"/>
    <w:basedOn w:val="37"/>
    <w:qFormat/>
    <w:uiPriority w:val="0"/>
  </w:style>
  <w:style w:type="character" w:customStyle="1" w:styleId="204">
    <w:name w:val="l-over"/>
    <w:qFormat/>
    <w:uiPriority w:val="0"/>
    <w:rPr>
      <w:bdr w:val="single" w:color="DAB364" w:sz="6" w:space="0"/>
    </w:rPr>
  </w:style>
  <w:style w:type="character" w:customStyle="1" w:styleId="205">
    <w:name w:val="l-selected"/>
    <w:qFormat/>
    <w:uiPriority w:val="0"/>
    <w:rPr>
      <w:color w:val="355686"/>
      <w:bdr w:val="single" w:color="DAB364" w:sz="6" w:space="0"/>
      <w:shd w:val="clear" w:color="auto" w:fill="FFFFFF"/>
    </w:rPr>
  </w:style>
  <w:style w:type="character" w:customStyle="1" w:styleId="206">
    <w:name w:val="l-btn-left"/>
    <w:basedOn w:val="37"/>
    <w:qFormat/>
    <w:uiPriority w:val="0"/>
  </w:style>
  <w:style w:type="character" w:customStyle="1" w:styleId="207">
    <w:name w:val="l-btn-left1"/>
    <w:basedOn w:val="37"/>
    <w:qFormat/>
    <w:uiPriority w:val="0"/>
  </w:style>
  <w:style w:type="paragraph" w:customStyle="1" w:styleId="208">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9">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0">
    <w:name w:val="样式3"/>
    <w:basedOn w:val="19"/>
    <w:qFormat/>
    <w:uiPriority w:val="0"/>
    <w:pPr>
      <w:spacing w:line="0" w:lineRule="atLeast"/>
      <w:outlineLvl w:val="0"/>
    </w:pPr>
    <w:rPr>
      <w:rFonts w:ascii="Times New Roman" w:hAnsi="Times New Roman"/>
      <w:sz w:val="28"/>
    </w:rPr>
  </w:style>
  <w:style w:type="paragraph" w:customStyle="1" w:styleId="211">
    <w:name w:val="列出段落4"/>
    <w:basedOn w:val="1"/>
    <w:qFormat/>
    <w:uiPriority w:val="34"/>
    <w:pPr>
      <w:ind w:firstLine="420" w:firstLineChars="200"/>
    </w:pPr>
  </w:style>
  <w:style w:type="character" w:customStyle="1" w:styleId="212">
    <w:name w:val="tcolor4"/>
    <w:qFormat/>
    <w:uiPriority w:val="0"/>
    <w:rPr>
      <w:rFonts w:ascii="lucida grande" w:hAnsi="lucida grande" w:eastAsia="lucida grande" w:cs="lucida grande"/>
      <w:color w:val="7F7F7F"/>
      <w:sz w:val="18"/>
      <w:szCs w:val="18"/>
    </w:rPr>
  </w:style>
  <w:style w:type="character" w:customStyle="1" w:styleId="213">
    <w:name w:val="apple-style-span"/>
    <w:qFormat/>
    <w:uiPriority w:val="0"/>
    <w:rPr>
      <w:rFonts w:cs="Times New Roman"/>
    </w:rPr>
  </w:style>
  <w:style w:type="paragraph" w:customStyle="1" w:styleId="214">
    <w:name w:val="_Style 1"/>
    <w:basedOn w:val="1"/>
    <w:qFormat/>
    <w:uiPriority w:val="0"/>
    <w:pPr>
      <w:ind w:firstLine="420" w:firstLineChars="200"/>
    </w:pPr>
    <w:rPr>
      <w:szCs w:val="22"/>
    </w:rPr>
  </w:style>
  <w:style w:type="character" w:customStyle="1" w:styleId="215">
    <w:name w:val="fontstyle21"/>
    <w:qFormat/>
    <w:uiPriority w:val="0"/>
    <w:rPr>
      <w:rFonts w:ascii="TimesNewRomanPSMT" w:hAnsi="TimesNewRomanPSMT" w:eastAsia="TimesNewRomanPSMT" w:cs="TimesNewRomanPSMT"/>
      <w:color w:val="000000"/>
      <w:sz w:val="18"/>
      <w:szCs w:val="18"/>
    </w:rPr>
  </w:style>
  <w:style w:type="character" w:customStyle="1" w:styleId="216">
    <w:name w:val="fontstyle01"/>
    <w:qFormat/>
    <w:uiPriority w:val="0"/>
    <w:rPr>
      <w:rFonts w:hint="eastAsia" w:ascii="宋体" w:hAnsi="宋体" w:eastAsia="宋体" w:cs="宋体"/>
      <w:color w:val="000000"/>
      <w:sz w:val="24"/>
      <w:szCs w:val="24"/>
    </w:rPr>
  </w:style>
  <w:style w:type="paragraph" w:customStyle="1" w:styleId="217">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8">
    <w:name w:val="标准段落正文"/>
    <w:basedOn w:val="219"/>
    <w:qFormat/>
    <w:uiPriority w:val="0"/>
    <w:pPr>
      <w:spacing w:beforeLines="0" w:afterLines="0"/>
      <w:ind w:left="0" w:leftChars="0" w:firstLine="480" w:firstLineChars="200"/>
      <w:jc w:val="left"/>
    </w:pPr>
    <w:rPr>
      <w:rFonts w:eastAsia="宋体"/>
    </w:rPr>
  </w:style>
  <w:style w:type="paragraph" w:customStyle="1" w:styleId="219">
    <w:name w:val="单括号小标题"/>
    <w:basedOn w:val="1"/>
    <w:qFormat/>
    <w:uiPriority w:val="0"/>
    <w:pPr>
      <w:spacing w:beforeLines="50" w:afterLines="100" w:line="360" w:lineRule="auto"/>
      <w:ind w:left="200" w:leftChars="200"/>
    </w:pPr>
    <w:rPr>
      <w:rFonts w:eastAsia="黑体"/>
      <w:sz w:val="24"/>
    </w:rPr>
  </w:style>
  <w:style w:type="paragraph" w:styleId="220">
    <w:name w:val="List Paragraph"/>
    <w:basedOn w:val="1"/>
    <w:qFormat/>
    <w:uiPriority w:val="34"/>
    <w:pPr>
      <w:ind w:firstLine="420" w:firstLineChars="200"/>
    </w:pPr>
  </w:style>
  <w:style w:type="paragraph" w:customStyle="1" w:styleId="221">
    <w:name w:val="Table Paragraph"/>
    <w:basedOn w:val="1"/>
    <w:qFormat/>
    <w:uiPriority w:val="1"/>
    <w:rPr>
      <w:rFonts w:ascii="宋体" w:hAnsi="宋体" w:cs="宋体"/>
    </w:rPr>
  </w:style>
  <w:style w:type="paragraph" w:customStyle="1" w:styleId="222">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3">
    <w:name w:val="add"/>
    <w:basedOn w:val="37"/>
    <w:qFormat/>
    <w:uiPriority w:val="0"/>
  </w:style>
  <w:style w:type="character" w:customStyle="1" w:styleId="224">
    <w:name w:val="hover9"/>
    <w:basedOn w:val="37"/>
    <w:qFormat/>
    <w:uiPriority w:val="0"/>
    <w:rPr>
      <w:color w:val="FF0000"/>
    </w:rPr>
  </w:style>
  <w:style w:type="character" w:customStyle="1" w:styleId="225">
    <w:name w:val="orange"/>
    <w:basedOn w:val="37"/>
    <w:qFormat/>
    <w:uiPriority w:val="0"/>
    <w:rPr>
      <w:color w:val="FF851A"/>
    </w:rPr>
  </w:style>
  <w:style w:type="character" w:customStyle="1" w:styleId="226">
    <w:name w:val="tradclose"/>
    <w:basedOn w:val="37"/>
    <w:qFormat/>
    <w:uiPriority w:val="0"/>
    <w:rPr>
      <w:sz w:val="30"/>
      <w:szCs w:val="30"/>
    </w:rPr>
  </w:style>
  <w:style w:type="character" w:customStyle="1" w:styleId="227">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4.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4</TotalTime>
  <ScaleCrop>false</ScaleCrop>
  <LinksUpToDate>false</LinksUpToDate>
  <CharactersWithSpaces>36057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Administrator</cp:lastModifiedBy>
  <cp:lastPrinted>2020-04-26T03:24:00Z</cp:lastPrinted>
  <dcterms:modified xsi:type="dcterms:W3CDTF">2020-05-11T01:53:49Z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