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color w:val="auto"/>
          <w:kern w:val="0"/>
          <w:sz w:val="72"/>
          <w:szCs w:val="72"/>
        </w:rPr>
      </w:pPr>
      <w:r>
        <w:rPr>
          <w:rFonts w:hint="eastAsia" w:ascii="宋体" w:hAnsi="宋体" w:cs="宋体"/>
          <w:b/>
          <w:bCs w:val="0"/>
          <w:color w:val="auto"/>
          <w:kern w:val="0"/>
          <w:sz w:val="72"/>
          <w:szCs w:val="72"/>
        </w:rPr>
        <w:t>甘肃省</w:t>
      </w:r>
      <w:r>
        <w:rPr>
          <w:rFonts w:hint="eastAsia" w:ascii="宋体" w:hAnsi="宋体" w:cs="宋体"/>
          <w:b/>
          <w:bCs w:val="0"/>
          <w:color w:val="auto"/>
          <w:kern w:val="0"/>
          <w:sz w:val="72"/>
          <w:szCs w:val="72"/>
          <w:lang w:eastAsia="zh-CN"/>
        </w:rPr>
        <w:t>第二人民医院</w:t>
      </w:r>
      <w:r>
        <w:rPr>
          <w:rFonts w:hint="eastAsia" w:ascii="宋体" w:hAnsi="宋体" w:cs="宋体"/>
          <w:b/>
          <w:bCs w:val="0"/>
          <w:color w:val="auto"/>
          <w:kern w:val="0"/>
          <w:sz w:val="72"/>
          <w:szCs w:val="72"/>
          <w:lang w:val="en-US" w:eastAsia="zh-CN"/>
        </w:rPr>
        <w:t>法律顾问服务采购</w:t>
      </w:r>
      <w:r>
        <w:rPr>
          <w:rFonts w:hint="eastAsia" w:ascii="宋体" w:hAnsi="宋体" w:cs="宋体"/>
          <w:b/>
          <w:bCs w:val="0"/>
          <w:color w:val="auto"/>
          <w:kern w:val="0"/>
          <w:sz w:val="72"/>
          <w:szCs w:val="72"/>
        </w:rPr>
        <w:t>项目</w:t>
      </w:r>
    </w:p>
    <w:p>
      <w:pPr>
        <w:spacing w:line="360" w:lineRule="auto"/>
        <w:rPr>
          <w:rFonts w:ascii="宋体" w:hAnsi="宋体" w:cs="宋体"/>
          <w:b/>
          <w:color w:val="auto"/>
          <w:kern w:val="0"/>
          <w:sz w:val="52"/>
          <w:szCs w:val="52"/>
        </w:rPr>
      </w:pPr>
    </w:p>
    <w:p>
      <w:pPr>
        <w:pStyle w:val="28"/>
        <w:rPr>
          <w:rFonts w:ascii="宋体" w:hAnsi="宋体" w:cs="宋体"/>
          <w:b/>
          <w:color w:val="auto"/>
          <w:kern w:val="0"/>
          <w:sz w:val="52"/>
          <w:szCs w:val="52"/>
        </w:rPr>
      </w:pPr>
    </w:p>
    <w:p>
      <w:pPr>
        <w:rPr>
          <w:color w:val="auto"/>
        </w:rPr>
      </w:pPr>
    </w:p>
    <w:p>
      <w:pPr>
        <w:spacing w:line="360" w:lineRule="auto"/>
        <w:rPr>
          <w:rFonts w:ascii="宋体" w:hAnsi="宋体" w:cs="宋体"/>
          <w:b/>
          <w:color w:val="auto"/>
          <w:kern w:val="0"/>
          <w:sz w:val="52"/>
          <w:szCs w:val="52"/>
        </w:rPr>
      </w:pPr>
    </w:p>
    <w:p>
      <w:pPr>
        <w:spacing w:line="360" w:lineRule="auto"/>
        <w:jc w:val="center"/>
        <w:rPr>
          <w:rFonts w:ascii="宋体" w:hAnsi="宋体" w:cs="宋体"/>
          <w:b/>
          <w:color w:val="auto"/>
          <w:sz w:val="30"/>
          <w:szCs w:val="30"/>
        </w:rPr>
      </w:pPr>
      <w:r>
        <w:rPr>
          <w:rFonts w:hint="eastAsia" w:ascii="宋体" w:hAnsi="宋体" w:cs="宋体"/>
          <w:b/>
          <w:color w:val="auto"/>
          <w:sz w:val="72"/>
        </w:rPr>
        <w:t>招标文件</w:t>
      </w:r>
    </w:p>
    <w:p>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宋体" w:hAnsi="宋体" w:cs="宋体"/>
          <w:b/>
          <w:color w:val="auto"/>
          <w:sz w:val="30"/>
          <w:szCs w:val="30"/>
          <w:lang w:val="en-US" w:eastAsia="zh-CN"/>
        </w:rPr>
        <w:t>SEY-2020YNCG-079</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color w:val="auto"/>
          <w:sz w:val="30"/>
          <w:szCs w:val="30"/>
        </w:rPr>
        <w:t>：</w:t>
      </w:r>
      <w:r>
        <w:rPr>
          <w:rFonts w:hint="eastAsia" w:ascii="宋体" w:hAnsi="宋体" w:cs="宋体"/>
          <w:b/>
          <w:color w:val="auto"/>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六</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729"/>
      <w:bookmarkStart w:id="3" w:name="_Toc139965325"/>
      <w:bookmarkStart w:id="4" w:name="_Toc128372051"/>
      <w:bookmarkStart w:id="5" w:name="_Toc327439434"/>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color w:val="auto"/>
          <w:sz w:val="24"/>
        </w:rPr>
      </w:pPr>
      <w:r>
        <w:rPr>
          <w:rFonts w:hint="eastAsia" w:ascii="宋体" w:hAnsi="宋体" w:cs="宋体"/>
          <w:sz w:val="24"/>
          <w:lang w:eastAsia="zh-CN"/>
        </w:rPr>
        <w:t>根据相关科室需求，经院主管</w:t>
      </w:r>
      <w:r>
        <w:rPr>
          <w:rFonts w:hint="eastAsia" w:ascii="宋体" w:hAnsi="宋体" w:cs="宋体"/>
          <w:color w:val="auto"/>
          <w:sz w:val="24"/>
          <w:lang w:eastAsia="zh-CN"/>
        </w:rPr>
        <w:t>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w:t>
      </w:r>
      <w:r>
        <w:rPr>
          <w:rFonts w:hint="eastAsia" w:ascii="宋体" w:hAnsi="宋体" w:cs="宋体"/>
          <w:bCs/>
          <w:color w:val="auto"/>
          <w:sz w:val="24"/>
          <w:lang w:val="en-US" w:eastAsia="zh-CN"/>
        </w:rPr>
        <w:t>法律顾问服务</w:t>
      </w:r>
      <w:r>
        <w:rPr>
          <w:rFonts w:hint="eastAsia" w:ascii="宋体" w:hAnsi="宋体" w:cs="宋体"/>
          <w:bCs/>
          <w:color w:val="auto"/>
          <w:sz w:val="24"/>
        </w:rPr>
        <w:t>项目</w:t>
      </w:r>
      <w:r>
        <w:rPr>
          <w:rFonts w:hint="eastAsia" w:ascii="宋体" w:hAnsi="宋体" w:cs="宋体"/>
          <w:color w:val="auto"/>
          <w:sz w:val="24"/>
        </w:rPr>
        <w:t>以公开招标形式进行采购，欢迎符合资格条件的投标人前来参加。</w:t>
      </w:r>
    </w:p>
    <w:p>
      <w:pPr>
        <w:spacing w:line="360" w:lineRule="auto"/>
        <w:rPr>
          <w:rFonts w:hint="eastAsia"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SEY-2020YNCG-079</w:t>
      </w:r>
    </w:p>
    <w:p>
      <w:pPr>
        <w:pStyle w:val="19"/>
        <w:keepNext w:val="0"/>
        <w:keepLines w:val="0"/>
        <w:pageBreakBefore w:val="0"/>
        <w:kinsoku/>
        <w:wordWrap/>
        <w:overflowPunct/>
        <w:topLinePunct w:val="0"/>
        <w:autoSpaceDE/>
        <w:autoSpaceDN/>
        <w:bidi w:val="0"/>
        <w:spacing w:before="0" w:beforeAutospacing="0" w:line="420" w:lineRule="exact"/>
        <w:rPr>
          <w:rFonts w:ascii="宋体" w:hAnsi="宋体" w:cs="宋体"/>
          <w:color w:val="auto"/>
          <w:sz w:val="24"/>
        </w:rPr>
      </w:pPr>
      <w:r>
        <w:rPr>
          <w:rFonts w:hint="eastAsia" w:ascii="宋体" w:hAnsi="宋体" w:cs="宋体"/>
          <w:b/>
          <w:bCs/>
          <w:color w:val="auto"/>
          <w:sz w:val="24"/>
        </w:rPr>
        <w:t>2.招标内容：</w:t>
      </w:r>
      <w:r>
        <w:rPr>
          <w:rFonts w:hint="eastAsia" w:ascii="Times New Roman" w:hAnsi="Times New Roman" w:cs="Times New Roman"/>
          <w:color w:val="auto"/>
          <w:sz w:val="24"/>
          <w:szCs w:val="24"/>
          <w:highlight w:val="none"/>
          <w:lang w:eastAsia="zh-CN"/>
        </w:rPr>
        <w:t>法律顾问服务</w:t>
      </w:r>
      <w:r>
        <w:rPr>
          <w:rFonts w:hint="eastAsia" w:ascii="Times New Roman" w:hAnsi="Times New Roman" w:eastAsia="宋体" w:cs="Times New Roman"/>
          <w:color w:val="auto"/>
          <w:sz w:val="24"/>
          <w:lang w:eastAsia="zh-CN"/>
        </w:rPr>
        <w:t>。</w:t>
      </w:r>
      <w:r>
        <w:rPr>
          <w:rFonts w:hint="eastAsia" w:ascii="宋体" w:hAnsi="宋体" w:cs="宋体"/>
          <w:color w:val="auto"/>
          <w:sz w:val="24"/>
        </w:rPr>
        <w:t>(本项目共一个包，具体招标要求详见招标文件)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2）投标人须具有律师事务所执业许可证（复印件加盖公章）；</w:t>
      </w:r>
    </w:p>
    <w:p>
      <w:pPr>
        <w:spacing w:line="360" w:lineRule="auto"/>
        <w:ind w:firstLine="480" w:firstLineChars="200"/>
        <w:rPr>
          <w:rFonts w:ascii="宋体" w:hAnsi="宋体" w:cs="宋体"/>
          <w:color w:val="auto"/>
          <w:sz w:val="24"/>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rPr>
        <w:t>本项目不接受联合体投标。</w:t>
      </w:r>
    </w:p>
    <w:p>
      <w:pPr>
        <w:spacing w:line="360" w:lineRule="auto"/>
        <w:rPr>
          <w:rFonts w:hint="eastAsia" w:ascii="宋体" w:hAnsi="宋体" w:eastAsia="宋体" w:cs="宋体"/>
          <w:color w:val="auto"/>
          <w:sz w:val="24"/>
          <w:lang w:val="en-US"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r>
        <w:rPr>
          <w:rFonts w:hint="eastAsia" w:ascii="宋体" w:hAnsi="宋体" w:cs="宋体"/>
          <w:b/>
          <w:bCs/>
          <w:color w:val="auto"/>
          <w:sz w:val="24"/>
          <w:lang w:val="en-US" w:eastAsia="zh-CN"/>
        </w:rPr>
        <w:t>/</w:t>
      </w:r>
    </w:p>
    <w:p>
      <w:pPr>
        <w:pStyle w:val="28"/>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6</w:t>
      </w:r>
      <w:r>
        <w:rPr>
          <w:rFonts w:hint="eastAsia" w:ascii="宋体" w:hAnsi="宋体" w:cs="宋体"/>
          <w:color w:val="auto"/>
          <w:kern w:val="0"/>
          <w:sz w:val="24"/>
        </w:rPr>
        <w:t>月</w:t>
      </w:r>
      <w:r>
        <w:rPr>
          <w:rFonts w:hint="eastAsia" w:ascii="宋体" w:hAnsi="宋体" w:cs="宋体"/>
          <w:color w:val="auto"/>
          <w:kern w:val="0"/>
          <w:sz w:val="24"/>
          <w:lang w:val="en-US" w:eastAsia="zh-CN"/>
        </w:rPr>
        <w:t>24</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1</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6</w:t>
      </w:r>
      <w:r>
        <w:rPr>
          <w:rFonts w:hint="eastAsia" w:ascii="宋体" w:hAnsi="宋体" w:cs="宋体"/>
          <w:color w:val="auto"/>
          <w:kern w:val="0"/>
          <w:sz w:val="24"/>
        </w:rPr>
        <w:t>月</w:t>
      </w:r>
      <w:r>
        <w:rPr>
          <w:rFonts w:hint="eastAsia" w:ascii="宋体" w:hAnsi="宋体" w:cs="宋体"/>
          <w:color w:val="auto"/>
          <w:kern w:val="0"/>
          <w:sz w:val="24"/>
          <w:lang w:val="en-US" w:eastAsia="zh-CN"/>
        </w:rPr>
        <w:t>24</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1</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，到兰州市城关区和政西街1号甘肃省第二人民医院行政办公楼217登记报名，需提供</w:t>
      </w:r>
      <w:r>
        <w:rPr>
          <w:rFonts w:hint="eastAsia" w:ascii="宋体" w:hAnsi="宋体" w:cs="宋体"/>
          <w:b w:val="0"/>
          <w:bCs w:val="0"/>
          <w:color w:val="auto"/>
          <w:kern w:val="0"/>
          <w:sz w:val="24"/>
          <w:szCs w:val="22"/>
          <w:lang w:val="en-US" w:eastAsia="zh-CN"/>
        </w:rPr>
        <w:t>3中投标人资质要求的相关</w:t>
      </w:r>
      <w:r>
        <w:rPr>
          <w:rFonts w:hint="eastAsia" w:ascii="宋体" w:hAnsi="宋体" w:cs="宋体"/>
          <w:b w:val="0"/>
          <w:bCs w:val="0"/>
          <w:color w:val="auto"/>
          <w:kern w:val="0"/>
          <w:sz w:val="24"/>
          <w:szCs w:val="22"/>
          <w:lang w:eastAsia="zh-CN"/>
        </w:rPr>
        <w:t>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7</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9</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下午15:00</w:t>
      </w:r>
      <w:r>
        <w:rPr>
          <w:rFonts w:hint="eastAsia" w:ascii="宋体" w:hAnsi="宋体" w:cs="宋体"/>
          <w:color w:val="auto"/>
          <w:kern w:val="0"/>
          <w:sz w:val="24"/>
          <w:szCs w:val="22"/>
        </w:rPr>
        <w:t>（北京时间）</w:t>
      </w:r>
    </w:p>
    <w:p>
      <w:pPr>
        <w:spacing w:line="360" w:lineRule="auto"/>
        <w:rPr>
          <w:rFonts w:hint="eastAsia" w:ascii="宋体" w:hAnsi="宋体" w:eastAsia="宋体" w:cs="宋体"/>
          <w:color w:val="auto"/>
          <w:kern w:val="0"/>
          <w:sz w:val="24"/>
          <w:szCs w:val="22"/>
          <w:lang w:eastAsia="zh-CN"/>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lang w:eastAsia="zh-CN"/>
        </w:rPr>
        <w:t>甘肃省第二人民医院1号楼10楼会议室</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p>
      <w:pPr>
        <w:spacing w:line="360" w:lineRule="auto"/>
        <w:jc w:val="center"/>
        <w:rPr>
          <w:rFonts w:hint="eastAsia"/>
          <w:b/>
          <w:bCs/>
        </w:rPr>
      </w:pPr>
      <w:bookmarkStart w:id="7" w:name="_Toc40"/>
      <w:r>
        <w:rPr>
          <w:rFonts w:hint="eastAsia" w:ascii="宋体" w:hAnsi="宋体" w:cs="宋体"/>
          <w:b/>
          <w:bCs/>
          <w:sz w:val="32"/>
          <w:szCs w:val="32"/>
        </w:rPr>
        <w:t>第二章</w:t>
      </w:r>
      <w:r>
        <w:rPr>
          <w:rFonts w:hint="eastAsia" w:ascii="宋体" w:hAnsi="宋体" w:cs="宋体"/>
          <w:b/>
          <w:bCs/>
          <w:sz w:val="32"/>
          <w:szCs w:val="32"/>
          <w:lang w:val="en-US" w:eastAsia="zh-CN"/>
        </w:rPr>
        <w:t xml:space="preserve">  </w:t>
      </w:r>
      <w:r>
        <w:rPr>
          <w:rFonts w:hint="eastAsia" w:ascii="宋体" w:hAnsi="宋体" w:cs="宋体"/>
          <w:b/>
          <w:bCs/>
          <w:sz w:val="32"/>
          <w:szCs w:val="32"/>
        </w:rPr>
        <w:t>投标人须知</w:t>
      </w:r>
      <w:bookmarkEnd w:id="2"/>
      <w:bookmarkEnd w:id="3"/>
      <w:bookmarkEnd w:id="4"/>
      <w:bookmarkEnd w:id="5"/>
      <w:bookmarkEnd w:id="7"/>
      <w:bookmarkStart w:id="8" w:name="_Toc128372052"/>
      <w:bookmarkStart w:id="9" w:name="_Toc327439435"/>
      <w:bookmarkStart w:id="10" w:name="_Toc139965326"/>
      <w:bookmarkStart w:id="11" w:name="_Toc128372730"/>
    </w:p>
    <w:p>
      <w:pPr>
        <w:pStyle w:val="4"/>
        <w:rPr>
          <w:rFonts w:ascii="宋体" w:hAnsi="宋体" w:cs="宋体"/>
          <w:color w:val="auto"/>
          <w:sz w:val="28"/>
          <w:szCs w:val="20"/>
        </w:rPr>
      </w:pPr>
      <w:bookmarkStart w:id="12" w:name="_Toc17569"/>
      <w:bookmarkStart w:id="13" w:name="_Toc18296"/>
      <w:r>
        <w:rPr>
          <w:rFonts w:hint="eastAsia" w:ascii="宋体" w:hAnsi="宋体" w:cs="宋体"/>
          <w:color w:val="auto"/>
          <w:sz w:val="28"/>
          <w:szCs w:val="20"/>
        </w:rPr>
        <w:t>投标人须知前附表</w:t>
      </w:r>
      <w:bookmarkEnd w:id="12"/>
    </w:p>
    <w:p>
      <w:pPr>
        <w:spacing w:line="360" w:lineRule="auto"/>
        <w:ind w:firstLine="480" w:firstLineChars="200"/>
        <w:rPr>
          <w:rFonts w:ascii="宋体" w:hAnsi="宋体" w:cs="宋体"/>
          <w:color w:val="auto"/>
          <w:sz w:val="24"/>
          <w:szCs w:val="32"/>
        </w:rPr>
      </w:pPr>
      <w:r>
        <w:rPr>
          <w:rFonts w:hint="eastAsia" w:ascii="宋体" w:hAnsi="宋体" w:cs="宋体"/>
          <w:color w:val="auto"/>
          <w:sz w:val="24"/>
          <w:szCs w:val="32"/>
        </w:rPr>
        <w:t>注：本前附表中的内容是对</w:t>
      </w:r>
      <w:r>
        <w:rPr>
          <w:rFonts w:hint="eastAsia" w:ascii="宋体" w:hAnsi="宋体" w:cs="宋体"/>
          <w:color w:val="auto"/>
          <w:sz w:val="24"/>
          <w:szCs w:val="32"/>
          <w:lang w:eastAsia="zh-CN"/>
        </w:rPr>
        <w:t>投标人</w:t>
      </w:r>
      <w:r>
        <w:rPr>
          <w:rFonts w:hint="eastAsia" w:ascii="宋体" w:hAnsi="宋体" w:cs="宋体"/>
          <w:color w:val="auto"/>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序号</w:t>
            </w:r>
          </w:p>
        </w:tc>
        <w:tc>
          <w:tcPr>
            <w:tcW w:w="262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条款名称</w:t>
            </w:r>
          </w:p>
        </w:tc>
        <w:tc>
          <w:tcPr>
            <w:tcW w:w="624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szCs w:val="30"/>
              </w:rPr>
              <w:t>项目名称</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甘肃省</w:t>
            </w:r>
            <w:r>
              <w:rPr>
                <w:rFonts w:hint="eastAsia" w:ascii="宋体" w:hAnsi="宋体" w:cs="宋体"/>
                <w:color w:val="auto"/>
                <w:sz w:val="24"/>
                <w:lang w:eastAsia="zh-CN"/>
              </w:rPr>
              <w:t>第二人民医院法律顾问服务</w:t>
            </w:r>
            <w:r>
              <w:rPr>
                <w:rFonts w:hint="eastAsia" w:ascii="宋体" w:hAnsi="宋体" w:cs="宋体"/>
                <w:color w:val="auto"/>
                <w:sz w:val="24"/>
                <w:lang w:val="en-US" w:eastAsia="zh-CN"/>
              </w:rPr>
              <w:t>采购</w:t>
            </w:r>
            <w:r>
              <w:rPr>
                <w:rFonts w:hint="eastAsia" w:ascii="宋体" w:hAnsi="宋体" w:cs="宋体"/>
                <w:color w:val="auto"/>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szCs w:val="30"/>
              </w:rPr>
            </w:pPr>
            <w:r>
              <w:rPr>
                <w:rFonts w:hint="eastAsia" w:ascii="宋体" w:hAnsi="宋体" w:cs="宋体"/>
                <w:color w:val="auto"/>
                <w:sz w:val="24"/>
                <w:szCs w:val="30"/>
              </w:rPr>
              <w:t>招标文件编号</w:t>
            </w:r>
          </w:p>
        </w:tc>
        <w:tc>
          <w:tcPr>
            <w:tcW w:w="6245" w:type="dxa"/>
            <w:tcBorders>
              <w:tl2br w:val="nil"/>
              <w:tr2bl w:val="nil"/>
            </w:tcBorders>
            <w:noWrap w:val="0"/>
            <w:vAlign w:val="center"/>
          </w:tcPr>
          <w:p>
            <w:pPr>
              <w:spacing w:line="360" w:lineRule="auto"/>
              <w:rPr>
                <w:rFonts w:hint="default" w:ascii="宋体" w:hAnsi="宋体" w:eastAsia="仿宋" w:cs="宋体"/>
                <w:color w:val="auto"/>
                <w:sz w:val="24"/>
                <w:lang w:val="en-US" w:eastAsia="zh-CN"/>
              </w:rPr>
            </w:pPr>
            <w:r>
              <w:rPr>
                <w:rFonts w:hint="eastAsia" w:ascii="仿宋" w:hAnsi="仿宋" w:eastAsia="仿宋" w:cs="仿宋"/>
                <w:b w:val="0"/>
                <w:bCs/>
                <w:color w:val="auto"/>
                <w:sz w:val="28"/>
                <w:szCs w:val="28"/>
              </w:rPr>
              <w:t>S</w:t>
            </w:r>
            <w:r>
              <w:rPr>
                <w:rFonts w:hint="eastAsia" w:ascii="仿宋" w:hAnsi="仿宋" w:eastAsia="仿宋" w:cs="仿宋"/>
                <w:b w:val="0"/>
                <w:bCs/>
                <w:color w:val="auto"/>
                <w:sz w:val="28"/>
                <w:szCs w:val="28"/>
                <w:lang w:val="en-US" w:eastAsia="zh-CN"/>
              </w:rPr>
              <w:t>E</w:t>
            </w:r>
            <w:r>
              <w:rPr>
                <w:rFonts w:hint="eastAsia" w:ascii="仿宋" w:hAnsi="仿宋" w:eastAsia="仿宋" w:cs="仿宋"/>
                <w:b w:val="0"/>
                <w:bCs/>
                <w:color w:val="auto"/>
                <w:sz w:val="28"/>
                <w:szCs w:val="28"/>
              </w:rPr>
              <w:t>Y-2</w:t>
            </w:r>
            <w:r>
              <w:rPr>
                <w:rFonts w:hint="eastAsia" w:ascii="仿宋" w:hAnsi="仿宋" w:eastAsia="仿宋" w:cs="仿宋"/>
                <w:b w:val="0"/>
                <w:bCs/>
                <w:color w:val="auto"/>
                <w:sz w:val="28"/>
                <w:szCs w:val="28"/>
                <w:lang w:val="en-US" w:eastAsia="zh-CN"/>
              </w:rPr>
              <w:t>020</w:t>
            </w:r>
            <w:r>
              <w:rPr>
                <w:rFonts w:hint="eastAsia" w:ascii="仿宋" w:hAnsi="仿宋" w:eastAsia="仿宋" w:cs="仿宋"/>
                <w:b w:val="0"/>
                <w:bCs/>
                <w:color w:val="auto"/>
                <w:sz w:val="28"/>
                <w:szCs w:val="28"/>
              </w:rPr>
              <w:t>YNCG-0</w:t>
            </w:r>
            <w:r>
              <w:rPr>
                <w:rFonts w:hint="eastAsia" w:ascii="仿宋" w:hAnsi="仿宋" w:eastAsia="仿宋" w:cs="仿宋"/>
                <w:b w:val="0"/>
                <w:bCs/>
                <w:color w:val="auto"/>
                <w:sz w:val="28"/>
                <w:szCs w:val="28"/>
                <w:lang w:val="en-US" w:eastAsia="zh-CN"/>
              </w:rPr>
              <w:t>79</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szCs w:val="30"/>
                <w:lang w:eastAsia="zh-CN"/>
              </w:rPr>
            </w:pPr>
            <w:r>
              <w:rPr>
                <w:rFonts w:hint="eastAsia" w:ascii="宋体" w:hAnsi="宋体" w:cs="宋体"/>
                <w:color w:val="auto"/>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color w:val="auto"/>
                <w:kern w:val="0"/>
                <w:sz w:val="24"/>
                <w:szCs w:val="22"/>
                <w:lang w:eastAsia="zh-CN"/>
              </w:rPr>
            </w:pPr>
            <w:r>
              <w:rPr>
                <w:rFonts w:hint="eastAsia" w:ascii="宋体" w:hAnsi="宋体" w:cs="宋体"/>
                <w:color w:val="auto"/>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kern w:val="0"/>
                <w:sz w:val="24"/>
                <w:szCs w:val="22"/>
              </w:rPr>
            </w:pPr>
            <w:r>
              <w:rPr>
                <w:rFonts w:hint="eastAsia" w:ascii="宋体" w:hAnsi="宋体" w:cs="宋体"/>
                <w:color w:val="auto"/>
                <w:sz w:val="24"/>
                <w:szCs w:val="30"/>
              </w:rPr>
              <w:t>采购人</w:t>
            </w:r>
          </w:p>
        </w:tc>
        <w:tc>
          <w:tcPr>
            <w:tcW w:w="6245" w:type="dxa"/>
            <w:tcBorders>
              <w:tl2br w:val="nil"/>
              <w:tr2bl w:val="nil"/>
            </w:tcBorders>
            <w:noWrap w:val="0"/>
            <w:vAlign w:val="top"/>
          </w:tcPr>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单位名称：</w:t>
            </w:r>
            <w:r>
              <w:rPr>
                <w:rFonts w:hint="eastAsia" w:ascii="宋体" w:hAnsi="宋体" w:cs="宋体"/>
                <w:color w:val="auto"/>
                <w:sz w:val="24"/>
                <w:szCs w:val="30"/>
                <w:lang w:eastAsia="zh-CN"/>
              </w:rPr>
              <w:t>甘肃省第二人民医院</w:t>
            </w:r>
          </w:p>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详细地址：兰州市城关区和政西街1号</w:t>
            </w:r>
          </w:p>
          <w:p>
            <w:pPr>
              <w:spacing w:line="360" w:lineRule="auto"/>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3</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rPr>
                <w:rFonts w:hint="default" w:ascii="宋体" w:hAnsi="宋体" w:eastAsia="宋体" w:cs="宋体"/>
                <w:color w:val="auto"/>
                <w:sz w:val="24"/>
                <w:szCs w:val="30"/>
                <w:lang w:val="en-US" w:eastAsia="zh-CN"/>
              </w:rPr>
            </w:pPr>
            <w:r>
              <w:rPr>
                <w:rFonts w:hint="eastAsia" w:ascii="宋体" w:hAnsi="宋体" w:cs="宋体"/>
                <w:color w:val="auto"/>
                <w:kern w:val="0"/>
                <w:sz w:val="24"/>
                <w:szCs w:val="22"/>
              </w:rPr>
              <w:t>4</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2）投标人须具有律师事务所执业许可证（复印件加盖公章）；</w:t>
            </w:r>
          </w:p>
          <w:p>
            <w:pPr>
              <w:widowControl/>
              <w:autoSpaceDN w:val="0"/>
              <w:spacing w:line="360" w:lineRule="auto"/>
              <w:rPr>
                <w:rFonts w:ascii="宋体" w:hAnsi="宋体" w:cs="宋体"/>
                <w:color w:val="auto"/>
                <w:sz w:val="24"/>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color w:val="auto"/>
                <w:kern w:val="2"/>
                <w:lang w:val="zh-CN"/>
              </w:rPr>
            </w:pPr>
            <w:r>
              <w:rPr>
                <w:rFonts w:hint="eastAsia" w:ascii="宋体" w:hAnsi="宋体" w:cs="宋体"/>
                <w:color w:val="auto"/>
                <w:sz w:val="24"/>
              </w:rPr>
              <w:t>投标有效期</w:t>
            </w:r>
          </w:p>
        </w:tc>
        <w:tc>
          <w:tcPr>
            <w:tcW w:w="6245" w:type="dxa"/>
            <w:tcBorders>
              <w:tl2br w:val="nil"/>
              <w:tr2bl w:val="nil"/>
            </w:tcBorders>
            <w:noWrap w:val="0"/>
            <w:vAlign w:val="center"/>
          </w:tcPr>
          <w:p>
            <w:pPr>
              <w:spacing w:line="360" w:lineRule="auto"/>
              <w:rPr>
                <w:rFonts w:hint="eastAsia"/>
                <w:color w:val="auto"/>
                <w:kern w:val="2"/>
              </w:rPr>
            </w:pPr>
            <w:r>
              <w:rPr>
                <w:rFonts w:hint="eastAsia" w:ascii="宋体" w:hAnsi="宋体" w:cs="宋体"/>
                <w:color w:val="auto"/>
                <w:sz w:val="24"/>
              </w:rPr>
              <w:t>自投标文件正式递交之日起</w:t>
            </w:r>
            <w:r>
              <w:rPr>
                <w:rFonts w:hint="eastAsia" w:ascii="宋体" w:hAnsi="宋体" w:cs="宋体"/>
                <w:b/>
                <w:bCs/>
                <w:color w:val="auto"/>
                <w:sz w:val="24"/>
                <w:u w:val="single"/>
                <w:lang w:val="en-US" w:eastAsia="zh-CN"/>
              </w:rPr>
              <w:t>30</w:t>
            </w:r>
            <w:r>
              <w:rPr>
                <w:rFonts w:hint="eastAsia" w:ascii="宋体" w:hAnsi="宋体" w:cs="宋体"/>
                <w:color w:val="auto"/>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208"/>
              <w:spacing w:line="360" w:lineRule="auto"/>
              <w:ind w:firstLine="480" w:firstLineChars="200"/>
              <w:jc w:val="both"/>
              <w:rPr>
                <w:rFonts w:hint="eastAsia"/>
                <w:color w:val="auto"/>
                <w:kern w:val="2"/>
                <w:lang w:val="zh-CN"/>
              </w:rPr>
            </w:pPr>
            <w:r>
              <w:rPr>
                <w:rFonts w:hint="eastAsia"/>
                <w:color w:val="auto"/>
                <w:kern w:val="2"/>
                <w:lang w:val="zh-CN"/>
              </w:rPr>
              <w:t>签字盖章</w:t>
            </w:r>
          </w:p>
        </w:tc>
        <w:tc>
          <w:tcPr>
            <w:tcW w:w="6245" w:type="dxa"/>
            <w:tcBorders>
              <w:tl2br w:val="nil"/>
              <w:tr2bl w:val="nil"/>
            </w:tcBorders>
            <w:noWrap w:val="0"/>
            <w:vAlign w:val="center"/>
          </w:tcPr>
          <w:p>
            <w:pPr>
              <w:pStyle w:val="208"/>
              <w:spacing w:line="360" w:lineRule="auto"/>
              <w:jc w:val="both"/>
              <w:rPr>
                <w:rFonts w:hint="eastAsia"/>
                <w:color w:val="auto"/>
                <w:kern w:val="2"/>
              </w:rPr>
            </w:pPr>
            <w:r>
              <w:rPr>
                <w:rFonts w:hint="eastAsia"/>
                <w:color w:val="auto"/>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208"/>
              <w:spacing w:line="360" w:lineRule="auto"/>
              <w:jc w:val="center"/>
              <w:rPr>
                <w:rFonts w:ascii="宋体" w:hAnsi="宋体" w:cs="宋体"/>
                <w:color w:val="auto"/>
                <w:spacing w:val="10"/>
                <w:sz w:val="24"/>
              </w:rPr>
            </w:pPr>
            <w:r>
              <w:rPr>
                <w:rFonts w:hint="eastAsia"/>
                <w:color w:val="auto"/>
                <w:kern w:val="2"/>
                <w:lang w:val="zh-CN"/>
              </w:rPr>
              <w:t>构成招标文件的其他文件</w:t>
            </w:r>
          </w:p>
        </w:tc>
        <w:tc>
          <w:tcPr>
            <w:tcW w:w="6245" w:type="dxa"/>
            <w:tcBorders>
              <w:tl2br w:val="nil"/>
              <w:tr2bl w:val="nil"/>
            </w:tcBorders>
            <w:noWrap w:val="0"/>
            <w:vAlign w:val="center"/>
          </w:tcPr>
          <w:p>
            <w:pPr>
              <w:pStyle w:val="208"/>
              <w:spacing w:line="360" w:lineRule="auto"/>
              <w:jc w:val="both"/>
              <w:rPr>
                <w:rFonts w:hint="eastAsia" w:ascii="宋体" w:hAnsi="宋体" w:cs="宋体"/>
                <w:color w:val="auto"/>
                <w:spacing w:val="10"/>
                <w:sz w:val="24"/>
              </w:rPr>
            </w:pPr>
            <w:r>
              <w:rPr>
                <w:rFonts w:hint="eastAsia"/>
                <w:color w:val="auto"/>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投标文件</w:t>
            </w:r>
            <w:r>
              <w:rPr>
                <w:rFonts w:hint="eastAsia" w:ascii="宋体" w:hAnsi="宋体" w:cs="宋体"/>
                <w:color w:val="auto"/>
                <w:sz w:val="24"/>
                <w:lang w:eastAsia="zh-CN"/>
              </w:rPr>
              <w:t>要求</w:t>
            </w:r>
          </w:p>
          <w:p>
            <w:pPr>
              <w:spacing w:line="360" w:lineRule="auto"/>
              <w:ind w:firstLine="520" w:firstLineChars="200"/>
              <w:rPr>
                <w:rFonts w:ascii="宋体" w:hAnsi="宋体" w:cs="宋体"/>
                <w:color w:val="auto"/>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1）</w:t>
            </w:r>
            <w:r>
              <w:rPr>
                <w:rFonts w:hint="eastAsia" w:ascii="宋体" w:hAnsi="宋体" w:eastAsia="宋体" w:cs="宋体"/>
                <w:color w:val="auto"/>
                <w:sz w:val="24"/>
                <w:szCs w:val="32"/>
              </w:rPr>
              <w:t>纸质文件份数：正本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单独密封递交的“</w:t>
            </w:r>
            <w:r>
              <w:rPr>
                <w:rFonts w:hint="eastAsia" w:ascii="宋体" w:hAnsi="宋体" w:eastAsia="宋体" w:cs="宋体"/>
                <w:color w:val="auto"/>
                <w:sz w:val="24"/>
                <w:szCs w:val="32"/>
              </w:rPr>
              <w:t>开标一览表</w:t>
            </w:r>
            <w:r>
              <w:rPr>
                <w:rFonts w:hint="eastAsia" w:ascii="宋体" w:hAnsi="宋体" w:eastAsia="宋体" w:cs="宋体"/>
                <w:color w:val="auto"/>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color w:val="auto"/>
                <w:sz w:val="24"/>
                <w:szCs w:val="32"/>
                <w:lang w:val="zh-CN"/>
              </w:rPr>
            </w:pPr>
            <w:r>
              <w:rPr>
                <w:rFonts w:hint="eastAsia" w:ascii="宋体" w:hAnsi="宋体" w:eastAsia="宋体" w:cs="宋体"/>
                <w:color w:val="auto"/>
                <w:sz w:val="24"/>
                <w:szCs w:val="32"/>
                <w:lang w:val="en-US" w:eastAsia="zh-CN"/>
              </w:rPr>
              <w:t>2）</w:t>
            </w:r>
            <w:r>
              <w:rPr>
                <w:rFonts w:hint="eastAsia" w:ascii="宋体" w:hAnsi="宋体" w:eastAsia="宋体" w:cs="宋体"/>
                <w:color w:val="auto"/>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color w:val="auto"/>
                <w:sz w:val="24"/>
                <w:szCs w:val="32"/>
                <w:lang w:val="zh-CN"/>
              </w:rPr>
              <w:t>、此文件在</w:t>
            </w:r>
            <w:r>
              <w:rPr>
                <w:rFonts w:hint="eastAsia" w:ascii="宋体" w:hAnsi="宋体" w:cs="宋体"/>
                <w:color w:val="auto"/>
                <w:sz w:val="24"/>
                <w:szCs w:val="32"/>
                <w:lang w:val="zh-CN"/>
              </w:rPr>
              <w:tab/>
            </w:r>
            <w:r>
              <w:rPr>
                <w:rFonts w:hint="eastAsia" w:ascii="宋体" w:hAnsi="宋体" w:cs="宋体"/>
                <w:color w:val="auto"/>
                <w:sz w:val="24"/>
                <w:szCs w:val="32"/>
                <w:lang w:val="zh-CN"/>
              </w:rPr>
              <w:t>年月日</w:t>
            </w:r>
            <w:r>
              <w:rPr>
                <w:rFonts w:hint="eastAsia" w:ascii="宋体" w:hAnsi="宋体" w:cs="宋体"/>
                <w:color w:val="auto"/>
                <w:sz w:val="24"/>
                <w:szCs w:val="32"/>
                <w:lang w:val="zh-CN"/>
              </w:rPr>
              <w:tab/>
            </w:r>
            <w:r>
              <w:rPr>
                <w:rFonts w:hint="eastAsia" w:ascii="宋体" w:hAnsi="宋体" w:cs="宋体"/>
                <w:color w:val="auto"/>
                <w:sz w:val="24"/>
                <w:szCs w:val="32"/>
                <w:lang w:val="zh-CN"/>
              </w:rPr>
              <w:t>时</w:t>
            </w:r>
            <w:r>
              <w:rPr>
                <w:rFonts w:hint="eastAsia" w:ascii="宋体" w:hAnsi="宋体" w:cs="宋体"/>
                <w:color w:val="auto"/>
                <w:sz w:val="24"/>
                <w:szCs w:val="32"/>
                <w:lang w:val="zh-CN"/>
              </w:rPr>
              <w:tab/>
            </w:r>
            <w:r>
              <w:rPr>
                <w:rFonts w:hint="eastAsia" w:ascii="宋体" w:hAnsi="宋体" w:cs="宋体"/>
                <w:color w:val="auto"/>
                <w:sz w:val="24"/>
                <w:szCs w:val="32"/>
                <w:lang w:val="zh-CN"/>
              </w:rPr>
              <w:t>分前不得开启</w:t>
            </w:r>
            <w:r>
              <w:rPr>
                <w:rFonts w:hint="eastAsia" w:ascii="宋体" w:hAnsi="宋体" w:eastAsia="宋体" w:cs="宋体"/>
                <w:color w:val="auto"/>
                <w:sz w:val="24"/>
                <w:szCs w:val="32"/>
                <w:lang w:val="zh-CN"/>
              </w:rPr>
              <w:t>；并分别在右上角标明“正本”、“副本”、“开标一览表”字样。</w:t>
            </w:r>
          </w:p>
          <w:p>
            <w:pPr>
              <w:numPr>
                <w:ilvl w:val="0"/>
                <w:numId w:val="3"/>
              </w:numPr>
              <w:spacing w:line="360" w:lineRule="auto"/>
              <w:rPr>
                <w:rFonts w:hint="eastAsia"/>
                <w:color w:val="auto"/>
                <w:lang w:val="en-US" w:eastAsia="zh-CN"/>
              </w:rPr>
            </w:pPr>
            <w:r>
              <w:rPr>
                <w:rFonts w:hint="eastAsia" w:ascii="宋体" w:hAnsi="宋体" w:eastAsia="宋体" w:cs="宋体"/>
                <w:color w:val="auto"/>
                <w:sz w:val="24"/>
                <w:szCs w:val="32"/>
              </w:rPr>
              <w:t>如投标多个包的，要求按包分别独立制作投标文件</w:t>
            </w:r>
            <w:r>
              <w:rPr>
                <w:rFonts w:hint="eastAsia" w:ascii="宋体" w:hAnsi="宋体" w:eastAsia="宋体" w:cs="宋体"/>
                <w:color w:val="auto"/>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7</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：00分（北京时间）</w:t>
            </w:r>
          </w:p>
          <w:p>
            <w:pPr>
              <w:spacing w:line="360" w:lineRule="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lang w:eastAsia="zh-CN"/>
              </w:rPr>
              <w:t>甘肃省第二人民医院1号楼10楼会议室</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cs="宋体"/>
                <w:b w:val="0"/>
                <w:bCs w:val="0"/>
                <w:color w:val="auto"/>
                <w:kern w:val="0"/>
                <w:sz w:val="24"/>
                <w:szCs w:val="22"/>
              </w:rPr>
              <w:t>20</w:t>
            </w:r>
            <w:r>
              <w:rPr>
                <w:rFonts w:hint="eastAsia" w:ascii="宋体" w:hAnsi="宋体" w:cs="宋体"/>
                <w:b w:val="0"/>
                <w:bCs w:val="0"/>
                <w:color w:val="auto"/>
                <w:kern w:val="0"/>
                <w:sz w:val="24"/>
                <w:szCs w:val="22"/>
                <w:lang w:val="en-US" w:eastAsia="zh-CN"/>
              </w:rPr>
              <w:t>20</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7</w:t>
            </w:r>
            <w:r>
              <w:rPr>
                <w:rFonts w:hint="eastAsia" w:ascii="宋体" w:hAnsi="宋体" w:cs="宋体"/>
                <w:b w:val="0"/>
                <w:bCs w:val="0"/>
                <w:color w:val="auto"/>
                <w:kern w:val="0"/>
                <w:sz w:val="24"/>
                <w:szCs w:val="22"/>
              </w:rPr>
              <w:t>月</w:t>
            </w:r>
            <w:r>
              <w:rPr>
                <w:rFonts w:hint="eastAsia" w:ascii="宋体" w:hAnsi="宋体" w:cs="宋体"/>
                <w:b w:val="0"/>
                <w:bCs w:val="0"/>
                <w:color w:val="auto"/>
                <w:kern w:val="0"/>
                <w:sz w:val="24"/>
                <w:szCs w:val="22"/>
                <w:lang w:val="en-US" w:eastAsia="zh-CN"/>
              </w:rPr>
              <w:t>9</w:t>
            </w:r>
            <w:r>
              <w:rPr>
                <w:rFonts w:hint="eastAsia" w:ascii="宋体" w:hAnsi="宋体" w:cs="宋体"/>
                <w:b w:val="0"/>
                <w:bCs w:val="0"/>
                <w:color w:val="auto"/>
                <w:kern w:val="0"/>
                <w:sz w:val="24"/>
                <w:szCs w:val="22"/>
              </w:rPr>
              <w:t>日</w:t>
            </w:r>
            <w:r>
              <w:rPr>
                <w:rFonts w:hint="eastAsia" w:ascii="宋体" w:hAnsi="宋体" w:cs="宋体"/>
                <w:b w:val="0"/>
                <w:bCs w:val="0"/>
                <w:color w:val="auto"/>
                <w:kern w:val="0"/>
                <w:sz w:val="24"/>
                <w:szCs w:val="22"/>
                <w:lang w:eastAsia="zh-CN"/>
              </w:rPr>
              <w:t>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b w:val="0"/>
                <w:bCs w:val="0"/>
                <w:color w:val="auto"/>
                <w:spacing w:val="10"/>
                <w:sz w:val="24"/>
              </w:rPr>
              <w:t>（北京时间）</w:t>
            </w:r>
          </w:p>
          <w:p>
            <w:pPr>
              <w:spacing w:line="360" w:lineRule="auto"/>
              <w:rPr>
                <w:rFonts w:hint="eastAsia" w:ascii="宋体" w:hAnsi="宋体" w:eastAsia="宋体" w:cs="宋体"/>
                <w:color w:val="auto"/>
                <w:lang w:eastAsia="zh-CN"/>
              </w:rPr>
            </w:pPr>
            <w:r>
              <w:rPr>
                <w:rFonts w:hint="eastAsia" w:ascii="宋体" w:hAnsi="宋体" w:cs="宋体"/>
                <w:color w:val="auto"/>
                <w:sz w:val="24"/>
              </w:rPr>
              <w:t>2）开标地点：</w:t>
            </w:r>
            <w:r>
              <w:rPr>
                <w:rFonts w:hint="eastAsia" w:ascii="宋体" w:hAnsi="宋体" w:cs="宋体"/>
                <w:color w:val="auto"/>
                <w:kern w:val="0"/>
                <w:sz w:val="24"/>
                <w:szCs w:val="22"/>
                <w:lang w:eastAsia="zh-CN"/>
              </w:rPr>
              <w:t>甘肃省第二人民医院1号楼10楼会议室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lang w:val="zh-CN"/>
              </w:rPr>
            </w:pPr>
            <w:r>
              <w:rPr>
                <w:rFonts w:hint="eastAsia" w:ascii="宋体" w:hAnsi="宋体" w:cs="宋体"/>
                <w:color w:val="auto"/>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lang w:val="zh-CN"/>
              </w:rPr>
              <w:t>服务时间</w:t>
            </w:r>
          </w:p>
        </w:tc>
        <w:tc>
          <w:tcPr>
            <w:tcW w:w="6245" w:type="dxa"/>
            <w:tcBorders>
              <w:tl2br w:val="nil"/>
              <w:tr2bl w:val="nil"/>
            </w:tcBorders>
            <w:noWrap w:val="0"/>
            <w:vAlign w:val="top"/>
          </w:tcPr>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z w:val="24"/>
                <w:highlight w:val="none"/>
                <w:lang w:val="zh-CN"/>
              </w:rPr>
              <w:t>一年</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noWrap w:val="0"/>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val="zh-CN" w:eastAsia="zh-CN"/>
              </w:rPr>
            </w:pPr>
            <w:r>
              <w:rPr>
                <w:rFonts w:hint="eastAsia" w:cs="宋体"/>
                <w:color w:val="auto"/>
                <w:sz w:val="24"/>
                <w:szCs w:val="24"/>
                <w:highlight w:val="none"/>
                <w:lang w:eastAsia="zh-CN"/>
              </w:rPr>
              <w:t>合同签订后</w:t>
            </w:r>
            <w:r>
              <w:rPr>
                <w:rFonts w:hint="eastAsia" w:ascii="宋体" w:hAnsi="宋体" w:eastAsia="宋体" w:cs="宋体"/>
                <w:color w:val="auto"/>
                <w:sz w:val="24"/>
                <w:szCs w:val="24"/>
                <w:highlight w:val="none"/>
              </w:rPr>
              <w:t>按合同总价开具的发票（完税价），由买方支付合同总价款的</w:t>
            </w:r>
            <w:r>
              <w:rPr>
                <w:rFonts w:hint="eastAsia" w:cs="宋体"/>
                <w:color w:val="auto"/>
                <w:sz w:val="24"/>
                <w:szCs w:val="24"/>
                <w:highlight w:val="none"/>
                <w:lang w:val="en-US" w:eastAsia="zh-CN"/>
              </w:rPr>
              <w:t>50</w:t>
            </w:r>
            <w:r>
              <w:rPr>
                <w:rFonts w:hint="eastAsia" w:ascii="宋体" w:hAnsi="宋体" w:eastAsia="宋体" w:cs="宋体"/>
                <w:color w:val="auto"/>
                <w:sz w:val="24"/>
                <w:szCs w:val="24"/>
                <w:highlight w:val="none"/>
              </w:rPr>
              <w:t>％，剩余的</w:t>
            </w:r>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rPr>
              <w:t>0%</w:t>
            </w:r>
            <w:r>
              <w:rPr>
                <w:rFonts w:hint="eastAsia" w:cs="宋体"/>
                <w:color w:val="auto"/>
                <w:sz w:val="24"/>
                <w:szCs w:val="24"/>
                <w:highlight w:val="none"/>
                <w:lang w:eastAsia="zh-CN"/>
              </w:rPr>
              <w:t>服务期满后一次性支付。</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评标办法</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pacing w:val="10"/>
                <w:sz w:val="24"/>
                <w:lang w:eastAsia="zh-CN"/>
              </w:rPr>
            </w:pPr>
            <w:r>
              <w:rPr>
                <w:rFonts w:hint="eastAsia" w:ascii="宋体" w:hAnsi="宋体" w:cs="宋体"/>
                <w:color w:val="auto"/>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color w:val="auto"/>
                <w:spacing w:val="10"/>
                <w:sz w:val="24"/>
                <w:lang w:eastAsia="zh-CN"/>
              </w:rPr>
            </w:pPr>
            <w:r>
              <w:rPr>
                <w:rFonts w:hint="eastAsia" w:ascii="宋体" w:hAnsi="宋体" w:cs="宋体"/>
                <w:color w:val="auto"/>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color w:val="auto"/>
          <w:kern w:val="0"/>
          <w:sz w:val="24"/>
          <w:lang w:eastAsia="zh-CN"/>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3"/>
        <w:jc w:val="center"/>
        <w:rPr>
          <w:rFonts w:hint="eastAsia" w:ascii="宋体" w:hAnsi="宋体" w:cs="宋体"/>
          <w:color w:val="auto"/>
          <w:sz w:val="32"/>
          <w:szCs w:val="32"/>
        </w:rPr>
      </w:pPr>
    </w:p>
    <w:p>
      <w:pPr>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23166"/>
      <w:bookmarkStart w:id="15" w:name="_Toc8673"/>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39965332"/>
      <w:bookmarkStart w:id="22" w:name="_Toc128372058"/>
      <w:bookmarkStart w:id="23"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4654"/>
      <w:bookmarkStart w:id="27" w:name="_Toc29398"/>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682347"/>
      <w:bookmarkStart w:id="30" w:name="_Toc217446039"/>
      <w:bookmarkStart w:id="31" w:name="_Toc183582210"/>
    </w:p>
    <w:p>
      <w:pPr>
        <w:pStyle w:val="4"/>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8"/>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8"/>
        <w:spacing w:line="360" w:lineRule="auto"/>
        <w:jc w:val="both"/>
        <w:rPr>
          <w:lang w:val="zh-CN"/>
        </w:rPr>
      </w:pPr>
      <w:r>
        <w:rPr>
          <w:rFonts w:hint="eastAsia"/>
          <w:lang w:val="zh-CN"/>
        </w:rPr>
        <w:t>5.1.1</w:t>
      </w:r>
      <w:r>
        <w:rPr>
          <w:rFonts w:hint="eastAsia"/>
          <w:color w:val="auto"/>
          <w:lang w:val="zh-CN"/>
        </w:rPr>
        <w:t>招标公告；</w:t>
      </w:r>
    </w:p>
    <w:p>
      <w:pPr>
        <w:pStyle w:val="208"/>
        <w:spacing w:line="360" w:lineRule="auto"/>
        <w:jc w:val="both"/>
        <w:rPr>
          <w:lang w:val="zh-CN"/>
        </w:rPr>
      </w:pPr>
      <w:r>
        <w:rPr>
          <w:rFonts w:hint="eastAsia"/>
          <w:lang w:val="zh-CN"/>
        </w:rPr>
        <w:t>5.1.2投标人须知；</w:t>
      </w:r>
    </w:p>
    <w:p>
      <w:pPr>
        <w:pStyle w:val="208"/>
        <w:spacing w:line="360" w:lineRule="auto"/>
        <w:jc w:val="both"/>
        <w:rPr>
          <w:lang w:val="zh-CN"/>
        </w:rPr>
      </w:pPr>
      <w:r>
        <w:rPr>
          <w:rFonts w:hint="eastAsia"/>
          <w:lang w:val="zh-CN"/>
        </w:rPr>
        <w:t>5.1.3投标文件格式；</w:t>
      </w:r>
    </w:p>
    <w:p>
      <w:pPr>
        <w:pStyle w:val="208"/>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8"/>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8"/>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8"/>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4"/>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8"/>
        <w:spacing w:line="360" w:lineRule="auto"/>
        <w:jc w:val="both"/>
        <w:rPr>
          <w:lang w:val="zh-CN"/>
        </w:rPr>
      </w:pPr>
      <w:bookmarkStart w:id="39" w:name="_Toc183582213"/>
      <w:bookmarkStart w:id="40" w:name="_Toc208848971"/>
      <w:bookmarkStart w:id="41" w:name="_Toc183682350"/>
      <w:bookmarkStart w:id="42" w:name="_Toc217446041"/>
      <w:r>
        <w:rPr>
          <w:rFonts w:hint="eastAsia"/>
          <w:lang w:val="zh-CN"/>
        </w:rPr>
        <w:t>6.1在投标截止时间前，招标采购单位无论出于何种原因，可以对招标文件进行澄清或者修改。</w:t>
      </w:r>
    </w:p>
    <w:p>
      <w:pPr>
        <w:pStyle w:val="208"/>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8"/>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8"/>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8"/>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8"/>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8"/>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30906"/>
      <w:bookmarkStart w:id="44" w:name="_Toc14435"/>
      <w:r>
        <w:rPr>
          <w:rFonts w:hint="eastAsia" w:ascii="宋体" w:hAnsi="宋体" w:cs="宋体"/>
          <w:color w:val="FF0000"/>
          <w:sz w:val="24"/>
          <w:lang w:val="zh-CN"/>
        </w:rPr>
        <w:t>现场踏勘（本项目不需要）</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77400780"/>
      <w:bookmarkStart w:id="46" w:name="_Toc183582214"/>
      <w:bookmarkStart w:id="47" w:name="_Toc217446042"/>
      <w:bookmarkStart w:id="48" w:name="_Toc89075876"/>
      <w:bookmarkStart w:id="49" w:name="_Toc183682351"/>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217446043"/>
      <w:bookmarkStart w:id="52" w:name="_Toc183582215"/>
      <w:bookmarkStart w:id="53" w:name="_Toc183682352"/>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8"/>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8"/>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8"/>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8"/>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8"/>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582216"/>
      <w:bookmarkStart w:id="59" w:name="_Toc217446044"/>
      <w:bookmarkStart w:id="60" w:name="_Toc183682353"/>
      <w:r>
        <w:rPr>
          <w:rFonts w:hint="eastAsia"/>
          <w:lang w:val="zh-CN"/>
        </w:rPr>
        <w:t>除签名、盖章、专用名称等特殊情形外，以中文以外的文字表述的投标文件，评标委员会有权拒绝其投标。</w:t>
      </w:r>
    </w:p>
    <w:bookmarkEnd w:id="58"/>
    <w:bookmarkEnd w:id="59"/>
    <w:bookmarkEnd w:id="60"/>
    <w:p>
      <w:pPr>
        <w:pStyle w:val="208"/>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8"/>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8"/>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8"/>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8"/>
        <w:spacing w:line="360" w:lineRule="auto"/>
        <w:jc w:val="both"/>
        <w:rPr>
          <w:lang w:val="zh-CN"/>
        </w:rPr>
      </w:pPr>
      <w:r>
        <w:rPr>
          <w:rFonts w:hint="eastAsia"/>
          <w:lang w:val="zh-CN"/>
        </w:rPr>
        <w:t>12.2采购人享有本项目实施过程中产生的知识成果及知识产权。</w:t>
      </w:r>
    </w:p>
    <w:p>
      <w:pPr>
        <w:pStyle w:val="208"/>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8"/>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183582217"/>
      <w:bookmarkStart w:id="71" w:name="_Toc183682354"/>
      <w:bookmarkStart w:id="72" w:name="_Toc217446048"/>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8"/>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8"/>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8"/>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8"/>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8"/>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8"/>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8"/>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8"/>
        <w:spacing w:line="360" w:lineRule="auto"/>
        <w:ind w:firstLine="480" w:firstLineChars="200"/>
        <w:jc w:val="both"/>
        <w:rPr>
          <w:lang w:val="zh-CN"/>
        </w:rPr>
      </w:pPr>
      <w:r>
        <w:rPr>
          <w:rFonts w:hint="eastAsia"/>
          <w:lang w:val="zh-CN"/>
        </w:rPr>
        <w:t>（1）技术方案、项目实施方案；</w:t>
      </w:r>
    </w:p>
    <w:p>
      <w:pPr>
        <w:pStyle w:val="208"/>
        <w:spacing w:line="360" w:lineRule="auto"/>
        <w:ind w:firstLine="480" w:firstLineChars="200"/>
        <w:jc w:val="both"/>
        <w:rPr>
          <w:lang w:val="zh-CN"/>
        </w:rPr>
      </w:pPr>
      <w:r>
        <w:rPr>
          <w:rFonts w:hint="eastAsia"/>
          <w:lang w:val="zh-CN"/>
        </w:rPr>
        <w:t>（</w:t>
      </w:r>
      <w:r>
        <w:rPr>
          <w:rFonts w:hint="eastAsia"/>
          <w:lang w:val="en-US" w:eastAsia="zh-CN"/>
        </w:rPr>
        <w:t>2</w:t>
      </w:r>
      <w:r>
        <w:rPr>
          <w:rFonts w:hint="eastAsia"/>
          <w:lang w:val="zh-CN"/>
        </w:rPr>
        <w:t>）技术偏离表；</w:t>
      </w:r>
    </w:p>
    <w:p>
      <w:pPr>
        <w:pStyle w:val="208"/>
        <w:spacing w:line="360" w:lineRule="auto"/>
        <w:ind w:firstLine="480" w:firstLineChars="200"/>
        <w:jc w:val="both"/>
        <w:rPr>
          <w:highlight w:val="green"/>
          <w:lang w:val="zh-CN"/>
        </w:rPr>
      </w:pPr>
      <w:r>
        <w:rPr>
          <w:rFonts w:hint="eastAsia"/>
          <w:lang w:val="zh-CN"/>
        </w:rPr>
        <w:t>（</w:t>
      </w:r>
      <w:r>
        <w:rPr>
          <w:rFonts w:hint="eastAsia"/>
          <w:lang w:val="en-US" w:eastAsia="zh-CN"/>
        </w:rPr>
        <w:t>3</w:t>
      </w:r>
      <w:r>
        <w:rPr>
          <w:rFonts w:hint="eastAsia"/>
          <w:lang w:val="zh-CN"/>
        </w:rPr>
        <w:t>）投标人认为需要提供的文件和资料。</w:t>
      </w:r>
    </w:p>
    <w:p>
      <w:pPr>
        <w:pStyle w:val="208"/>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8"/>
        <w:spacing w:line="360" w:lineRule="auto"/>
        <w:jc w:val="both"/>
        <w:rPr>
          <w:rFonts w:hint="eastAsia"/>
          <w:lang w:val="en-US" w:eastAsia="zh-CN"/>
        </w:rPr>
      </w:pPr>
      <w:r>
        <w:rPr>
          <w:rFonts w:hint="eastAsia"/>
          <w:lang w:val="en-US" w:eastAsia="zh-CN"/>
        </w:rPr>
        <w:t>13.3.1投标人资格证明文件</w:t>
      </w:r>
    </w:p>
    <w:p>
      <w:pPr>
        <w:pStyle w:val="208"/>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8"/>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8"/>
        <w:spacing w:line="360" w:lineRule="auto"/>
        <w:ind w:firstLine="480" w:firstLineChars="200"/>
        <w:jc w:val="both"/>
        <w:rPr>
          <w:rFonts w:hint="eastAsia"/>
          <w:lang w:val="en-US" w:eastAsia="zh-CN"/>
        </w:rPr>
      </w:pPr>
      <w:r>
        <w:rPr>
          <w:rFonts w:hint="eastAsia"/>
          <w:lang w:val="en-US" w:eastAsia="zh-CN"/>
        </w:rPr>
        <w:t>（1）投标函</w:t>
      </w:r>
    </w:p>
    <w:p>
      <w:pPr>
        <w:pStyle w:val="208"/>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8"/>
        <w:spacing w:line="360" w:lineRule="auto"/>
        <w:ind w:firstLine="480" w:firstLineChars="200"/>
        <w:jc w:val="both"/>
        <w:rPr>
          <w:rFonts w:hint="eastAsia"/>
          <w:lang w:val="en-US" w:eastAsia="zh-CN"/>
        </w:rPr>
      </w:pPr>
      <w:r>
        <w:rPr>
          <w:rFonts w:hint="eastAsia"/>
          <w:lang w:val="en-US" w:eastAsia="zh-CN"/>
        </w:rPr>
        <w:t>（3）商务偏离表</w:t>
      </w:r>
    </w:p>
    <w:p>
      <w:pPr>
        <w:pStyle w:val="208"/>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8"/>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8"/>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17446049"/>
      <w:bookmarkStart w:id="77" w:name="_Toc28852"/>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8"/>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8"/>
        <w:spacing w:line="360" w:lineRule="auto"/>
        <w:jc w:val="both"/>
        <w:rPr>
          <w:lang w:val="zh-CN"/>
        </w:rPr>
      </w:pPr>
      <w:r>
        <w:rPr>
          <w:rFonts w:hint="eastAsia"/>
          <w:lang w:val="zh-CN"/>
        </w:rPr>
        <w:t>14.2对于没有格式要求的投标文件由投标人自行编写。</w:t>
      </w:r>
      <w:bookmarkStart w:id="80" w:name="_Toc217446050"/>
      <w:bookmarkStart w:id="81" w:name="_Toc183582223"/>
      <w:bookmarkStart w:id="82" w:name="_Toc183682360"/>
    </w:p>
    <w:p>
      <w:pPr>
        <w:pStyle w:val="4"/>
        <w:jc w:val="both"/>
        <w:rPr>
          <w:rFonts w:ascii="宋体" w:hAnsi="宋体" w:cs="宋体"/>
          <w:sz w:val="24"/>
          <w:lang w:val="zh-CN"/>
        </w:rPr>
      </w:pPr>
      <w:bookmarkStart w:id="83" w:name="_Toc23893"/>
      <w:bookmarkStart w:id="84" w:name="_Toc28112"/>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17446051"/>
      <w:bookmarkStart w:id="86" w:name="_Toc31286"/>
      <w:bookmarkStart w:id="87" w:name="_Toc183682361"/>
      <w:bookmarkStart w:id="88" w:name="_Toc183582224"/>
      <w:bookmarkStart w:id="89" w:name="_Toc28500"/>
      <w:r>
        <w:rPr>
          <w:rFonts w:hint="eastAsia" w:ascii="宋体" w:hAnsi="宋体" w:cs="宋体"/>
          <w:sz w:val="24"/>
          <w:lang w:val="zh-CN"/>
        </w:rPr>
        <w:t>16．投标有效期</w:t>
      </w:r>
      <w:bookmarkEnd w:id="85"/>
      <w:bookmarkEnd w:id="86"/>
      <w:bookmarkEnd w:id="87"/>
      <w:bookmarkEnd w:id="88"/>
      <w:bookmarkEnd w:id="89"/>
    </w:p>
    <w:p>
      <w:pPr>
        <w:pStyle w:val="208"/>
        <w:spacing w:line="360" w:lineRule="auto"/>
        <w:jc w:val="both"/>
        <w:rPr>
          <w:lang w:val="zh-CN"/>
        </w:rPr>
      </w:pPr>
      <w:r>
        <w:rPr>
          <w:rFonts w:hint="eastAsia"/>
          <w:lang w:val="zh-CN"/>
        </w:rPr>
        <w:t>16.1投标有效期见投标人须知前附表。投标有效期短于此规定期限的投标，将被拒绝。</w:t>
      </w:r>
    </w:p>
    <w:p>
      <w:pPr>
        <w:pStyle w:val="208"/>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217446052"/>
      <w:bookmarkStart w:id="92" w:name="_Toc183582225"/>
    </w:p>
    <w:p>
      <w:pPr>
        <w:pStyle w:val="4"/>
        <w:jc w:val="both"/>
        <w:rPr>
          <w:rFonts w:ascii="宋体" w:hAnsi="宋体" w:cs="宋体"/>
          <w:sz w:val="24"/>
          <w:lang w:val="zh-CN"/>
        </w:rPr>
      </w:pPr>
      <w:bookmarkStart w:id="93" w:name="_Toc596"/>
      <w:bookmarkStart w:id="94" w:name="_Toc16741"/>
      <w:r>
        <w:rPr>
          <w:rFonts w:hint="eastAsia" w:ascii="宋体" w:hAnsi="宋体" w:cs="宋体"/>
          <w:sz w:val="24"/>
          <w:lang w:val="zh-CN"/>
        </w:rPr>
        <w:t>17．投标文件的印制和签署</w:t>
      </w:r>
      <w:bookmarkEnd w:id="90"/>
      <w:bookmarkEnd w:id="91"/>
      <w:bookmarkEnd w:id="92"/>
      <w:bookmarkEnd w:id="93"/>
      <w:bookmarkEnd w:id="94"/>
    </w:p>
    <w:p>
      <w:pPr>
        <w:pStyle w:val="208"/>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8"/>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8"/>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8"/>
        <w:spacing w:line="360" w:lineRule="auto"/>
        <w:jc w:val="both"/>
        <w:rPr>
          <w:lang w:val="zh-CN"/>
        </w:rPr>
      </w:pPr>
      <w:r>
        <w:rPr>
          <w:rFonts w:hint="eastAsia"/>
          <w:lang w:val="zh-CN"/>
        </w:rPr>
        <w:t>17.4投标文件正本和副本必须装订成册并逐页编目编码且使用无线胶装。</w:t>
      </w:r>
    </w:p>
    <w:p>
      <w:pPr>
        <w:pStyle w:val="208"/>
        <w:spacing w:line="360" w:lineRule="auto"/>
        <w:jc w:val="both"/>
        <w:rPr>
          <w:lang w:val="zh-CN"/>
        </w:rPr>
      </w:pPr>
      <w:r>
        <w:rPr>
          <w:rFonts w:hint="eastAsia"/>
          <w:lang w:val="zh-CN"/>
        </w:rPr>
        <w:t>17.5投标文件应根据招标文件的要求制作，签署、盖章和内容应完整，如有遗漏，将被视为无效投标。</w:t>
      </w:r>
    </w:p>
    <w:p>
      <w:pPr>
        <w:pStyle w:val="208"/>
        <w:spacing w:line="360" w:lineRule="auto"/>
        <w:jc w:val="both"/>
        <w:rPr>
          <w:lang w:val="zh-CN"/>
        </w:rPr>
      </w:pPr>
      <w:r>
        <w:rPr>
          <w:rFonts w:hint="eastAsia"/>
          <w:lang w:val="zh-CN"/>
        </w:rPr>
        <w:t>17.6投标文件统一用A4幅面纸印制。</w:t>
      </w:r>
    </w:p>
    <w:p>
      <w:pPr>
        <w:pStyle w:val="208"/>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8"/>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8"/>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8"/>
        <w:spacing w:line="360" w:lineRule="auto"/>
        <w:jc w:val="both"/>
        <w:rPr>
          <w:rFonts w:hint="eastAsia"/>
          <w:lang w:val="zh-CN"/>
        </w:rPr>
      </w:pPr>
      <w:r>
        <w:rPr>
          <w:rFonts w:hint="eastAsia"/>
          <w:lang w:val="zh-CN"/>
        </w:rPr>
        <w:t>采购人：</w:t>
      </w:r>
      <w:r>
        <w:rPr>
          <w:rFonts w:hint="eastAsia"/>
          <w:lang w:val="zh-CN"/>
        </w:rPr>
        <w:tab/>
      </w:r>
    </w:p>
    <w:p>
      <w:pPr>
        <w:pStyle w:val="208"/>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招标文件编号：</w:t>
      </w:r>
      <w:r>
        <w:rPr>
          <w:rFonts w:hint="eastAsia"/>
          <w:lang w:val="zh-CN"/>
        </w:rPr>
        <w:tab/>
      </w:r>
    </w:p>
    <w:p>
      <w:pPr>
        <w:pStyle w:val="208"/>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详细地址：</w:t>
      </w:r>
      <w:r>
        <w:rPr>
          <w:rFonts w:hint="eastAsia"/>
          <w:lang w:val="zh-CN"/>
        </w:rPr>
        <w:tab/>
      </w:r>
    </w:p>
    <w:p>
      <w:pPr>
        <w:pStyle w:val="208"/>
        <w:spacing w:line="360" w:lineRule="auto"/>
        <w:jc w:val="both"/>
        <w:rPr>
          <w:rFonts w:hint="eastAsia"/>
          <w:lang w:val="zh-CN"/>
        </w:rPr>
      </w:pPr>
      <w:r>
        <w:rPr>
          <w:rFonts w:hint="eastAsia"/>
          <w:lang w:val="zh-CN"/>
        </w:rPr>
        <w:t>日期：</w:t>
      </w:r>
    </w:p>
    <w:p>
      <w:pPr>
        <w:pStyle w:val="208"/>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8"/>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8"/>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8"/>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8"/>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8"/>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8"/>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682369"/>
      <w:bookmarkStart w:id="114" w:name="_Toc183582232"/>
      <w:bookmarkStart w:id="115" w:name="_Toc217446057"/>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8"/>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8"/>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8"/>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8"/>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7344"/>
      <w:bookmarkStart w:id="120"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8"/>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8"/>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8"/>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8"/>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8"/>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8"/>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8"/>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8"/>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8"/>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8"/>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8"/>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8"/>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8"/>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8"/>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8"/>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8"/>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8"/>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8"/>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8"/>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8"/>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8"/>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8"/>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8"/>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8"/>
        <w:spacing w:line="360" w:lineRule="auto"/>
        <w:jc w:val="both"/>
        <w:rPr>
          <w:rFonts w:hint="eastAsia"/>
          <w:b/>
          <w:bCs/>
          <w:lang w:val="en-US" w:eastAsia="zh-CN"/>
        </w:rPr>
      </w:pPr>
      <w:r>
        <w:rPr>
          <w:rFonts w:hint="eastAsia"/>
          <w:b/>
          <w:bCs/>
          <w:lang w:val="en-US" w:eastAsia="zh-CN"/>
        </w:rPr>
        <w:t>25.投标的评估和比较</w:t>
      </w:r>
    </w:p>
    <w:p>
      <w:pPr>
        <w:pStyle w:val="208"/>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8"/>
        <w:spacing w:line="360" w:lineRule="auto"/>
        <w:jc w:val="both"/>
        <w:rPr>
          <w:rFonts w:hint="eastAsia"/>
          <w:b/>
          <w:bCs/>
          <w:lang w:val="en-US" w:eastAsia="zh-CN"/>
        </w:rPr>
      </w:pPr>
      <w:r>
        <w:rPr>
          <w:rFonts w:hint="eastAsia"/>
          <w:b/>
          <w:bCs/>
          <w:lang w:val="en-US" w:eastAsia="zh-CN"/>
        </w:rPr>
        <w:t>26.评标原则和评标方法</w:t>
      </w:r>
    </w:p>
    <w:p>
      <w:pPr>
        <w:pStyle w:val="208"/>
        <w:spacing w:line="360" w:lineRule="auto"/>
        <w:jc w:val="both"/>
        <w:rPr>
          <w:rFonts w:hint="eastAsia"/>
          <w:lang w:val="en-US" w:eastAsia="zh-CN"/>
        </w:rPr>
      </w:pPr>
      <w:r>
        <w:rPr>
          <w:rFonts w:hint="eastAsia"/>
          <w:lang w:val="en-US" w:eastAsia="zh-CN"/>
        </w:rPr>
        <w:t>26.1评标原则</w:t>
      </w:r>
    </w:p>
    <w:p>
      <w:pPr>
        <w:pStyle w:val="208"/>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8"/>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8"/>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8"/>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8"/>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8"/>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8"/>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8"/>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8"/>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8"/>
        <w:spacing w:line="360" w:lineRule="auto"/>
        <w:jc w:val="both"/>
        <w:rPr>
          <w:rFonts w:hint="eastAsia"/>
          <w:lang w:val="en-US" w:eastAsia="zh-CN"/>
        </w:rPr>
      </w:pPr>
      <w:r>
        <w:rPr>
          <w:rFonts w:hint="eastAsia"/>
          <w:lang w:val="en-US" w:eastAsia="zh-CN"/>
        </w:rPr>
        <w:t>26.2.2最低评标价法</w:t>
      </w:r>
    </w:p>
    <w:p>
      <w:pPr>
        <w:pStyle w:val="208"/>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8"/>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8"/>
        <w:spacing w:line="360" w:lineRule="auto"/>
        <w:jc w:val="both"/>
        <w:rPr>
          <w:rFonts w:hint="eastAsia"/>
          <w:b/>
          <w:bCs/>
          <w:lang w:val="en-US" w:eastAsia="zh-CN"/>
        </w:rPr>
      </w:pPr>
      <w:r>
        <w:rPr>
          <w:rFonts w:hint="eastAsia"/>
          <w:b/>
          <w:bCs/>
          <w:lang w:val="en-US" w:eastAsia="zh-CN"/>
        </w:rPr>
        <w:t>27.其他注意事项</w:t>
      </w:r>
    </w:p>
    <w:p>
      <w:pPr>
        <w:pStyle w:val="208"/>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8"/>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8"/>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8"/>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8"/>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41"/>
      <w:bookmarkStart w:id="130"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582240"/>
      <w:bookmarkStart w:id="133" w:name="_Toc183682377"/>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8"/>
        <w:spacing w:line="360" w:lineRule="auto"/>
        <w:jc w:val="both"/>
        <w:rPr>
          <w:lang w:val="zh-CN"/>
        </w:rPr>
      </w:pPr>
      <w:r>
        <w:rPr>
          <w:rFonts w:hint="eastAsia"/>
          <w:lang w:val="en-US" w:eastAsia="zh-CN"/>
        </w:rPr>
        <w:t>30</w:t>
      </w:r>
      <w:r>
        <w:rPr>
          <w:rFonts w:hint="eastAsia"/>
          <w:lang w:val="zh-CN"/>
        </w:rPr>
        <w:t>.1中标人在收到采购人发出的《中标通知书》后，应在</w:t>
      </w:r>
      <w:r>
        <w:rPr>
          <w:rFonts w:hint="eastAsia"/>
          <w:color w:val="FF0000"/>
          <w:lang w:val="en-US" w:eastAsia="zh-CN"/>
        </w:rPr>
        <w:t>5个工作日</w:t>
      </w:r>
      <w:r>
        <w:rPr>
          <w:rFonts w:hint="eastAsia"/>
          <w:lang w:val="zh-CN"/>
        </w:rPr>
        <w:t>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8"/>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8"/>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334"/>
      <w:bookmarkStart w:id="139" w:name="_Toc217446066"/>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8"/>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8"/>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8"/>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8"/>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8"/>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8"/>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8"/>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8"/>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8"/>
        <w:spacing w:line="360" w:lineRule="auto"/>
        <w:ind w:firstLine="480" w:firstLineChars="200"/>
        <w:jc w:val="both"/>
        <w:rPr>
          <w:lang w:val="zh-CN"/>
        </w:rPr>
      </w:pPr>
      <w:r>
        <w:rPr>
          <w:rFonts w:hint="eastAsia"/>
          <w:lang w:val="zh-CN"/>
        </w:rPr>
        <w:t>（2）出现影响采购公正的违法、违规行为的；</w:t>
      </w:r>
    </w:p>
    <w:p>
      <w:pPr>
        <w:pStyle w:val="208"/>
        <w:spacing w:line="360" w:lineRule="auto"/>
        <w:ind w:firstLine="480" w:firstLineChars="200"/>
        <w:jc w:val="both"/>
        <w:rPr>
          <w:lang w:val="zh-CN"/>
        </w:rPr>
      </w:pPr>
      <w:r>
        <w:rPr>
          <w:rFonts w:hint="eastAsia"/>
          <w:lang w:val="zh-CN"/>
        </w:rPr>
        <w:t>（3）投标人的报价均超过了采购预算，采购人不能支付的；</w:t>
      </w:r>
    </w:p>
    <w:p>
      <w:pPr>
        <w:pStyle w:val="208"/>
        <w:spacing w:line="360" w:lineRule="auto"/>
        <w:ind w:firstLine="480" w:firstLineChars="200"/>
        <w:jc w:val="both"/>
        <w:rPr>
          <w:lang w:val="zh-CN"/>
        </w:rPr>
      </w:pPr>
      <w:r>
        <w:rPr>
          <w:rFonts w:hint="eastAsia"/>
          <w:lang w:val="zh-CN"/>
        </w:rPr>
        <w:t>（4）因重大变故，采购任务取消的。</w:t>
      </w:r>
    </w:p>
    <w:p>
      <w:pPr>
        <w:pStyle w:val="208"/>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8"/>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8"/>
        <w:spacing w:line="360" w:lineRule="auto"/>
        <w:jc w:val="both"/>
        <w:rPr>
          <w:rFonts w:hint="eastAsia"/>
          <w:lang w:val="en-US" w:eastAsia="zh-CN"/>
        </w:rPr>
      </w:pPr>
      <w:r>
        <w:rPr>
          <w:rFonts w:hint="eastAsia"/>
          <w:lang w:val="en-US" w:eastAsia="zh-CN"/>
        </w:rPr>
        <w:t>（一）不同投标人的投标文件由同一单位或者个人编制；</w:t>
      </w:r>
    </w:p>
    <w:p>
      <w:pPr>
        <w:pStyle w:val="208"/>
        <w:spacing w:line="360" w:lineRule="auto"/>
        <w:jc w:val="both"/>
        <w:rPr>
          <w:rFonts w:hint="eastAsia"/>
          <w:lang w:val="en-US" w:eastAsia="zh-CN"/>
        </w:rPr>
      </w:pPr>
      <w:r>
        <w:rPr>
          <w:rFonts w:hint="eastAsia"/>
          <w:lang w:val="en-US" w:eastAsia="zh-CN"/>
        </w:rPr>
        <w:t>（二）不同投标人委托同一单位或者个人办理投标事宜；</w:t>
      </w:r>
    </w:p>
    <w:p>
      <w:pPr>
        <w:pStyle w:val="208"/>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8"/>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8"/>
        <w:spacing w:line="360" w:lineRule="auto"/>
        <w:jc w:val="both"/>
        <w:rPr>
          <w:rFonts w:hint="eastAsia"/>
          <w:lang w:val="en-US" w:eastAsia="zh-CN"/>
        </w:rPr>
      </w:pPr>
      <w:r>
        <w:rPr>
          <w:rFonts w:hint="eastAsia"/>
          <w:lang w:val="en-US" w:eastAsia="zh-CN"/>
        </w:rPr>
        <w:t>（五）不同投标人的投标文件相互混装；</w:t>
      </w:r>
    </w:p>
    <w:p>
      <w:pPr>
        <w:pStyle w:val="208"/>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8"/>
        <w:spacing w:line="360" w:lineRule="auto"/>
        <w:ind w:firstLine="480" w:firstLineChars="200"/>
        <w:jc w:val="both"/>
        <w:rPr>
          <w:lang w:val="zh-CN"/>
        </w:rPr>
      </w:pPr>
      <w:r>
        <w:rPr>
          <w:rFonts w:hint="eastAsia"/>
          <w:lang w:val="zh-CN"/>
        </w:rPr>
        <w:t>投标人参加投标不得有下列情形：</w:t>
      </w:r>
    </w:p>
    <w:p>
      <w:pPr>
        <w:pStyle w:val="208"/>
        <w:spacing w:line="360" w:lineRule="auto"/>
        <w:ind w:firstLine="480" w:firstLineChars="200"/>
        <w:jc w:val="both"/>
        <w:rPr>
          <w:lang w:val="zh-CN"/>
        </w:rPr>
      </w:pPr>
      <w:r>
        <w:rPr>
          <w:rFonts w:hint="eastAsia"/>
          <w:lang w:val="zh-CN"/>
        </w:rPr>
        <w:t>（1）提供虚假材料谋取中标；</w:t>
      </w:r>
    </w:p>
    <w:p>
      <w:pPr>
        <w:pStyle w:val="208"/>
        <w:spacing w:line="360" w:lineRule="auto"/>
        <w:ind w:firstLine="480" w:firstLineChars="200"/>
        <w:jc w:val="both"/>
        <w:rPr>
          <w:lang w:val="zh-CN"/>
        </w:rPr>
      </w:pPr>
      <w:r>
        <w:rPr>
          <w:rFonts w:hint="eastAsia"/>
          <w:lang w:val="zh-CN"/>
        </w:rPr>
        <w:t>（2）采取不正当手段诋毁、排挤其他投标人；</w:t>
      </w:r>
    </w:p>
    <w:p>
      <w:pPr>
        <w:pStyle w:val="208"/>
        <w:spacing w:line="360" w:lineRule="auto"/>
        <w:ind w:firstLine="480" w:firstLineChars="200"/>
        <w:jc w:val="both"/>
        <w:rPr>
          <w:lang w:val="zh-CN"/>
        </w:rPr>
      </w:pPr>
      <w:r>
        <w:rPr>
          <w:rFonts w:hint="eastAsia"/>
          <w:lang w:val="zh-CN"/>
        </w:rPr>
        <w:t>（3）与招标采购单位、其他投标人恶意串通；</w:t>
      </w:r>
    </w:p>
    <w:p>
      <w:pPr>
        <w:pStyle w:val="208"/>
        <w:spacing w:line="360" w:lineRule="auto"/>
        <w:ind w:firstLine="480" w:firstLineChars="200"/>
        <w:jc w:val="both"/>
        <w:rPr>
          <w:lang w:val="zh-CN"/>
        </w:rPr>
      </w:pPr>
      <w:r>
        <w:rPr>
          <w:rFonts w:hint="eastAsia"/>
          <w:lang w:val="zh-CN"/>
        </w:rPr>
        <w:t>（4）向招标采购单位、评标委员会成员行贿或者提供其他不正当利益；</w:t>
      </w:r>
    </w:p>
    <w:p>
      <w:pPr>
        <w:pStyle w:val="208"/>
        <w:spacing w:line="360" w:lineRule="auto"/>
        <w:ind w:firstLine="480" w:firstLineChars="200"/>
        <w:jc w:val="both"/>
        <w:rPr>
          <w:lang w:val="zh-CN"/>
        </w:rPr>
      </w:pPr>
      <w:r>
        <w:rPr>
          <w:rFonts w:hint="eastAsia"/>
          <w:lang w:val="zh-CN"/>
        </w:rPr>
        <w:t>（5）在招标过程中与招标采购单位进行协商谈判；</w:t>
      </w:r>
    </w:p>
    <w:p>
      <w:pPr>
        <w:pStyle w:val="208"/>
        <w:spacing w:line="360" w:lineRule="auto"/>
        <w:ind w:firstLine="480" w:firstLineChars="200"/>
        <w:jc w:val="both"/>
        <w:rPr>
          <w:lang w:val="zh-CN"/>
        </w:rPr>
      </w:pPr>
      <w:r>
        <w:rPr>
          <w:rFonts w:hint="eastAsia"/>
          <w:lang w:val="zh-CN"/>
        </w:rPr>
        <w:t>（6）拒绝有关部门的监督检查或者向监督检查部门提供虚假情况。</w:t>
      </w:r>
    </w:p>
    <w:p>
      <w:pPr>
        <w:pStyle w:val="208"/>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8"/>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8012"/>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32409"/>
      <w:bookmarkStart w:id="167" w:name="_Toc1308"/>
      <w:bookmarkStart w:id="168" w:name="_Toc23620"/>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3368"/>
      <w:bookmarkStart w:id="170" w:name="_Toc4489"/>
      <w:bookmarkStart w:id="171" w:name="_Toc20085"/>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8333"/>
      <w:bookmarkStart w:id="177"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FF0000"/>
          <w:sz w:val="32"/>
          <w:szCs w:val="32"/>
        </w:rPr>
      </w:pPr>
      <w:bookmarkStart w:id="179" w:name="_Toc20581"/>
      <w:r>
        <w:rPr>
          <w:rFonts w:hint="eastAsia" w:ascii="宋体" w:hAnsi="宋体" w:cs="宋体"/>
          <w:color w:val="FF0000"/>
          <w:sz w:val="32"/>
          <w:szCs w:val="32"/>
          <w:lang w:val="en-US" w:eastAsia="zh-CN"/>
        </w:rPr>
        <w:t xml:space="preserve"> </w:t>
      </w:r>
      <w:r>
        <w:rPr>
          <w:rFonts w:hint="eastAsia" w:ascii="宋体" w:hAnsi="宋体" w:cs="宋体"/>
          <w:color w:val="FF0000"/>
          <w:sz w:val="32"/>
          <w:szCs w:val="32"/>
        </w:rPr>
        <w:t>采购需求及技术要求</w:t>
      </w:r>
      <w:bookmarkEnd w:id="179"/>
    </w:p>
    <w:p>
      <w:pPr>
        <w:pStyle w:val="228"/>
        <w:numPr>
          <w:ilvl w:val="0"/>
          <w:numId w:val="7"/>
        </w:numPr>
        <w:adjustRightInd w:val="0"/>
        <w:snapToGrid w:val="0"/>
        <w:spacing w:before="0" w:after="0" w:line="360" w:lineRule="auto"/>
        <w:rPr>
          <w:rFonts w:hint="eastAsia" w:ascii="宋体" w:hAnsi="宋体" w:eastAsia="宋体" w:cs="宋体"/>
          <w:b/>
          <w:bCs/>
          <w:kern w:val="0"/>
          <w:sz w:val="24"/>
          <w:szCs w:val="24"/>
          <w:lang w:val="zh-CN" w:eastAsia="zh-CN" w:bidi="ar-SA"/>
        </w:rPr>
      </w:pPr>
      <w:r>
        <w:rPr>
          <w:rFonts w:hint="eastAsia" w:ascii="宋体" w:hAnsi="宋体" w:eastAsia="宋体" w:cs="宋体"/>
          <w:b/>
          <w:bCs/>
          <w:kern w:val="0"/>
          <w:sz w:val="24"/>
          <w:szCs w:val="24"/>
          <w:lang w:val="zh-CN" w:eastAsia="zh-CN" w:bidi="ar-SA"/>
        </w:rPr>
        <w:t>法律顾问服务模式</w:t>
      </w:r>
    </w:p>
    <w:p>
      <w:pPr>
        <w:pStyle w:val="229"/>
        <w:widowControl/>
        <w:spacing w:line="360" w:lineRule="auto"/>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1、按照积极、专业、诚信、全面、全程的原则提供法律服务。</w:t>
      </w:r>
    </w:p>
    <w:p>
      <w:pPr>
        <w:pStyle w:val="229"/>
        <w:spacing w:line="360" w:lineRule="auto"/>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2、团队和专业化服务</w:t>
      </w:r>
    </w:p>
    <w:p>
      <w:pPr>
        <w:pStyle w:val="229"/>
        <w:spacing w:line="360" w:lineRule="auto"/>
        <w:ind w:firstLine="480" w:firstLineChars="200"/>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招标人的法律顾问服务项目，投标人根据招标人的服务需求和类别，有针对性的组建固定律师团队（专职律师人数不少于5人），团队人员均具有十年以上法律服务经验，其中须包含有医学背景知识的律师，以保证足够的服务力量，提供所需法律服务。对专业性业务，承办思路和方案将采取团队讨论决策的方式进行；同时，承办思路、方案确定后，如果承办业务涉及其他专业领域的法律事务(如税务、资本市场、刑事等)，团队律师将发挥全所资源，联合其他专业领域的律师共同承办，尽最大努力提供专业、高效、快捷的法律服务。</w:t>
      </w:r>
    </w:p>
    <w:p>
      <w:pPr>
        <w:pStyle w:val="229"/>
        <w:spacing w:line="360" w:lineRule="auto"/>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3、顾问工作常态化服务</w:t>
      </w:r>
    </w:p>
    <w:p>
      <w:pPr>
        <w:pStyle w:val="229"/>
        <w:spacing w:line="360" w:lineRule="auto"/>
        <w:ind w:firstLine="480" w:firstLineChars="200"/>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对于招标人的日常法律需求，顾问律师主动(或按需求)不定期前往各部门及分支机构进行调研、了解，收集所需法律信息，发现或排除潜在法律风险，根据需求制作风险防范控制预案，为招标人合规业务提供法律保障，为决策提供参考。</w:t>
      </w:r>
    </w:p>
    <w:p>
      <w:pPr>
        <w:pStyle w:val="229"/>
        <w:spacing w:line="360" w:lineRule="auto"/>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4、定期沟通反馈</w:t>
      </w:r>
    </w:p>
    <w:p>
      <w:pPr>
        <w:pStyle w:val="229"/>
        <w:spacing w:line="360" w:lineRule="auto"/>
        <w:ind w:firstLine="480" w:firstLineChars="200"/>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投标人根据招标人的需求，三个月召开一次碰头会，反馈顾问律师的工作情况，听取招标人对这一阶段法律服务的意见和建议。投标人每六个月提供一份阶段性工作总结，反馈招标人出现的合同或协议失误，以备招标人不断改进。</w:t>
      </w:r>
    </w:p>
    <w:p>
      <w:pPr>
        <w:pStyle w:val="229"/>
        <w:spacing w:line="360" w:lineRule="auto"/>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5、引导和保障功能</w:t>
      </w:r>
    </w:p>
    <w:p>
      <w:pPr>
        <w:pStyle w:val="229"/>
        <w:spacing w:line="360" w:lineRule="auto"/>
        <w:ind w:firstLine="480" w:firstLineChars="200"/>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在医院生存发展过程中，法律顾问除从法律约束角度考虑问题外，还应积极主张医院行使法律授予的法律保护权利，使医院在法律和政策允许的活动空间取得最大的效益和最快的发展。</w:t>
      </w:r>
    </w:p>
    <w:p>
      <w:pPr>
        <w:pStyle w:val="229"/>
        <w:spacing w:line="360" w:lineRule="auto"/>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6、有效地维护本单位的合法权益</w:t>
      </w:r>
    </w:p>
    <w:p>
      <w:pPr>
        <w:pStyle w:val="228"/>
        <w:adjustRightInd w:val="0"/>
        <w:snapToGrid w:val="0"/>
        <w:spacing w:before="0" w:after="0" w:line="360" w:lineRule="auto"/>
        <w:rPr>
          <w:rFonts w:hint="eastAsia" w:ascii="宋体" w:hAnsi="宋体" w:eastAsia="宋体" w:cs="宋体"/>
          <w:b w:val="0"/>
          <w:bCs w:val="0"/>
          <w:kern w:val="0"/>
          <w:sz w:val="24"/>
          <w:szCs w:val="24"/>
          <w:lang w:val="zh-CN" w:eastAsia="zh-CN" w:bidi="ar-SA"/>
        </w:rPr>
      </w:pPr>
      <w:r>
        <w:rPr>
          <w:rFonts w:hint="eastAsia" w:ascii="宋体" w:hAnsi="宋体" w:eastAsia="宋体" w:cs="宋体"/>
          <w:b/>
          <w:bCs/>
          <w:kern w:val="0"/>
          <w:sz w:val="24"/>
          <w:szCs w:val="24"/>
          <w:lang w:val="zh-CN" w:eastAsia="zh-CN" w:bidi="ar-SA"/>
        </w:rPr>
        <w:t>二、法律顾问工作制度</w:t>
      </w:r>
    </w:p>
    <w:p>
      <w:pPr>
        <w:pStyle w:val="229"/>
        <w:spacing w:line="360" w:lineRule="auto"/>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1、固定联系人制度</w:t>
      </w:r>
    </w:p>
    <w:p>
      <w:pPr>
        <w:pStyle w:val="229"/>
        <w:spacing w:line="360" w:lineRule="auto"/>
        <w:ind w:firstLine="480" w:firstLineChars="200"/>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投标人对每一个法律服务项目，均指定专门律师作为日常联系人，随时与招标人确定的人员联系，以便及时了解情况，处理问题。</w:t>
      </w:r>
    </w:p>
    <w:p>
      <w:pPr>
        <w:pStyle w:val="229"/>
        <w:spacing w:line="360" w:lineRule="auto"/>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2、及时服务制度</w:t>
      </w:r>
    </w:p>
    <w:p>
      <w:pPr>
        <w:pStyle w:val="229"/>
        <w:spacing w:line="360" w:lineRule="auto"/>
        <w:ind w:firstLine="480" w:firstLineChars="200"/>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一些日常事务的处理，由投标人所指派顾问团队的律师随时提供法律服务，保证服务不间断；客户有突发性法律事务或重大法律事务需要顾问律师处理时，顾问律师须在12小时内到位。对于日常事务的处理，顾问律师须在48小时内反馈处理结果；对于突发性法律事务或重大法律事务的处理，顾问律师须在24小时内反馈处理结果。遇有特殊情况，投标人须能满足招标人工作需要，在招标人发出请求后约定时间内派律师到达指定地点现场提供法律帮助。</w:t>
      </w:r>
    </w:p>
    <w:p>
      <w:pPr>
        <w:pStyle w:val="229"/>
        <w:spacing w:line="360" w:lineRule="auto"/>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3、法律意见书制度</w:t>
      </w:r>
    </w:p>
    <w:p>
      <w:pPr>
        <w:pStyle w:val="229"/>
        <w:spacing w:line="360" w:lineRule="auto"/>
        <w:ind w:firstLine="480" w:firstLineChars="200"/>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如有重大法律事项需要顾问律师提供法律意见时，顾问律师应在招标人要求的时间内，以出具书面《法律意见书》的形式回复（传真、发函或邮件）。</w:t>
      </w:r>
    </w:p>
    <w:p>
      <w:pPr>
        <w:pStyle w:val="229"/>
        <w:spacing w:line="360" w:lineRule="auto"/>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4、定期汇报制度</w:t>
      </w:r>
    </w:p>
    <w:p>
      <w:pPr>
        <w:pStyle w:val="229"/>
        <w:spacing w:line="360" w:lineRule="auto"/>
        <w:ind w:firstLine="480" w:firstLineChars="200"/>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投标人按律师事务所的规定建立法律顾问档案，定期（6个月）向招标人提交书面汇报材料，总结工作情况，提出存在的问题和相应建议。同时，招标人对律师服务的质量进行评价。</w:t>
      </w:r>
    </w:p>
    <w:p>
      <w:pPr>
        <w:pStyle w:val="228"/>
        <w:adjustRightInd w:val="0"/>
        <w:snapToGrid w:val="0"/>
        <w:spacing w:before="0" w:after="0" w:line="360" w:lineRule="auto"/>
        <w:rPr>
          <w:rFonts w:hint="eastAsia" w:ascii="宋体" w:hAnsi="宋体" w:eastAsia="宋体" w:cs="宋体"/>
          <w:b/>
          <w:bCs/>
          <w:kern w:val="0"/>
          <w:sz w:val="24"/>
          <w:szCs w:val="24"/>
          <w:lang w:val="zh-CN" w:eastAsia="zh-CN" w:bidi="ar-SA"/>
        </w:rPr>
      </w:pPr>
      <w:bookmarkStart w:id="180" w:name="_Toc408823232"/>
      <w:r>
        <w:rPr>
          <w:rFonts w:hint="eastAsia" w:ascii="宋体" w:hAnsi="宋体" w:eastAsia="宋体" w:cs="宋体"/>
          <w:b/>
          <w:bCs/>
          <w:kern w:val="0"/>
          <w:sz w:val="24"/>
          <w:szCs w:val="24"/>
          <w:lang w:val="zh-CN" w:eastAsia="zh-CN" w:bidi="ar-SA"/>
        </w:rPr>
        <w:t>三、基础业务范围</w:t>
      </w:r>
      <w:bookmarkEnd w:id="180"/>
    </w:p>
    <w:p>
      <w:pPr>
        <w:pStyle w:val="229"/>
        <w:widowControl/>
        <w:spacing w:line="360" w:lineRule="auto"/>
        <w:jc w:val="left"/>
        <w:rPr>
          <w:rFonts w:hint="eastAsia" w:ascii="宋体" w:hAnsi="宋体" w:eastAsia="宋体" w:cs="宋体"/>
          <w:b w:val="0"/>
          <w:bCs w:val="0"/>
          <w:kern w:val="0"/>
          <w:sz w:val="24"/>
          <w:szCs w:val="24"/>
          <w:lang w:val="zh-CN" w:eastAsia="zh-CN" w:bidi="ar-SA"/>
        </w:rPr>
      </w:pPr>
      <w:bookmarkStart w:id="181" w:name="_Toc408823233"/>
      <w:r>
        <w:rPr>
          <w:rFonts w:hint="eastAsia" w:ascii="宋体" w:hAnsi="宋体" w:eastAsia="宋体" w:cs="宋体"/>
          <w:b w:val="0"/>
          <w:bCs w:val="0"/>
          <w:kern w:val="0"/>
          <w:sz w:val="24"/>
          <w:szCs w:val="24"/>
          <w:lang w:val="zh-CN" w:eastAsia="zh-CN" w:bidi="ar-SA"/>
        </w:rPr>
        <w:t>1、顾问业务</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（1）就业务中涉及的法律问题提供法律咨询；</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（2）草拟、审查、修改合同、协议、章程及其他法律文书；</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（3）草拟、审查、修改内部规章制度，帮助招标人建立和完善各项内部规章制度；</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（4）为涉及的工商、税务、劳资、环保等法律问题提供法律服务；</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（5）参与磋商、谈判、专题论证，草拟、审查、修改相关合作文件；</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（6）以顾问律师名义签发律师文书；</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（7）为经营决策提供法律依据，对其决策中法律方面的可行性、风险性等问题出具律师意见书,确保顾问单位经营的合法性；</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（8）就已经面临或者可能发生的纠纷，进行法律论证，提出解决方案，发表律师意见，或者参与非诉讼谈判、协调、调解；</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（9）提供行业发展所需的法律、法规信息，国家政策信息；</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（10）协助招标人员工进行法制宣传和法律知识培训；</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（11）应邀参与重大项目谈判；</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（12）应招标人要求提供其他法律服务。</w:t>
      </w:r>
    </w:p>
    <w:bookmarkEnd w:id="181"/>
    <w:p>
      <w:pPr>
        <w:pStyle w:val="229"/>
        <w:widowControl/>
        <w:spacing w:line="360" w:lineRule="auto"/>
        <w:jc w:val="left"/>
        <w:rPr>
          <w:rFonts w:hint="eastAsia" w:ascii="宋体" w:hAnsi="宋体" w:eastAsia="宋体" w:cs="宋体"/>
          <w:b w:val="0"/>
          <w:bCs w:val="0"/>
          <w:kern w:val="0"/>
          <w:sz w:val="24"/>
          <w:szCs w:val="24"/>
          <w:lang w:val="zh-CN" w:eastAsia="zh-CN" w:bidi="ar-SA"/>
        </w:rPr>
      </w:pPr>
      <w:bookmarkStart w:id="182" w:name="_Toc408823234"/>
      <w:r>
        <w:rPr>
          <w:rFonts w:hint="eastAsia" w:ascii="宋体" w:hAnsi="宋体" w:eastAsia="宋体" w:cs="宋体"/>
          <w:b w:val="0"/>
          <w:bCs w:val="0"/>
          <w:kern w:val="0"/>
          <w:sz w:val="24"/>
          <w:szCs w:val="24"/>
          <w:lang w:val="zh-CN" w:eastAsia="zh-CN" w:bidi="ar-SA"/>
        </w:rPr>
        <w:t>2、</w:t>
      </w:r>
      <w:bookmarkEnd w:id="182"/>
      <w:r>
        <w:rPr>
          <w:rFonts w:hint="eastAsia" w:ascii="宋体" w:hAnsi="宋体" w:eastAsia="宋体" w:cs="宋体"/>
          <w:b w:val="0"/>
          <w:bCs w:val="0"/>
          <w:kern w:val="0"/>
          <w:sz w:val="24"/>
          <w:szCs w:val="24"/>
          <w:lang w:val="zh-CN" w:eastAsia="zh-CN" w:bidi="ar-SA"/>
        </w:rPr>
        <w:t>医疗业务</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（1）对医疗机构日常诊疗及管理活动中涉及的法律问题提供法律咨询和帮助；</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（2）为医疗质量、医疗安全提供专项咨询服务，为医疗机构进行法律风险评估；</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（3）收集、整理各类医疗鉴定的检材及证据，草拟鉴定陈述意见书；</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（4）根据授权参与各类医疗鉴定的陈述、答辩和听证；</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（5）应邀参与医疗纠纷调解、谈判、协商；</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（6）出具法律意见书、律师函；</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（7）草拟、制订、审查或者修改合同、协议、制度、知情同意书等法律及医疗文书；</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（8）提供与经营业务相关的法律信息；</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（9）为医疗机构设备采购、后勤保障等方面提供法律服务；</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（10）为医药项目合作、联营、招投标提供专项法律服务；</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（11）代理各类诉讼、仲裁、行政复议案件，签署、送达或接受法律文书；</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（12）协助招标人进行法制宣传和法律知识、医疗纠纷防范培训；</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（13）应招标人要求提供其他法律服务。</w:t>
      </w:r>
    </w:p>
    <w:p>
      <w:pPr>
        <w:pStyle w:val="229"/>
        <w:widowControl/>
        <w:spacing w:line="360" w:lineRule="auto"/>
        <w:jc w:val="left"/>
        <w:rPr>
          <w:rFonts w:hint="eastAsia" w:ascii="宋体" w:hAnsi="宋体" w:eastAsia="宋体" w:cs="宋体"/>
          <w:b w:val="0"/>
          <w:bCs w:val="0"/>
          <w:kern w:val="0"/>
          <w:sz w:val="24"/>
          <w:szCs w:val="24"/>
          <w:lang w:val="zh-CN" w:eastAsia="zh-CN" w:bidi="ar-SA"/>
        </w:rPr>
      </w:pPr>
      <w:bookmarkStart w:id="183" w:name="_Toc408823236"/>
      <w:r>
        <w:rPr>
          <w:rFonts w:hint="eastAsia" w:ascii="宋体" w:hAnsi="宋体" w:eastAsia="宋体" w:cs="宋体"/>
          <w:b w:val="0"/>
          <w:bCs w:val="0"/>
          <w:kern w:val="0"/>
          <w:sz w:val="24"/>
          <w:szCs w:val="24"/>
          <w:lang w:val="zh-CN" w:eastAsia="zh-CN" w:bidi="ar-SA"/>
        </w:rPr>
        <w:t>3、人力资源相关业务</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（1）草拟、制订、审查或者修改人事工作方面的合同、协议、制度等法律文书，如劳动（聘用）合同、出国研修协议、院士合作协议、规培学员培训协议、劳务派遣协议、涉及法律层面的告知书或函件等；</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（2）为医院人事工作提供各类法律咨询服务，如劳动（聘用）合同纠纷、退休职工继承和委托方面的纠纷、工资福利待遇纠纷等等问题；</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（3）根据授权代理或参与医院人事争议的各类诉讼、仲裁、行政复议案件，签署、送达或接受法律文书，出具法律意见书、律师函；</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（4）为人事劳务派遣、人事代理等业务的招投标提供专项法律服务；</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（5）协助招标人进行法制宣传和法律知识、人事争议防范培训；</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（6）应招标人要求提供其他法律服务。</w:t>
      </w:r>
    </w:p>
    <w:p>
      <w:pPr>
        <w:pStyle w:val="229"/>
        <w:widowControl/>
        <w:spacing w:line="360" w:lineRule="auto"/>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4</w:t>
      </w:r>
      <w:bookmarkEnd w:id="183"/>
      <w:r>
        <w:rPr>
          <w:rFonts w:hint="eastAsia" w:ascii="宋体" w:hAnsi="宋体" w:eastAsia="宋体" w:cs="宋体"/>
          <w:b w:val="0"/>
          <w:bCs w:val="0"/>
          <w:kern w:val="0"/>
          <w:sz w:val="24"/>
          <w:szCs w:val="24"/>
          <w:lang w:val="zh-CN" w:eastAsia="zh-CN" w:bidi="ar-SA"/>
        </w:rPr>
        <w:t>、房屋基建等业务</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（1）为招标人提供房地产及基建投资政策、法律意见；</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（2）基建项目立项及建设规划阶段法律服务，取得项目建议书批复、建设用地规划许可证及建设工程规划许可证等相关法律文件；</w:t>
      </w:r>
    </w:p>
    <w:p>
      <w:pPr>
        <w:pStyle w:val="229"/>
        <w:widowControl/>
        <w:spacing w:line="360" w:lineRule="auto"/>
        <w:ind w:left="480"/>
        <w:jc w:val="left"/>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（3）代理各类建筑工程房地产诉讼、仲裁案件。</w:t>
      </w:r>
    </w:p>
    <w:p>
      <w:pPr>
        <w:pStyle w:val="229"/>
        <w:widowControl/>
        <w:spacing w:line="360" w:lineRule="auto"/>
        <w:jc w:val="left"/>
        <w:rPr>
          <w:rFonts w:hint="eastAsia" w:ascii="宋体" w:hAnsi="宋体" w:eastAsia="宋体" w:cs="宋体"/>
          <w:b w:val="0"/>
          <w:bCs w:val="0"/>
          <w:kern w:val="0"/>
          <w:sz w:val="24"/>
          <w:szCs w:val="24"/>
          <w:lang w:val="zh-CN" w:eastAsia="zh-CN" w:bidi="ar-SA"/>
        </w:rPr>
      </w:pPr>
      <w:bookmarkStart w:id="184" w:name="_Toc408823235"/>
      <w:r>
        <w:rPr>
          <w:rFonts w:hint="eastAsia" w:ascii="宋体" w:hAnsi="宋体" w:eastAsia="宋体" w:cs="宋体"/>
          <w:b w:val="0"/>
          <w:bCs w:val="0"/>
          <w:kern w:val="0"/>
          <w:sz w:val="24"/>
          <w:szCs w:val="24"/>
          <w:lang w:val="zh-CN" w:eastAsia="zh-CN" w:bidi="ar-SA"/>
        </w:rPr>
        <w:t>5、其他知识产权</w:t>
      </w:r>
      <w:bookmarkEnd w:id="184"/>
      <w:r>
        <w:rPr>
          <w:rFonts w:hint="eastAsia" w:ascii="宋体" w:hAnsi="宋体" w:eastAsia="宋体" w:cs="宋体"/>
          <w:b w:val="0"/>
          <w:bCs w:val="0"/>
          <w:kern w:val="0"/>
          <w:sz w:val="24"/>
          <w:szCs w:val="24"/>
          <w:lang w:val="zh-CN" w:eastAsia="zh-CN" w:bidi="ar-SA"/>
        </w:rPr>
        <w:t>（专利）、财务等相关业务</w:t>
      </w:r>
    </w:p>
    <w:p>
      <w:pPr>
        <w:pStyle w:val="220"/>
        <w:tabs>
          <w:tab w:val="left" w:pos="426"/>
          <w:tab w:val="left" w:pos="567"/>
        </w:tabs>
        <w:adjustRightInd w:val="0"/>
        <w:snapToGrid w:val="0"/>
        <w:spacing w:line="360" w:lineRule="auto"/>
        <w:ind w:firstLine="0" w:firstLineChars="0"/>
        <w:jc w:val="left"/>
        <w:rPr>
          <w:rFonts w:ascii="宋体" w:hAnsi="宋体" w:cs="Arial"/>
          <w:sz w:val="28"/>
          <w:szCs w:val="28"/>
        </w:rPr>
      </w:pPr>
    </w:p>
    <w:p>
      <w:pPr>
        <w:pStyle w:val="3"/>
        <w:jc w:val="both"/>
        <w:rPr>
          <w:rFonts w:ascii="宋体" w:hAnsi="宋体" w:cs="宋体"/>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jc w:val="center"/>
        <w:rPr>
          <w:rFonts w:hint="eastAsia" w:ascii="宋体" w:hAnsi="宋体" w:cs="宋体"/>
          <w:color w:val="auto"/>
          <w:sz w:val="32"/>
          <w:szCs w:val="32"/>
          <w:lang w:val="en-US" w:eastAsia="zh-CN"/>
        </w:rPr>
      </w:pPr>
      <w:bookmarkStart w:id="185"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w:t>
      </w:r>
      <w:r>
        <w:rPr>
          <w:rFonts w:hint="eastAsia" w:ascii="宋体" w:hAnsi="宋体" w:cs="宋体"/>
          <w:color w:val="auto"/>
          <w:sz w:val="32"/>
          <w:szCs w:val="32"/>
          <w:lang w:val="en-US" w:eastAsia="zh-CN"/>
        </w:rPr>
        <w:t>资格证明文件</w:t>
      </w:r>
      <w:bookmarkEnd w:id="185"/>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五、投标人须具有律师事务所执业许可证（复印件加盖公章）；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sz w:val="24"/>
          <w:szCs w:val="24"/>
          <w:lang w:val="en-US" w:eastAsia="zh-CN"/>
        </w:rPr>
        <w:t>六、</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6" w:name="_Toc25803"/>
      <w:bookmarkStart w:id="187" w:name="_Toc20553"/>
      <w:bookmarkStart w:id="188" w:name="_Toc9747"/>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6"/>
      <w:bookmarkEnd w:id="187"/>
      <w:bookmarkEnd w:id="188"/>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8"/>
        <w:rPr>
          <w:rFonts w:hint="eastAsia"/>
        </w:rPr>
      </w:pPr>
    </w:p>
    <w:p>
      <w:pPr>
        <w:pStyle w:val="3"/>
        <w:rPr>
          <w:rFonts w:ascii="宋体" w:hAnsi="宋体" w:cs="宋体"/>
          <w:sz w:val="32"/>
          <w:szCs w:val="32"/>
        </w:rPr>
      </w:pPr>
      <w:bookmarkStart w:id="189"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9"/>
    </w:p>
    <w:p>
      <w:pPr>
        <w:pStyle w:val="4"/>
        <w:jc w:val="left"/>
        <w:rPr>
          <w:rFonts w:ascii="宋体" w:hAnsi="宋体" w:cs="宋体"/>
          <w:sz w:val="24"/>
          <w:szCs w:val="24"/>
        </w:rPr>
      </w:pPr>
      <w:bookmarkStart w:id="190" w:name="_Toc7841"/>
      <w:bookmarkStart w:id="191" w:name="_Toc10288"/>
      <w:r>
        <w:rPr>
          <w:rFonts w:hint="eastAsia" w:ascii="宋体" w:hAnsi="宋体" w:cs="宋体"/>
          <w:sz w:val="24"/>
          <w:szCs w:val="24"/>
        </w:rPr>
        <w:t>1.总则</w:t>
      </w:r>
      <w:bookmarkEnd w:id="190"/>
      <w:bookmarkEnd w:id="191"/>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92" w:name="_Toc217446098"/>
      <w:bookmarkStart w:id="193" w:name="_Toc11058"/>
      <w:bookmarkStart w:id="194" w:name="_Toc31035"/>
      <w:r>
        <w:rPr>
          <w:rFonts w:hint="eastAsia" w:ascii="宋体" w:hAnsi="宋体" w:cs="宋体"/>
          <w:sz w:val="24"/>
          <w:szCs w:val="24"/>
        </w:rPr>
        <w:t>2.评标程序</w:t>
      </w:r>
      <w:bookmarkEnd w:id="192"/>
      <w:bookmarkEnd w:id="193"/>
      <w:bookmarkEnd w:id="194"/>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1"/>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1"/>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1"/>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1"/>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1"/>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1"/>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1"/>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1"/>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1"/>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1"/>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tbl>
      <w:tblPr>
        <w:tblStyle w:val="35"/>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w:t>
            </w: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cs="宋体"/>
                <w:sz w:val="24"/>
                <w:szCs w:val="24"/>
                <w:highlight w:val="none"/>
                <w:lang w:val="en-US" w:eastAsia="zh-CN"/>
              </w:rPr>
              <w:t>30</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cs="宋体"/>
                <w:sz w:val="24"/>
                <w:szCs w:val="24"/>
                <w:highlight w:val="none"/>
                <w:lang w:val="en-US" w:eastAsia="zh-CN"/>
              </w:rPr>
              <w:t>35</w:t>
            </w:r>
            <w:r>
              <w:rPr>
                <w:rFonts w:hint="eastAsia" w:ascii="宋体" w:hAnsi="宋体" w:eastAsia="宋体" w:cs="宋体"/>
                <w:sz w:val="24"/>
                <w:szCs w:val="24"/>
                <w:highlight w:val="none"/>
              </w:rPr>
              <w:t>分。带“★”的为主要技术要求，有一项负偏离扣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r>
              <w:rPr>
                <w:rFonts w:hint="eastAsia" w:ascii="宋体" w:hAnsi="宋体" w:eastAsia="宋体" w:cs="宋体"/>
                <w:sz w:val="24"/>
                <w:szCs w:val="24"/>
                <w:highlight w:val="none"/>
                <w:lang w:val="zh-CN"/>
              </w:rPr>
              <w:t>一般技术要求出现负偏离，每项扣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p>
          <w:p>
            <w:pPr>
              <w:pStyle w:val="5"/>
              <w:rPr>
                <w:rFonts w:hint="eastAsia"/>
              </w:rPr>
            </w:pPr>
            <w:r>
              <w:rPr>
                <w:rFonts w:hint="eastAsia" w:ascii="宋体" w:hAnsi="宋体" w:cs="宋体"/>
                <w:color w:val="auto"/>
                <w:sz w:val="24"/>
                <w:szCs w:val="24"/>
                <w:highlight w:val="none"/>
                <w:lang w:val="en-US" w:eastAsia="zh-CN"/>
              </w:rPr>
              <w:t>注：每条（带“★”参数和一般参数）技术参数的响应须提供相关证明材料，包括但不限于彩页、官方截图、技术白皮书或第三方权威机构出具的检测报告，若未提供，则扣除跟负偏离同样的分数。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sz w:val="24"/>
                <w:szCs w:val="32"/>
              </w:rPr>
            </w:pPr>
            <w:r>
              <w:rPr>
                <w:rFonts w:hint="eastAsia"/>
                <w:sz w:val="24"/>
                <w:szCs w:val="32"/>
              </w:rPr>
              <w:t>根据供应商提供针对本项目组建固定的服务团队计划是否组织机构明确，分工合理由评标委员会横向比较进行打分1-</w:t>
            </w:r>
            <w:r>
              <w:rPr>
                <w:rFonts w:hint="eastAsia"/>
                <w:sz w:val="24"/>
                <w:szCs w:val="32"/>
                <w:lang w:val="en-US" w:eastAsia="zh-CN"/>
              </w:rPr>
              <w:t>5分</w:t>
            </w:r>
            <w:r>
              <w:rPr>
                <w:rFonts w:hint="eastAsia"/>
                <w:sz w:val="24"/>
                <w:szCs w:val="32"/>
              </w:rPr>
              <w:t xml:space="preserve">； </w:t>
            </w:r>
          </w:p>
          <w:p>
            <w:pPr>
              <w:spacing w:line="360" w:lineRule="auto"/>
              <w:jc w:val="left"/>
              <w:rPr>
                <w:rFonts w:hint="eastAsia" w:ascii="宋体" w:hAnsi="宋体" w:eastAsia="宋体" w:cs="宋体"/>
                <w:color w:val="auto"/>
                <w:sz w:val="24"/>
                <w:szCs w:val="24"/>
                <w:highlight w:val="none"/>
                <w:lang w:eastAsia="zh-CN"/>
              </w:rPr>
            </w:pPr>
            <w:r>
              <w:rPr>
                <w:rFonts w:hint="eastAsia"/>
                <w:sz w:val="24"/>
                <w:szCs w:val="32"/>
              </w:rPr>
              <w:t>根据供应商提供项目负责人的文</w:t>
            </w:r>
            <w:r>
              <w:rPr>
                <w:rFonts w:hint="eastAsia"/>
                <w:sz w:val="24"/>
                <w:szCs w:val="32"/>
                <w:lang w:eastAsia="zh-CN"/>
              </w:rPr>
              <w:t>化</w:t>
            </w:r>
            <w:r>
              <w:rPr>
                <w:rFonts w:hint="eastAsia"/>
                <w:sz w:val="24"/>
                <w:szCs w:val="32"/>
              </w:rPr>
              <w:t>程度、从业年限、行业经验，技术人员专业素质、服务人数以及专</w:t>
            </w:r>
            <w:bookmarkStart w:id="283" w:name="_GoBack"/>
            <w:bookmarkEnd w:id="283"/>
            <w:r>
              <w:rPr>
                <w:rFonts w:hint="eastAsia"/>
                <w:sz w:val="24"/>
                <w:szCs w:val="32"/>
              </w:rPr>
              <w:t>业配备情况由评标委员会横向比较进行打分1-</w:t>
            </w:r>
            <w:r>
              <w:rPr>
                <w:rFonts w:hint="eastAsia"/>
                <w:sz w:val="24"/>
                <w:szCs w:val="32"/>
                <w:lang w:val="en-US" w:eastAsia="zh-CN"/>
              </w:rPr>
              <w:t>5分</w:t>
            </w:r>
            <w:r>
              <w:rPr>
                <w:rFonts w:hint="eastAsia"/>
                <w:sz w:val="24"/>
                <w:szCs w:val="32"/>
              </w:rPr>
              <w:t>；（小计</w:t>
            </w:r>
            <w:r>
              <w:rPr>
                <w:rFonts w:hint="eastAsia"/>
                <w:sz w:val="24"/>
                <w:szCs w:val="32"/>
                <w:lang w:val="en-US" w:eastAsia="zh-CN"/>
              </w:rPr>
              <w:t>10</w:t>
            </w:r>
            <w:r>
              <w:rPr>
                <w:rFonts w:hint="eastAsia"/>
                <w:sz w:val="24"/>
                <w:szCs w:val="3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sz w:val="24"/>
                <w:szCs w:val="32"/>
              </w:rPr>
            </w:pPr>
            <w:r>
              <w:rPr>
                <w:rFonts w:hint="eastAsia"/>
                <w:sz w:val="24"/>
                <w:szCs w:val="32"/>
              </w:rPr>
              <w:t>根据供应商</w:t>
            </w:r>
            <w:r>
              <w:rPr>
                <w:rFonts w:hint="eastAsia"/>
                <w:sz w:val="24"/>
                <w:szCs w:val="32"/>
                <w:lang w:eastAsia="zh-CN"/>
              </w:rPr>
              <w:t>服务</w:t>
            </w:r>
            <w:r>
              <w:rPr>
                <w:rFonts w:hint="eastAsia"/>
                <w:sz w:val="24"/>
                <w:szCs w:val="32"/>
              </w:rPr>
              <w:t>方案的完整性，由评标委员会横向比较进行打分</w:t>
            </w:r>
            <w:r>
              <w:rPr>
                <w:rFonts w:hint="eastAsia"/>
                <w:sz w:val="24"/>
                <w:szCs w:val="32"/>
                <w:lang w:val="en-US" w:eastAsia="zh-CN"/>
              </w:rPr>
              <w:t>1-5分</w:t>
            </w:r>
            <w:r>
              <w:rPr>
                <w:rFonts w:hint="eastAsia"/>
                <w:sz w:val="24"/>
                <w:szCs w:val="32"/>
              </w:rPr>
              <w:t>；</w:t>
            </w:r>
          </w:p>
          <w:p>
            <w:pPr>
              <w:spacing w:line="360" w:lineRule="auto"/>
              <w:rPr>
                <w:rFonts w:hint="eastAsia"/>
                <w:sz w:val="24"/>
                <w:szCs w:val="32"/>
              </w:rPr>
            </w:pPr>
            <w:r>
              <w:rPr>
                <w:rFonts w:hint="eastAsia"/>
                <w:sz w:val="24"/>
                <w:szCs w:val="32"/>
              </w:rPr>
              <w:t>根据供应商</w:t>
            </w:r>
            <w:r>
              <w:rPr>
                <w:rFonts w:hint="eastAsia"/>
                <w:sz w:val="24"/>
                <w:szCs w:val="32"/>
                <w:lang w:eastAsia="zh-CN"/>
              </w:rPr>
              <w:t>服务</w:t>
            </w:r>
            <w:r>
              <w:rPr>
                <w:rFonts w:hint="eastAsia"/>
                <w:sz w:val="24"/>
                <w:szCs w:val="32"/>
              </w:rPr>
              <w:t>方案的合理性，由评标委员会横向比较进行打分</w:t>
            </w:r>
            <w:r>
              <w:rPr>
                <w:rFonts w:hint="eastAsia"/>
                <w:sz w:val="24"/>
                <w:szCs w:val="32"/>
                <w:lang w:val="en-US" w:eastAsia="zh-CN"/>
              </w:rPr>
              <w:t>1-5分</w:t>
            </w:r>
            <w:r>
              <w:rPr>
                <w:rFonts w:hint="eastAsia"/>
                <w:sz w:val="24"/>
                <w:szCs w:val="32"/>
              </w:rPr>
              <w:t>；</w:t>
            </w:r>
          </w:p>
          <w:p>
            <w:pPr>
              <w:spacing w:line="360" w:lineRule="auto"/>
              <w:jc w:val="left"/>
              <w:rPr>
                <w:rFonts w:hint="eastAsia" w:ascii="宋体" w:hAnsi="宋体" w:eastAsia="宋体" w:cs="宋体"/>
                <w:color w:val="auto"/>
                <w:sz w:val="24"/>
                <w:szCs w:val="24"/>
                <w:highlight w:val="none"/>
              </w:rPr>
            </w:pPr>
            <w:r>
              <w:rPr>
                <w:rFonts w:hint="eastAsia"/>
                <w:sz w:val="24"/>
                <w:szCs w:val="32"/>
              </w:rPr>
              <w:t>根据供应商</w:t>
            </w:r>
            <w:r>
              <w:rPr>
                <w:rFonts w:hint="eastAsia"/>
                <w:sz w:val="24"/>
                <w:szCs w:val="32"/>
                <w:lang w:eastAsia="zh-CN"/>
              </w:rPr>
              <w:t>服务</w:t>
            </w:r>
            <w:r>
              <w:rPr>
                <w:rFonts w:hint="eastAsia"/>
                <w:sz w:val="24"/>
                <w:szCs w:val="32"/>
              </w:rPr>
              <w:t>方案的可行性，由评标委员会横向比较进行打分</w:t>
            </w:r>
            <w:r>
              <w:rPr>
                <w:rFonts w:hint="eastAsia"/>
                <w:sz w:val="24"/>
                <w:szCs w:val="32"/>
                <w:lang w:val="en-US" w:eastAsia="zh-CN"/>
              </w:rPr>
              <w:t>1-5分</w:t>
            </w:r>
            <w:r>
              <w:rPr>
                <w:rFonts w:hint="eastAsia"/>
                <w:sz w:val="24"/>
                <w:szCs w:val="32"/>
              </w:rPr>
              <w:t>；（小计</w:t>
            </w:r>
            <w:r>
              <w:rPr>
                <w:rFonts w:hint="eastAsia"/>
                <w:sz w:val="24"/>
                <w:szCs w:val="32"/>
                <w:lang w:val="en-US" w:eastAsia="zh-CN"/>
              </w:rPr>
              <w:t>15</w:t>
            </w:r>
            <w:r>
              <w:rPr>
                <w:rFonts w:hint="eastAsia"/>
                <w:sz w:val="24"/>
                <w:szCs w:val="3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25</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w:t>
            </w:r>
            <w:r>
              <w:rPr>
                <w:rFonts w:hint="eastAsia" w:ascii="宋体" w:hAnsi="宋体" w:cs="宋体"/>
                <w:color w:val="auto"/>
                <w:sz w:val="24"/>
                <w:szCs w:val="24"/>
                <w:highlight w:val="none"/>
                <w:lang w:eastAsia="zh-CN"/>
              </w:rPr>
              <w:t>医院法律服务</w:t>
            </w:r>
            <w:r>
              <w:rPr>
                <w:rFonts w:hint="eastAsia" w:ascii="宋体" w:hAnsi="宋体" w:eastAsia="宋体" w:cs="宋体"/>
                <w:color w:val="auto"/>
                <w:sz w:val="24"/>
                <w:szCs w:val="24"/>
                <w:highlight w:val="none"/>
              </w:rPr>
              <w:t>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3.在兰州本地有服务团队的得4分（提供相关证明材料）；（满分4分）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完全满足招标文件需求</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服务响应时间快，处理</w:t>
            </w:r>
            <w:r>
              <w:rPr>
                <w:rFonts w:hint="eastAsia" w:ascii="宋体" w:hAnsi="宋体" w:cs="宋体"/>
                <w:color w:val="auto"/>
                <w:sz w:val="24"/>
                <w:szCs w:val="24"/>
                <w:highlight w:val="none"/>
                <w:lang w:eastAsia="zh-CN"/>
              </w:rPr>
              <w:t>问题</w:t>
            </w:r>
            <w:r>
              <w:rPr>
                <w:rFonts w:hint="eastAsia" w:ascii="宋体" w:hAnsi="宋体" w:eastAsia="宋体" w:cs="宋体"/>
                <w:color w:val="auto"/>
                <w:sz w:val="24"/>
                <w:szCs w:val="24"/>
                <w:highlight w:val="none"/>
                <w:lang w:eastAsia="zh-CN"/>
              </w:rPr>
              <w:t>及时，应急方案完善，服务</w:t>
            </w:r>
            <w:r>
              <w:rPr>
                <w:rFonts w:hint="eastAsia" w:ascii="宋体" w:hAnsi="宋体" w:cs="宋体"/>
                <w:color w:val="auto"/>
                <w:sz w:val="24"/>
                <w:szCs w:val="24"/>
                <w:highlight w:val="none"/>
                <w:lang w:eastAsia="zh-CN"/>
              </w:rPr>
              <w:t>团队</w:t>
            </w:r>
            <w:r>
              <w:rPr>
                <w:rFonts w:hint="eastAsia" w:ascii="宋体" w:hAnsi="宋体" w:eastAsia="宋体" w:cs="宋体"/>
                <w:color w:val="auto"/>
                <w:sz w:val="24"/>
                <w:szCs w:val="24"/>
                <w:highlight w:val="none"/>
                <w:lang w:eastAsia="zh-CN"/>
              </w:rPr>
              <w:t>配备完善的</w:t>
            </w:r>
            <w:r>
              <w:rPr>
                <w:rFonts w:hint="eastAsia" w:ascii="宋体" w:hAnsi="宋体" w:cs="宋体"/>
                <w:color w:val="auto"/>
                <w:sz w:val="24"/>
                <w:szCs w:val="24"/>
                <w:highlight w:val="none"/>
                <w:lang w:val="en-US" w:eastAsia="zh-CN"/>
              </w:rPr>
              <w:t>,</w:t>
            </w:r>
            <w:r>
              <w:rPr>
                <w:rFonts w:hint="eastAsia"/>
                <w:sz w:val="24"/>
                <w:szCs w:val="32"/>
              </w:rPr>
              <w:t>由评标委员会横向比较进行打分1-</w:t>
            </w:r>
            <w:r>
              <w:rPr>
                <w:rFonts w:hint="eastAsia"/>
                <w:sz w:val="24"/>
                <w:szCs w:val="32"/>
                <w:lang w:val="en-US" w:eastAsia="zh-CN"/>
              </w:rPr>
              <w:t>10分</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（满分</w:t>
            </w:r>
            <w:r>
              <w:rPr>
                <w:rFonts w:hint="eastAsia" w:ascii="宋体" w:hAnsi="宋体" w:cs="宋体"/>
                <w:color w:val="auto"/>
                <w:sz w:val="24"/>
                <w:szCs w:val="24"/>
                <w:highlight w:val="none"/>
                <w:lang w:val="en-US" w:eastAsia="zh-CN"/>
              </w:rPr>
              <w:t>10分</w:t>
            </w:r>
            <w:r>
              <w:rPr>
                <w:rFonts w:hint="eastAsia" w:ascii="宋体" w:hAnsi="宋体" w:cs="宋体"/>
                <w:color w:val="auto"/>
                <w:sz w:val="24"/>
                <w:szCs w:val="24"/>
                <w:highlight w:val="none"/>
                <w:lang w:eastAsia="zh-CN"/>
              </w:rPr>
              <w:t>）</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5" w:name="_Toc183682432"/>
      <w:bookmarkStart w:id="196" w:name="_Toc208849022"/>
      <w:bookmarkStart w:id="197" w:name="_Toc217446105"/>
      <w:bookmarkStart w:id="198" w:name="_Toc183582297"/>
      <w:bookmarkStart w:id="199" w:name="_Toc26707"/>
      <w:bookmarkStart w:id="200" w:name="_Toc30936"/>
      <w:r>
        <w:rPr>
          <w:rFonts w:hint="eastAsia" w:ascii="宋体" w:hAnsi="宋体" w:cs="宋体"/>
          <w:sz w:val="24"/>
          <w:szCs w:val="24"/>
          <w:lang w:val="en-US" w:eastAsia="zh-CN"/>
        </w:rPr>
        <w:t>3</w:t>
      </w:r>
      <w:r>
        <w:rPr>
          <w:rFonts w:hint="eastAsia" w:ascii="宋体" w:hAnsi="宋体" w:cs="宋体"/>
          <w:sz w:val="24"/>
          <w:szCs w:val="24"/>
        </w:rPr>
        <w:t>.</w:t>
      </w:r>
      <w:bookmarkEnd w:id="195"/>
      <w:bookmarkEnd w:id="196"/>
      <w:bookmarkEnd w:id="197"/>
      <w:bookmarkEnd w:id="198"/>
      <w:r>
        <w:rPr>
          <w:rFonts w:hint="eastAsia" w:ascii="宋体" w:hAnsi="宋体" w:cs="宋体"/>
          <w:sz w:val="24"/>
          <w:szCs w:val="24"/>
        </w:rPr>
        <w:t>评标专家在采购活动中承担以下义务</w:t>
      </w:r>
      <w:bookmarkEnd w:id="199"/>
      <w:bookmarkEnd w:id="200"/>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201" w:name="_Toc7845"/>
      <w:bookmarkStart w:id="202"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201"/>
      <w:bookmarkEnd w:id="202"/>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203" w:name="_Toc11807"/>
      <w:bookmarkStart w:id="204" w:name="_Toc12937"/>
      <w:bookmarkStart w:id="205"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203"/>
      <w:bookmarkEnd w:id="204"/>
      <w:bookmarkEnd w:id="205"/>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pStyle w:val="28"/>
        <w:ind w:left="0" w:leftChars="0" w:firstLine="0" w:firstLineChars="0"/>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6" w:name="_Toc327439487"/>
      <w:bookmarkStart w:id="207"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6"/>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7"/>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8" w:name="_Toc13676"/>
      <w:bookmarkStart w:id="209" w:name="_Toc22178"/>
      <w:bookmarkStart w:id="210" w:name="_Toc23429"/>
      <w:r>
        <w:rPr>
          <w:rFonts w:hint="eastAsia" w:ascii="宋体" w:hAnsi="宋体"/>
          <w:color w:val="auto"/>
          <w:sz w:val="28"/>
          <w:szCs w:val="28"/>
          <w:highlight w:val="none"/>
        </w:rPr>
        <w:t>1.投 标 函</w:t>
      </w:r>
      <w:bookmarkEnd w:id="208"/>
      <w:bookmarkEnd w:id="209"/>
      <w:bookmarkEnd w:id="210"/>
    </w:p>
    <w:p>
      <w:pPr>
        <w:spacing w:line="380" w:lineRule="atLeast"/>
        <w:rPr>
          <w:rFonts w:hint="eastAsia" w:eastAsia="宋体"/>
          <w:color w:val="auto"/>
          <w:sz w:val="24"/>
          <w:highlight w:val="none"/>
          <w:lang w:eastAsia="zh-CN"/>
        </w:rPr>
      </w:pPr>
      <w:bookmarkStart w:id="211" w:name="_Toc327439490"/>
      <w:bookmarkStart w:id="212"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11"/>
    <w:bookmarkEnd w:id="212"/>
    <w:p>
      <w:pPr>
        <w:pStyle w:val="4"/>
        <w:numPr>
          <w:ilvl w:val="0"/>
          <w:numId w:val="0"/>
        </w:numPr>
        <w:spacing w:before="0" w:after="0"/>
        <w:ind w:firstLine="3092" w:firstLineChars="1100"/>
        <w:jc w:val="left"/>
        <w:rPr>
          <w:rFonts w:hint="eastAsia" w:ascii="宋体" w:hAnsi="宋体" w:cs="宋体"/>
          <w:sz w:val="28"/>
          <w:szCs w:val="28"/>
        </w:rPr>
      </w:pPr>
      <w:bookmarkStart w:id="213" w:name="_Toc3146"/>
      <w:bookmarkStart w:id="214" w:name="_Toc10904"/>
      <w:bookmarkStart w:id="215" w:name="_Toc16816"/>
      <w:bookmarkStart w:id="216"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13"/>
      <w:bookmarkEnd w:id="214"/>
      <w:bookmarkEnd w:id="215"/>
      <w:bookmarkStart w:id="217" w:name="_Toc3177"/>
      <w:bookmarkStart w:id="218" w:name="_Toc15783"/>
      <w:bookmarkStart w:id="219" w:name="_Toc10366"/>
      <w:bookmarkStart w:id="220" w:name="_Toc19360"/>
      <w:bookmarkStart w:id="221" w:name="_Toc19965"/>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7"/>
      <w:bookmarkEnd w:id="218"/>
      <w:bookmarkEnd w:id="219"/>
      <w:bookmarkEnd w:id="220"/>
      <w:bookmarkEnd w:id="221"/>
    </w:p>
    <w:p>
      <w:pPr>
        <w:pStyle w:val="4"/>
        <w:spacing w:before="0" w:after="0"/>
        <w:jc w:val="left"/>
        <w:rPr>
          <w:rFonts w:ascii="宋体" w:hAnsi="宋体" w:cs="宋体"/>
          <w:b w:val="0"/>
          <w:sz w:val="24"/>
          <w:szCs w:val="24"/>
        </w:rPr>
      </w:pPr>
      <w:bookmarkStart w:id="222" w:name="_Toc22060"/>
      <w:bookmarkStart w:id="223" w:name="_Toc6475"/>
      <w:bookmarkStart w:id="224" w:name="_Toc12383"/>
      <w:bookmarkStart w:id="225" w:name="_Toc19163"/>
      <w:r>
        <w:rPr>
          <w:rFonts w:hint="eastAsia" w:ascii="宋体" w:hAnsi="宋体" w:cs="宋体"/>
          <w:b w:val="0"/>
          <w:sz w:val="24"/>
          <w:szCs w:val="24"/>
        </w:rPr>
        <w:t>特此证明。</w:t>
      </w:r>
      <w:r>
        <w:rPr>
          <w:rFonts w:hint="eastAsia" w:ascii="宋体" w:hAnsi="宋体" w:cs="宋体"/>
          <w:b w:val="0"/>
          <w:sz w:val="24"/>
          <w:szCs w:val="24"/>
        </w:rPr>
        <w:br w:type="textWrapping"/>
      </w:r>
      <w:bookmarkEnd w:id="222"/>
      <w:bookmarkEnd w:id="223"/>
      <w:bookmarkEnd w:id="224"/>
      <w:bookmarkEnd w:id="225"/>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6"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7" w:name="_Toc16103"/>
      <w:bookmarkStart w:id="228" w:name="_Toc20910"/>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6"/>
      <w:bookmarkEnd w:id="227"/>
      <w:bookmarkEnd w:id="228"/>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6"/>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9" w:name="_Toc8565"/>
      <w:bookmarkStart w:id="230" w:name="_Toc20796"/>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9"/>
      <w:bookmarkEnd w:id="230"/>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1"/>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1"/>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31" w:name="_Toc17348"/>
      <w:bookmarkStart w:id="232" w:name="_Toc17704"/>
      <w:r>
        <w:rPr>
          <w:rFonts w:hint="eastAsia" w:ascii="宋体" w:hAnsi="宋体" w:cs="宋体"/>
          <w:spacing w:val="10"/>
          <w:lang w:val="en-US" w:eastAsia="zh-CN"/>
        </w:rPr>
        <w:t>5</w:t>
      </w:r>
      <w:r>
        <w:rPr>
          <w:rFonts w:hint="eastAsia" w:ascii="宋体" w:hAnsi="宋体" w:cs="宋体"/>
          <w:spacing w:val="10"/>
        </w:rPr>
        <w:t>.开标信封封面格式</w:t>
      </w:r>
      <w:bookmarkEnd w:id="231"/>
      <w:bookmarkEnd w:id="232"/>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8"/>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33" w:name="_Toc20679"/>
      <w:bookmarkStart w:id="234" w:name="_Toc21291"/>
      <w:r>
        <w:rPr>
          <w:rFonts w:hint="eastAsia" w:ascii="宋体" w:hAnsi="宋体" w:cs="宋体"/>
          <w:spacing w:val="10"/>
          <w:lang w:val="en-US" w:eastAsia="zh-CN"/>
        </w:rPr>
        <w:t>6</w:t>
      </w:r>
      <w:r>
        <w:rPr>
          <w:rFonts w:hint="eastAsia" w:ascii="宋体" w:hAnsi="宋体" w:cs="宋体"/>
          <w:spacing w:val="10"/>
        </w:rPr>
        <w:t>.投标文件封面模板</w:t>
      </w:r>
      <w:bookmarkEnd w:id="233"/>
      <w:bookmarkEnd w:id="234"/>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10"/>
        <w:spacing w:line="360" w:lineRule="auto"/>
        <w:rPr>
          <w:rFonts w:ascii="宋体" w:hAnsi="宋体" w:cs="宋体"/>
          <w:b/>
          <w:sz w:val="22"/>
          <w:szCs w:val="22"/>
        </w:rPr>
      </w:pPr>
    </w:p>
    <w:p>
      <w:pPr>
        <w:pStyle w:val="210"/>
        <w:spacing w:line="360" w:lineRule="auto"/>
        <w:rPr>
          <w:rFonts w:ascii="宋体" w:hAnsi="宋体" w:cs="宋体"/>
          <w:b/>
          <w:sz w:val="22"/>
          <w:szCs w:val="22"/>
        </w:rPr>
      </w:pPr>
    </w:p>
    <w:p>
      <w:pPr>
        <w:pStyle w:val="210"/>
        <w:spacing w:line="360" w:lineRule="auto"/>
        <w:jc w:val="center"/>
        <w:rPr>
          <w:rFonts w:ascii="宋体" w:hAnsi="宋体" w:cs="宋体"/>
          <w:b/>
          <w:szCs w:val="28"/>
        </w:rPr>
      </w:pPr>
      <w:bookmarkStart w:id="235" w:name="_Toc12836"/>
      <w:bookmarkStart w:id="236" w:name="_Toc26303"/>
      <w:bookmarkStart w:id="237" w:name="_Toc16887"/>
      <w:bookmarkStart w:id="238" w:name="_Toc3392"/>
      <w:bookmarkStart w:id="239" w:name="_Toc10205"/>
      <w:bookmarkStart w:id="240" w:name="_Toc26432"/>
      <w:bookmarkStart w:id="241" w:name="_Toc4270"/>
      <w:bookmarkStart w:id="242" w:name="_Toc8733"/>
      <w:bookmarkStart w:id="243" w:name="_Toc27827"/>
      <w:bookmarkStart w:id="244" w:name="_Toc6233"/>
      <w:bookmarkStart w:id="245" w:name="_Toc7146"/>
      <w:bookmarkStart w:id="246" w:name="_Toc27676"/>
      <w:r>
        <w:rPr>
          <w:rFonts w:hint="eastAsia" w:ascii="宋体" w:hAnsi="宋体" w:cs="宋体"/>
          <w:b/>
          <w:szCs w:val="28"/>
        </w:rPr>
        <w:t>此文件于年月日时前不得启封</w:t>
      </w:r>
      <w:bookmarkEnd w:id="235"/>
      <w:bookmarkEnd w:id="236"/>
      <w:bookmarkEnd w:id="237"/>
      <w:bookmarkEnd w:id="238"/>
      <w:bookmarkEnd w:id="239"/>
      <w:bookmarkEnd w:id="240"/>
      <w:bookmarkEnd w:id="241"/>
      <w:bookmarkEnd w:id="242"/>
      <w:bookmarkEnd w:id="243"/>
      <w:bookmarkEnd w:id="244"/>
      <w:bookmarkEnd w:id="245"/>
      <w:bookmarkEnd w:id="246"/>
    </w:p>
    <w:p>
      <w:pPr>
        <w:pStyle w:val="4"/>
        <w:spacing w:before="0" w:after="0"/>
        <w:jc w:val="both"/>
        <w:rPr>
          <w:rFonts w:ascii="宋体" w:hAnsi="宋体" w:cs="宋体"/>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7" w:name="_Toc24708"/>
      <w:bookmarkStart w:id="248" w:name="_Toc258923307"/>
      <w:bookmarkStart w:id="249" w:name="_Toc13401"/>
      <w:r>
        <w:rPr>
          <w:rFonts w:hint="eastAsia" w:ascii="宋体" w:hAnsi="宋体" w:cs="宋体"/>
          <w:spacing w:val="10"/>
          <w:lang w:val="en-US" w:eastAsia="zh-CN"/>
        </w:rPr>
        <w:t>7</w:t>
      </w:r>
      <w:r>
        <w:rPr>
          <w:rFonts w:hint="eastAsia" w:ascii="宋体" w:hAnsi="宋体" w:cs="宋体"/>
          <w:spacing w:val="10"/>
        </w:rPr>
        <w:t>.开标一览表</w:t>
      </w:r>
      <w:bookmarkEnd w:id="247"/>
      <w:bookmarkEnd w:id="248"/>
      <w:bookmarkEnd w:id="249"/>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3996"/>
        <w:gridCol w:w="3476"/>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272"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399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w:t>
            </w:r>
            <w:r>
              <w:rPr>
                <w:rFonts w:hint="eastAsia" w:ascii="宋体" w:hAnsi="宋体"/>
                <w:sz w:val="24"/>
              </w:rPr>
              <w:t>名称</w:t>
            </w:r>
          </w:p>
        </w:tc>
        <w:tc>
          <w:tcPr>
            <w:tcW w:w="3476"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r>
              <w:rPr>
                <w:rFonts w:hint="eastAsia" w:ascii="宋体" w:hAnsi="宋体"/>
                <w:sz w:val="24"/>
                <w:lang w:val="en-US" w:eastAsia="zh-CN"/>
              </w:rPr>
              <w:t>/年</w:t>
            </w:r>
            <w:r>
              <w:rPr>
                <w:rFonts w:hint="eastAsia" w:ascii="宋体" w:hAnsi="宋体"/>
                <w:sz w:val="24"/>
              </w:rPr>
              <w:t>）</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pPr>
              <w:spacing w:line="360" w:lineRule="auto"/>
              <w:jc w:val="center"/>
              <w:rPr>
                <w:rFonts w:hint="eastAsia" w:ascii="宋体" w:hAnsi="宋体" w:eastAsia="宋体"/>
                <w:sz w:val="24"/>
                <w:lang w:val="en-US" w:eastAsia="zh-CN"/>
              </w:rPr>
            </w:pPr>
            <w:r>
              <w:rPr>
                <w:rFonts w:hint="eastAsia" w:ascii="宋体" w:hAnsi="宋体"/>
                <w:sz w:val="24"/>
                <w:lang w:val="en-US" w:eastAsia="zh-CN"/>
              </w:rPr>
              <w:t>1</w:t>
            </w:r>
          </w:p>
        </w:tc>
        <w:tc>
          <w:tcPr>
            <w:tcW w:w="399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非诉讼法律顾问业务</w:t>
            </w:r>
          </w:p>
        </w:tc>
        <w:tc>
          <w:tcPr>
            <w:tcW w:w="3476" w:type="dxa"/>
            <w:noWrap w:val="0"/>
            <w:vAlign w:val="center"/>
          </w:tcPr>
          <w:p>
            <w:pPr>
              <w:spacing w:line="360" w:lineRule="auto"/>
              <w:jc w:val="center"/>
              <w:rPr>
                <w:rFonts w:hint="eastAsia" w:ascii="宋体" w:hAnsi="宋体" w:eastAsia="宋体"/>
                <w:sz w:val="24"/>
                <w:lang w:val="en-US" w:eastAsia="zh-CN"/>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272"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3996" w:type="dxa"/>
            <w:noWrap w:val="0"/>
            <w:vAlign w:val="center"/>
          </w:tcPr>
          <w:p>
            <w:pPr>
              <w:spacing w:line="360" w:lineRule="auto"/>
              <w:jc w:val="center"/>
              <w:rPr>
                <w:rFonts w:hint="eastAsia" w:ascii="宋体" w:hAnsi="宋体" w:eastAsia="宋体" w:cs="Times New Roman"/>
                <w:kern w:val="2"/>
                <w:sz w:val="24"/>
                <w:szCs w:val="24"/>
                <w:lang w:val="en-US" w:eastAsia="zh-CN" w:bidi="ar-SA"/>
              </w:rPr>
            </w:pPr>
            <w:r>
              <w:rPr>
                <w:rFonts w:hint="eastAsia" w:ascii="宋体" w:hAnsi="宋体"/>
                <w:sz w:val="24"/>
                <w:lang w:eastAsia="zh-CN"/>
              </w:rPr>
              <w:t>项目</w:t>
            </w:r>
            <w:r>
              <w:rPr>
                <w:rFonts w:hint="eastAsia" w:ascii="宋体" w:hAnsi="宋体"/>
                <w:sz w:val="24"/>
              </w:rPr>
              <w:t>名称</w:t>
            </w:r>
          </w:p>
        </w:tc>
        <w:tc>
          <w:tcPr>
            <w:tcW w:w="3476" w:type="dxa"/>
            <w:noWrap w:val="0"/>
            <w:vAlign w:val="center"/>
          </w:tcPr>
          <w:p>
            <w:pPr>
              <w:spacing w:line="360" w:lineRule="auto"/>
              <w:jc w:val="center"/>
              <w:rPr>
                <w:rFonts w:hint="eastAsia" w:ascii="宋体" w:hAnsi="宋体" w:eastAsia="宋体" w:cs="Times New Roman"/>
                <w:kern w:val="2"/>
                <w:sz w:val="24"/>
                <w:szCs w:val="24"/>
                <w:lang w:val="en-US" w:eastAsia="zh-CN" w:bidi="ar-SA"/>
              </w:rPr>
            </w:pPr>
            <w:r>
              <w:rPr>
                <w:rFonts w:hint="eastAsia" w:ascii="宋体" w:hAnsi="宋体" w:cs="Times New Roman"/>
                <w:kern w:val="2"/>
                <w:sz w:val="24"/>
                <w:szCs w:val="24"/>
                <w:lang w:val="en-US" w:eastAsia="zh-CN" w:bidi="ar-SA"/>
              </w:rPr>
              <w:t>按甘肃省律师行业收费标准（甘律协〔2016〕19号）报下浮率</w:t>
            </w:r>
          </w:p>
        </w:tc>
        <w:tc>
          <w:tcPr>
            <w:tcW w:w="1852" w:type="dxa"/>
            <w:noWrap w:val="0"/>
            <w:vAlign w:val="center"/>
          </w:tcPr>
          <w:p>
            <w:pPr>
              <w:spacing w:line="360" w:lineRule="auto"/>
              <w:jc w:val="center"/>
              <w:rPr>
                <w:rFonts w:hint="eastAsia" w:ascii="宋体" w:hAnsi="宋体" w:eastAsia="宋体"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pPr>
              <w:spacing w:line="360" w:lineRule="auto"/>
              <w:jc w:val="center"/>
              <w:rPr>
                <w:rFonts w:hint="eastAsia" w:ascii="宋体" w:hAnsi="宋体" w:eastAsia="宋体"/>
                <w:sz w:val="24"/>
                <w:lang w:val="en-US" w:eastAsia="zh-CN"/>
              </w:rPr>
            </w:pPr>
            <w:r>
              <w:rPr>
                <w:rFonts w:hint="eastAsia" w:ascii="宋体" w:hAnsi="宋体"/>
                <w:sz w:val="24"/>
                <w:lang w:val="en-US" w:eastAsia="zh-CN"/>
              </w:rPr>
              <w:t>2</w:t>
            </w:r>
          </w:p>
        </w:tc>
        <w:tc>
          <w:tcPr>
            <w:tcW w:w="399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诉讼类法律业务</w:t>
            </w:r>
          </w:p>
        </w:tc>
        <w:tc>
          <w:tcPr>
            <w:tcW w:w="3476"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w:t>
      </w:r>
      <w:r>
        <w:rPr>
          <w:rFonts w:hint="eastAsia" w:ascii="宋体" w:hAnsi="宋体" w:cs="宋体"/>
          <w:color w:val="FF0000"/>
          <w:spacing w:val="10"/>
          <w:kern w:val="2"/>
          <w:sz w:val="24"/>
          <w:szCs w:val="24"/>
          <w:u w:val="none"/>
          <w:lang w:val="en-US" w:eastAsia="zh-CN" w:bidi="ar-SA"/>
        </w:rPr>
        <w:t>公开招标为一次性报价。</w:t>
      </w: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50" w:name="_Toc11092"/>
      <w:bookmarkStart w:id="251"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50"/>
      <w:bookmarkEnd w:id="251"/>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52" w:name="_Toc15259"/>
      <w:bookmarkStart w:id="253" w:name="_Toc15499"/>
      <w:r>
        <w:rPr>
          <w:rFonts w:hint="eastAsia" w:ascii="宋体" w:hAnsi="宋体" w:cs="宋体"/>
          <w:spacing w:val="10"/>
          <w:lang w:val="en-US" w:eastAsia="zh-CN"/>
        </w:rPr>
        <w:t>9</w:t>
      </w:r>
      <w:r>
        <w:rPr>
          <w:rFonts w:hint="eastAsia" w:ascii="宋体" w:hAnsi="宋体" w:cs="宋体"/>
          <w:spacing w:val="10"/>
        </w:rPr>
        <w:t>.投标人一般情况表</w:t>
      </w:r>
      <w:bookmarkEnd w:id="252"/>
      <w:bookmarkEnd w:id="253"/>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54" w:name="_Toc8038"/>
      <w:bookmarkStart w:id="255"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54"/>
      <w:bookmarkEnd w:id="255"/>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1"/>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6" w:name="_Toc258923313"/>
      <w:bookmarkStart w:id="257" w:name="_Toc5303"/>
      <w:bookmarkStart w:id="258"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6"/>
      <w:bookmarkEnd w:id="257"/>
      <w:bookmarkEnd w:id="258"/>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9" w:name="_Toc258923314"/>
      <w:bookmarkStart w:id="260" w:name="_Toc4829"/>
      <w:bookmarkStart w:id="261"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9"/>
      <w:bookmarkStart w:id="262" w:name="_Toc7169"/>
      <w:r>
        <w:rPr>
          <w:rFonts w:hint="eastAsia" w:ascii="宋体" w:hAnsi="宋体" w:cs="宋体"/>
          <w:spacing w:val="10"/>
        </w:rPr>
        <w:t>投标人的相关资料和业绩证明材料</w:t>
      </w:r>
      <w:bookmarkEnd w:id="260"/>
      <w:bookmarkEnd w:id="261"/>
      <w:bookmarkEnd w:id="262"/>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color w:val="FF0000"/>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color w:val="FF0000"/>
          <w:sz w:val="24"/>
          <w:szCs w:val="32"/>
          <w:shd w:val="clear" w:color="auto" w:fill="FFFFFF"/>
        </w:rPr>
        <w:t>：</w:t>
      </w:r>
      <w:r>
        <w:rPr>
          <w:rFonts w:hint="eastAsia" w:ascii="宋体" w:hAnsi="宋体" w:cs="宋体"/>
          <w:color w:val="FF0000"/>
          <w:sz w:val="24"/>
          <w:szCs w:val="32"/>
          <w:shd w:val="clear" w:color="auto" w:fill="FFFFFF"/>
          <w:lang w:val="en-US" w:eastAsia="zh-CN"/>
        </w:rPr>
        <w:t>1.</w:t>
      </w:r>
      <w:r>
        <w:rPr>
          <w:rFonts w:hint="eastAsia" w:ascii="宋体" w:hAnsi="宋体" w:cs="宋体"/>
          <w:color w:val="FF0000"/>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color w:val="FF0000"/>
          <w:sz w:val="24"/>
          <w:szCs w:val="32"/>
          <w:shd w:val="clear" w:color="auto" w:fill="FFFFFF"/>
        </w:rPr>
      </w:pPr>
      <w:r>
        <w:rPr>
          <w:rFonts w:hint="eastAsia" w:ascii="宋体" w:hAnsi="宋体" w:cs="宋体"/>
          <w:color w:val="FF0000"/>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63" w:name="_Toc456166280"/>
      <w:bookmarkStart w:id="264" w:name="_Toc433806381"/>
      <w:bookmarkStart w:id="265" w:name="_Toc32144"/>
      <w:bookmarkStart w:id="266"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63"/>
      <w:bookmarkEnd w:id="264"/>
      <w:r>
        <w:rPr>
          <w:rFonts w:hint="eastAsia" w:ascii="宋体" w:hAnsi="宋体" w:cs="宋体"/>
          <w:spacing w:val="10"/>
        </w:rPr>
        <w:t>无违法记录声明</w:t>
      </w:r>
      <w:bookmarkEnd w:id="265"/>
      <w:bookmarkEnd w:id="266"/>
    </w:p>
    <w:p>
      <w:pPr>
        <w:rPr>
          <w:rFonts w:hint="eastAsia" w:ascii="宋体" w:hAnsi="宋体" w:eastAsia="宋体" w:cs="宋体"/>
          <w:b w:val="0"/>
          <w:sz w:val="24"/>
          <w:szCs w:val="24"/>
          <w:lang w:eastAsia="zh-CN"/>
        </w:rPr>
      </w:pPr>
      <w:bookmarkStart w:id="267" w:name="_Toc16308"/>
      <w:bookmarkStart w:id="268" w:name="_Toc20408"/>
      <w:bookmarkStart w:id="269" w:name="_Toc15673"/>
      <w:bookmarkStart w:id="270" w:name="_Toc15095"/>
      <w:bookmarkStart w:id="271"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7"/>
      <w:bookmarkEnd w:id="268"/>
      <w:bookmarkEnd w:id="269"/>
      <w:bookmarkEnd w:id="270"/>
      <w:bookmarkEnd w:id="271"/>
    </w:p>
    <w:p>
      <w:pPr>
        <w:pStyle w:val="4"/>
        <w:spacing w:before="0" w:after="100" w:afterAutospacing="1"/>
        <w:ind w:firstLine="480"/>
        <w:jc w:val="left"/>
        <w:rPr>
          <w:rFonts w:hint="eastAsia" w:ascii="宋体" w:hAnsi="宋体" w:eastAsia="宋体" w:cs="宋体"/>
          <w:b w:val="0"/>
          <w:sz w:val="24"/>
          <w:szCs w:val="24"/>
          <w:lang w:eastAsia="zh-CN"/>
        </w:rPr>
      </w:pPr>
      <w:bookmarkStart w:id="272" w:name="_Toc19846"/>
      <w:bookmarkStart w:id="273" w:name="_Toc9385"/>
      <w:bookmarkStart w:id="274" w:name="_Toc408"/>
      <w:bookmarkStart w:id="275" w:name="_Toc7530"/>
      <w:bookmarkStart w:id="276" w:name="_Toc1997"/>
      <w:r>
        <w:rPr>
          <w:rFonts w:hint="eastAsia" w:ascii="宋体" w:hAnsi="宋体" w:cs="宋体"/>
          <w:b w:val="0"/>
          <w:sz w:val="24"/>
          <w:szCs w:val="24"/>
        </w:rPr>
        <w:t>特此声明。</w:t>
      </w:r>
      <w:r>
        <w:rPr>
          <w:rFonts w:hint="eastAsia" w:ascii="宋体" w:hAnsi="宋体" w:cs="宋体"/>
          <w:b w:val="0"/>
          <w:sz w:val="24"/>
          <w:szCs w:val="24"/>
        </w:rPr>
        <w:br w:type="textWrapping"/>
      </w:r>
      <w:bookmarkEnd w:id="272"/>
      <w:bookmarkEnd w:id="273"/>
      <w:bookmarkEnd w:id="274"/>
      <w:bookmarkEnd w:id="275"/>
      <w:bookmarkEnd w:id="276"/>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7" w:name="_Toc21316"/>
      <w:r>
        <w:rPr>
          <w:rFonts w:hint="eastAsia" w:hAnsi="宋体" w:cs="宋体"/>
          <w:sz w:val="24"/>
          <w:szCs w:val="24"/>
        </w:rPr>
        <w:t>投标人：</w:t>
      </w:r>
      <w:r>
        <w:rPr>
          <w:rFonts w:hint="eastAsia" w:hAnsi="宋体" w:cs="宋体"/>
          <w:sz w:val="24"/>
          <w:szCs w:val="24"/>
          <w:u w:val="single"/>
        </w:rPr>
        <w:t>（盖章）</w:t>
      </w:r>
      <w:r>
        <w:rPr>
          <w:rStyle w:val="215"/>
          <w:rFonts w:hint="eastAsia" w:ascii="宋体" w:hAnsi="宋体" w:eastAsia="宋体" w:cs="宋体"/>
          <w:color w:val="auto"/>
          <w:sz w:val="24"/>
          <w:szCs w:val="24"/>
        </w:rPr>
        <w:br w:type="textWrapping"/>
      </w:r>
      <w:r>
        <w:rPr>
          <w:rStyle w:val="215"/>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7"/>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8" w:name="_Toc29602"/>
      <w:bookmarkStart w:id="279" w:name="_Toc14086"/>
      <w:r>
        <w:rPr>
          <w:rFonts w:hint="eastAsia" w:ascii="宋体" w:hAnsi="宋体" w:cs="宋体"/>
          <w:sz w:val="32"/>
          <w:szCs w:val="32"/>
          <w:lang w:val="en-US" w:eastAsia="zh-CN"/>
        </w:rPr>
        <w:t>14.投标人具备履行合同所必需的设备和专业技术能力的证明材料</w:t>
      </w:r>
      <w:bookmarkEnd w:id="278"/>
      <w:bookmarkEnd w:id="279"/>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80" w:name="_Toc30081"/>
      <w:bookmarkStart w:id="281"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.服务</w:t>
      </w:r>
      <w:r>
        <w:rPr>
          <w:rFonts w:hint="eastAsia" w:ascii="宋体" w:hAnsi="宋体" w:cs="宋体"/>
          <w:sz w:val="32"/>
          <w:szCs w:val="32"/>
          <w:lang w:val="en-US" w:eastAsia="zh-CN"/>
        </w:rPr>
        <w:t>方案</w:t>
      </w:r>
      <w:r>
        <w:rPr>
          <w:rFonts w:hint="eastAsia" w:ascii="宋体" w:hAnsi="宋体" w:eastAsia="宋体" w:cs="宋体"/>
          <w:sz w:val="32"/>
          <w:szCs w:val="32"/>
          <w:lang w:val="en-US" w:eastAsia="zh-CN"/>
        </w:rPr>
        <w:t>（格式自拟）</w:t>
      </w:r>
      <w:bookmarkEnd w:id="280"/>
      <w:bookmarkEnd w:id="281"/>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28"/>
        <w:ind w:left="0" w:leftChars="0" w:firstLine="0" w:firstLineChars="0"/>
        <w:rPr>
          <w:rFonts w:hint="eastAsia"/>
        </w:rPr>
      </w:pPr>
      <w:bookmarkStart w:id="282" w:name="_Toc26527"/>
    </w:p>
    <w:p>
      <w:pPr>
        <w:rPr>
          <w:rFonts w:hint="eastAsia"/>
        </w:rPr>
      </w:pPr>
    </w:p>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82"/>
      <w:r>
        <w:rPr>
          <w:rFonts w:hint="eastAsia" w:ascii="宋体" w:hAnsi="宋体" w:cs="宋体"/>
          <w:sz w:val="32"/>
          <w:szCs w:val="32"/>
          <w:lang w:val="en-US" w:eastAsia="zh-CN"/>
        </w:rPr>
        <w:t>(中标后双方协商拟定）</w:t>
      </w:r>
    </w:p>
    <w:p>
      <w:pPr>
        <w:pStyle w:val="2"/>
        <w:rPr>
          <w:rFonts w:hint="eastAsia" w:ascii="宋体" w:hAnsi="宋体" w:cs="宋体"/>
          <w:b/>
          <w:bCs/>
          <w:sz w:val="48"/>
          <w:szCs w:val="48"/>
        </w:rPr>
      </w:pPr>
    </w:p>
    <w:p>
      <w:pPr>
        <w:jc w:val="center"/>
        <w:rPr>
          <w:rFonts w:ascii="宋体" w:hAnsi="宋体" w:cs="宋体"/>
          <w:b/>
          <w:bCs/>
          <w:sz w:val="48"/>
          <w:szCs w:val="48"/>
        </w:rPr>
      </w:pPr>
    </w:p>
    <w:p/>
    <w:sectPr>
      <w:headerReference r:id="rId17"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3C5B2BFF"/>
    <w:multiLevelType w:val="multilevel"/>
    <w:tmpl w:val="3C5B2BFF"/>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8EEE2A9"/>
    <w:multiLevelType w:val="singleLevel"/>
    <w:tmpl w:val="58EEE2A9"/>
    <w:lvl w:ilvl="0" w:tentative="0">
      <w:start w:val="1"/>
      <w:numFmt w:val="decimal"/>
      <w:suff w:val="space"/>
      <w:lvlText w:val="%1)"/>
      <w:lvlJc w:val="left"/>
    </w:lvl>
  </w:abstractNum>
  <w:abstractNum w:abstractNumId="4">
    <w:nsid w:val="5983EC99"/>
    <w:multiLevelType w:val="singleLevel"/>
    <w:tmpl w:val="5983EC99"/>
    <w:lvl w:ilvl="0" w:tentative="0">
      <w:start w:val="3"/>
      <w:numFmt w:val="chineseCounting"/>
      <w:suff w:val="space"/>
      <w:lvlText w:val="第%1章"/>
      <w:lvlJc w:val="left"/>
    </w:lvl>
  </w:abstractNum>
  <w:abstractNum w:abstractNumId="5">
    <w:nsid w:val="59DF3391"/>
    <w:multiLevelType w:val="singleLevel"/>
    <w:tmpl w:val="59DF3391"/>
    <w:lvl w:ilvl="0" w:tentative="0">
      <w:start w:val="7"/>
      <w:numFmt w:val="decimal"/>
      <w:suff w:val="space"/>
      <w:lvlText w:val="%1."/>
      <w:lvlJc w:val="left"/>
    </w:lvl>
  </w:abstractNum>
  <w:abstractNum w:abstractNumId="6">
    <w:nsid w:val="7DB1AA8B"/>
    <w:multiLevelType w:val="singleLevel"/>
    <w:tmpl w:val="7DB1AA8B"/>
    <w:lvl w:ilvl="0" w:tentative="0">
      <w:start w:val="3"/>
      <w:numFmt w:val="decimal"/>
      <w:suff w:val="nothing"/>
      <w:lvlText w:val="%1）"/>
      <w:lvlJc w:val="left"/>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66FC1"/>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ED00D5"/>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3250E5"/>
    <w:rsid w:val="07472771"/>
    <w:rsid w:val="074B78AB"/>
    <w:rsid w:val="074F5873"/>
    <w:rsid w:val="07504CC4"/>
    <w:rsid w:val="075064E9"/>
    <w:rsid w:val="07522ABF"/>
    <w:rsid w:val="075B45A5"/>
    <w:rsid w:val="075D0276"/>
    <w:rsid w:val="0761239B"/>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D5E50"/>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0760"/>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AF14914"/>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97B9A"/>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B2003"/>
    <w:rsid w:val="108D27C1"/>
    <w:rsid w:val="109B2FCF"/>
    <w:rsid w:val="10A77CD7"/>
    <w:rsid w:val="10A85506"/>
    <w:rsid w:val="10AB7444"/>
    <w:rsid w:val="10BA2A48"/>
    <w:rsid w:val="10C22A13"/>
    <w:rsid w:val="10C43E48"/>
    <w:rsid w:val="10C77F65"/>
    <w:rsid w:val="10C90E33"/>
    <w:rsid w:val="10CC60CD"/>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315787"/>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AA2E7A"/>
    <w:rsid w:val="13B068E2"/>
    <w:rsid w:val="13B11F42"/>
    <w:rsid w:val="13B57F7D"/>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2A3E92"/>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931B67"/>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31ADC"/>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E3F24"/>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07D02"/>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D2456"/>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12969"/>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A68C2"/>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347FA"/>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53D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661C7B"/>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90EE3"/>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8A72C5"/>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73504A"/>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3F7E35"/>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96306"/>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D12D6"/>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1A014E"/>
    <w:rsid w:val="54297CAD"/>
    <w:rsid w:val="542E69F4"/>
    <w:rsid w:val="54345A48"/>
    <w:rsid w:val="54364520"/>
    <w:rsid w:val="54396075"/>
    <w:rsid w:val="543D582B"/>
    <w:rsid w:val="5440732C"/>
    <w:rsid w:val="544276DA"/>
    <w:rsid w:val="54443B8B"/>
    <w:rsid w:val="54460F2A"/>
    <w:rsid w:val="544E6061"/>
    <w:rsid w:val="545218C0"/>
    <w:rsid w:val="54577ABF"/>
    <w:rsid w:val="545E5EC1"/>
    <w:rsid w:val="54615AD2"/>
    <w:rsid w:val="546553BD"/>
    <w:rsid w:val="54690674"/>
    <w:rsid w:val="546F1773"/>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92CB8"/>
    <w:rsid w:val="57FA6893"/>
    <w:rsid w:val="58057441"/>
    <w:rsid w:val="580C2399"/>
    <w:rsid w:val="58175174"/>
    <w:rsid w:val="582747CA"/>
    <w:rsid w:val="582A2869"/>
    <w:rsid w:val="582C3471"/>
    <w:rsid w:val="582D0AF9"/>
    <w:rsid w:val="582D635C"/>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94F"/>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AC5031"/>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5F3DCB"/>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27B53"/>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351A7"/>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54623"/>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6B41FA"/>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51251"/>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D2955"/>
    <w:rsid w:val="7D1E1A11"/>
    <w:rsid w:val="7D207B9C"/>
    <w:rsid w:val="7D2148F6"/>
    <w:rsid w:val="7D216877"/>
    <w:rsid w:val="7D2916FA"/>
    <w:rsid w:val="7D2F550A"/>
    <w:rsid w:val="7D307F1F"/>
    <w:rsid w:val="7D4744D0"/>
    <w:rsid w:val="7D4B6ED5"/>
    <w:rsid w:val="7D4F2E1A"/>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99"/>
    <w:pPr>
      <w:spacing w:line="360" w:lineRule="auto"/>
      <w:jc w:val="center"/>
      <w:outlineLvl w:val="0"/>
    </w:pPr>
    <w:rPr>
      <w:b/>
      <w:bCs/>
      <w:kern w:val="44"/>
      <w:sz w:val="44"/>
      <w:szCs w:val="44"/>
    </w:rPr>
  </w:style>
  <w:style w:type="paragraph" w:styleId="4">
    <w:name w:val="heading 2"/>
    <w:basedOn w:val="1"/>
    <w:next w:val="5"/>
    <w:link w:val="50"/>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1"/>
    <w:qFormat/>
    <w:uiPriority w:val="99"/>
    <w:pPr>
      <w:spacing w:line="360" w:lineRule="auto"/>
      <w:ind w:firstLine="482" w:firstLineChars="200"/>
      <w:outlineLvl w:val="2"/>
    </w:pPr>
    <w:rPr>
      <w:b/>
      <w:bCs/>
      <w:kern w:val="0"/>
      <w:sz w:val="32"/>
      <w:szCs w:val="32"/>
    </w:rPr>
  </w:style>
  <w:style w:type="paragraph" w:styleId="7">
    <w:name w:val="heading 4"/>
    <w:basedOn w:val="1"/>
    <w:next w:val="1"/>
    <w:link w:val="52"/>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3"/>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4"/>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5"/>
    <w:qFormat/>
    <w:uiPriority w:val="99"/>
    <w:pPr>
      <w:keepNext/>
      <w:keepLines/>
      <w:spacing w:before="240" w:after="64" w:line="320" w:lineRule="auto"/>
      <w:outlineLvl w:val="6"/>
    </w:pPr>
    <w:rPr>
      <w:b/>
      <w:bCs/>
      <w:kern w:val="0"/>
      <w:sz w:val="24"/>
    </w:rPr>
  </w:style>
  <w:style w:type="paragraph" w:styleId="11">
    <w:name w:val="heading 8"/>
    <w:basedOn w:val="1"/>
    <w:next w:val="1"/>
    <w:link w:val="56"/>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7"/>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0"/>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8"/>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9"/>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1"/>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2"/>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3"/>
    <w:qFormat/>
    <w:uiPriority w:val="99"/>
    <w:pPr>
      <w:ind w:left="100" w:leftChars="2500"/>
    </w:pPr>
    <w:rPr>
      <w:kern w:val="0"/>
      <w:sz w:val="24"/>
    </w:rPr>
  </w:style>
  <w:style w:type="paragraph" w:styleId="21">
    <w:name w:val="Body Text Indent 2"/>
    <w:basedOn w:val="1"/>
    <w:link w:val="64"/>
    <w:qFormat/>
    <w:uiPriority w:val="99"/>
    <w:pPr>
      <w:spacing w:line="460" w:lineRule="exact"/>
      <w:ind w:firstLine="570"/>
    </w:pPr>
    <w:rPr>
      <w:kern w:val="0"/>
      <w:sz w:val="24"/>
    </w:rPr>
  </w:style>
  <w:style w:type="paragraph" w:styleId="22">
    <w:name w:val="Balloon Text"/>
    <w:basedOn w:val="1"/>
    <w:link w:val="65"/>
    <w:qFormat/>
    <w:uiPriority w:val="99"/>
    <w:rPr>
      <w:kern w:val="0"/>
      <w:sz w:val="16"/>
      <w:szCs w:val="16"/>
    </w:rPr>
  </w:style>
  <w:style w:type="paragraph" w:styleId="23">
    <w:name w:val="footer"/>
    <w:basedOn w:val="1"/>
    <w:link w:val="66"/>
    <w:qFormat/>
    <w:uiPriority w:val="99"/>
    <w:pPr>
      <w:tabs>
        <w:tab w:val="center" w:pos="4153"/>
        <w:tab w:val="right" w:pos="8306"/>
      </w:tabs>
      <w:snapToGrid w:val="0"/>
      <w:jc w:val="left"/>
    </w:pPr>
    <w:rPr>
      <w:kern w:val="0"/>
      <w:sz w:val="18"/>
      <w:szCs w:val="18"/>
    </w:rPr>
  </w:style>
  <w:style w:type="paragraph" w:styleId="24">
    <w:name w:val="header"/>
    <w:basedOn w:val="1"/>
    <w:link w:val="67"/>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8"/>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9"/>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annotation reference"/>
    <w:basedOn w:val="37"/>
    <w:qFormat/>
    <w:locked/>
    <w:uiPriority w:val="0"/>
    <w:rPr>
      <w:sz w:val="21"/>
      <w:szCs w:val="21"/>
    </w:rPr>
  </w:style>
  <w:style w:type="character" w:styleId="48">
    <w:name w:val="HTML Cite"/>
    <w:basedOn w:val="37"/>
    <w:unhideWhenUsed/>
    <w:qFormat/>
    <w:locked/>
    <w:uiPriority w:val="99"/>
  </w:style>
  <w:style w:type="character" w:customStyle="1" w:styleId="49">
    <w:name w:val="标题 1 Char"/>
    <w:link w:val="3"/>
    <w:qFormat/>
    <w:locked/>
    <w:uiPriority w:val="99"/>
    <w:rPr>
      <w:rFonts w:cs="Times New Roman"/>
      <w:b/>
      <w:bCs/>
      <w:kern w:val="44"/>
      <w:sz w:val="44"/>
      <w:szCs w:val="44"/>
    </w:rPr>
  </w:style>
  <w:style w:type="character" w:customStyle="1" w:styleId="50">
    <w:name w:val="标题 2 Char"/>
    <w:link w:val="4"/>
    <w:semiHidden/>
    <w:qFormat/>
    <w:locked/>
    <w:uiPriority w:val="99"/>
    <w:rPr>
      <w:rFonts w:ascii="Cambria" w:hAnsi="Cambria" w:eastAsia="宋体" w:cs="黑体"/>
      <w:b/>
      <w:bCs/>
      <w:sz w:val="32"/>
      <w:szCs w:val="32"/>
    </w:rPr>
  </w:style>
  <w:style w:type="character" w:customStyle="1" w:styleId="51">
    <w:name w:val="标题 3 Char"/>
    <w:link w:val="6"/>
    <w:semiHidden/>
    <w:qFormat/>
    <w:locked/>
    <w:uiPriority w:val="99"/>
    <w:rPr>
      <w:rFonts w:cs="Times New Roman"/>
      <w:b/>
      <w:bCs/>
      <w:sz w:val="32"/>
      <w:szCs w:val="32"/>
    </w:rPr>
  </w:style>
  <w:style w:type="character" w:customStyle="1" w:styleId="52">
    <w:name w:val="标题 4 Char"/>
    <w:link w:val="7"/>
    <w:semiHidden/>
    <w:qFormat/>
    <w:locked/>
    <w:uiPriority w:val="99"/>
    <w:rPr>
      <w:rFonts w:ascii="Cambria" w:hAnsi="Cambria" w:eastAsia="宋体" w:cs="黑体"/>
      <w:b/>
      <w:bCs/>
      <w:sz w:val="28"/>
      <w:szCs w:val="28"/>
    </w:rPr>
  </w:style>
  <w:style w:type="character" w:customStyle="1" w:styleId="53">
    <w:name w:val="标题 5 Char"/>
    <w:link w:val="8"/>
    <w:semiHidden/>
    <w:qFormat/>
    <w:locked/>
    <w:uiPriority w:val="99"/>
    <w:rPr>
      <w:rFonts w:cs="Times New Roman"/>
      <w:b/>
      <w:bCs/>
      <w:sz w:val="28"/>
      <w:szCs w:val="28"/>
    </w:rPr>
  </w:style>
  <w:style w:type="character" w:customStyle="1" w:styleId="54">
    <w:name w:val="标题 6 Char"/>
    <w:link w:val="9"/>
    <w:semiHidden/>
    <w:qFormat/>
    <w:locked/>
    <w:uiPriority w:val="99"/>
    <w:rPr>
      <w:rFonts w:ascii="Cambria" w:hAnsi="Cambria" w:eastAsia="宋体" w:cs="黑体"/>
      <w:b/>
      <w:bCs/>
      <w:sz w:val="24"/>
      <w:szCs w:val="24"/>
    </w:rPr>
  </w:style>
  <w:style w:type="character" w:customStyle="1" w:styleId="55">
    <w:name w:val="标题 7 Char"/>
    <w:link w:val="10"/>
    <w:semiHidden/>
    <w:qFormat/>
    <w:locked/>
    <w:uiPriority w:val="99"/>
    <w:rPr>
      <w:rFonts w:cs="Times New Roman"/>
      <w:b/>
      <w:bCs/>
      <w:sz w:val="24"/>
      <w:szCs w:val="24"/>
    </w:rPr>
  </w:style>
  <w:style w:type="character" w:customStyle="1" w:styleId="56">
    <w:name w:val="标题 8 Char"/>
    <w:link w:val="11"/>
    <w:semiHidden/>
    <w:qFormat/>
    <w:locked/>
    <w:uiPriority w:val="99"/>
    <w:rPr>
      <w:rFonts w:ascii="Cambria" w:hAnsi="Cambria" w:eastAsia="宋体" w:cs="黑体"/>
      <w:sz w:val="24"/>
      <w:szCs w:val="24"/>
    </w:rPr>
  </w:style>
  <w:style w:type="character" w:customStyle="1" w:styleId="57">
    <w:name w:val="标题 9 Char"/>
    <w:link w:val="12"/>
    <w:semiHidden/>
    <w:qFormat/>
    <w:locked/>
    <w:uiPriority w:val="99"/>
    <w:rPr>
      <w:rFonts w:ascii="Cambria" w:hAnsi="Cambria" w:eastAsia="宋体" w:cs="黑体"/>
      <w:sz w:val="21"/>
      <w:szCs w:val="21"/>
    </w:rPr>
  </w:style>
  <w:style w:type="character" w:customStyle="1" w:styleId="58">
    <w:name w:val="注释标题 Char"/>
    <w:link w:val="13"/>
    <w:semiHidden/>
    <w:qFormat/>
    <w:locked/>
    <w:uiPriority w:val="99"/>
    <w:rPr>
      <w:rFonts w:cs="Times New Roman"/>
      <w:sz w:val="24"/>
      <w:szCs w:val="24"/>
    </w:rPr>
  </w:style>
  <w:style w:type="character" w:customStyle="1" w:styleId="59">
    <w:name w:val="文档结构图 Char"/>
    <w:link w:val="15"/>
    <w:semiHidden/>
    <w:qFormat/>
    <w:locked/>
    <w:uiPriority w:val="99"/>
    <w:rPr>
      <w:rFonts w:ascii="宋体" w:cs="Times New Roman"/>
      <w:kern w:val="2"/>
      <w:sz w:val="18"/>
      <w:szCs w:val="18"/>
    </w:rPr>
  </w:style>
  <w:style w:type="character" w:customStyle="1" w:styleId="60">
    <w:name w:val="正文文本 Char"/>
    <w:link w:val="2"/>
    <w:semiHidden/>
    <w:qFormat/>
    <w:locked/>
    <w:uiPriority w:val="99"/>
    <w:rPr>
      <w:rFonts w:cs="Times New Roman"/>
      <w:sz w:val="24"/>
      <w:szCs w:val="24"/>
    </w:rPr>
  </w:style>
  <w:style w:type="character" w:customStyle="1" w:styleId="61">
    <w:name w:val="正文文本缩进 Char"/>
    <w:link w:val="17"/>
    <w:semiHidden/>
    <w:qFormat/>
    <w:locked/>
    <w:uiPriority w:val="99"/>
    <w:rPr>
      <w:rFonts w:cs="Times New Roman"/>
      <w:sz w:val="24"/>
      <w:szCs w:val="24"/>
    </w:rPr>
  </w:style>
  <w:style w:type="character" w:customStyle="1" w:styleId="62">
    <w:name w:val="纯文本 Char"/>
    <w:link w:val="19"/>
    <w:semiHidden/>
    <w:qFormat/>
    <w:locked/>
    <w:uiPriority w:val="99"/>
    <w:rPr>
      <w:rFonts w:ascii="宋体" w:hAnsi="Courier New" w:cs="Courier New"/>
      <w:sz w:val="21"/>
      <w:szCs w:val="21"/>
    </w:rPr>
  </w:style>
  <w:style w:type="character" w:customStyle="1" w:styleId="63">
    <w:name w:val="日期 Char"/>
    <w:link w:val="20"/>
    <w:semiHidden/>
    <w:qFormat/>
    <w:locked/>
    <w:uiPriority w:val="99"/>
    <w:rPr>
      <w:rFonts w:cs="Times New Roman"/>
      <w:sz w:val="24"/>
      <w:szCs w:val="24"/>
    </w:rPr>
  </w:style>
  <w:style w:type="character" w:customStyle="1" w:styleId="64">
    <w:name w:val="正文文本缩进 2 Char"/>
    <w:link w:val="21"/>
    <w:semiHidden/>
    <w:qFormat/>
    <w:locked/>
    <w:uiPriority w:val="99"/>
    <w:rPr>
      <w:rFonts w:cs="Times New Roman"/>
      <w:sz w:val="24"/>
      <w:szCs w:val="24"/>
    </w:rPr>
  </w:style>
  <w:style w:type="character" w:customStyle="1" w:styleId="65">
    <w:name w:val="批注框文本 Char"/>
    <w:link w:val="22"/>
    <w:semiHidden/>
    <w:qFormat/>
    <w:locked/>
    <w:uiPriority w:val="99"/>
    <w:rPr>
      <w:rFonts w:cs="Times New Roman"/>
      <w:sz w:val="16"/>
      <w:szCs w:val="16"/>
    </w:rPr>
  </w:style>
  <w:style w:type="character" w:customStyle="1" w:styleId="66">
    <w:name w:val="页脚 Char"/>
    <w:link w:val="23"/>
    <w:semiHidden/>
    <w:qFormat/>
    <w:locked/>
    <w:uiPriority w:val="99"/>
    <w:rPr>
      <w:rFonts w:cs="Times New Roman"/>
      <w:sz w:val="18"/>
      <w:szCs w:val="18"/>
    </w:rPr>
  </w:style>
  <w:style w:type="character" w:customStyle="1" w:styleId="67">
    <w:name w:val="页眉 Char"/>
    <w:link w:val="24"/>
    <w:semiHidden/>
    <w:qFormat/>
    <w:locked/>
    <w:uiPriority w:val="99"/>
    <w:rPr>
      <w:rFonts w:cs="Times New Roman"/>
      <w:sz w:val="18"/>
      <w:szCs w:val="18"/>
    </w:rPr>
  </w:style>
  <w:style w:type="character" w:customStyle="1" w:styleId="68">
    <w:name w:val="正文文本缩进 3 Char"/>
    <w:link w:val="27"/>
    <w:semiHidden/>
    <w:qFormat/>
    <w:locked/>
    <w:uiPriority w:val="99"/>
    <w:rPr>
      <w:rFonts w:cs="Times New Roman"/>
      <w:sz w:val="16"/>
      <w:szCs w:val="16"/>
    </w:rPr>
  </w:style>
  <w:style w:type="character" w:customStyle="1" w:styleId="69">
    <w:name w:val="标题 Char"/>
    <w:link w:val="33"/>
    <w:qFormat/>
    <w:locked/>
    <w:uiPriority w:val="99"/>
    <w:rPr>
      <w:rFonts w:ascii="Cambria" w:hAnsi="Cambria" w:cs="Times New Roman"/>
      <w:b/>
      <w:bCs/>
      <w:kern w:val="2"/>
      <w:sz w:val="32"/>
      <w:szCs w:val="32"/>
    </w:rPr>
  </w:style>
  <w:style w:type="paragraph" w:customStyle="1" w:styleId="70">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1">
    <w:name w:val="表中"/>
    <w:basedOn w:val="1"/>
    <w:qFormat/>
    <w:uiPriority w:val="99"/>
    <w:pPr>
      <w:adjustRightInd w:val="0"/>
      <w:snapToGrid w:val="0"/>
      <w:spacing w:line="420" w:lineRule="atLeast"/>
      <w:jc w:val="center"/>
      <w:textAlignment w:val="baseline"/>
    </w:pPr>
    <w:rPr>
      <w:kern w:val="0"/>
      <w:szCs w:val="20"/>
    </w:rPr>
  </w:style>
  <w:style w:type="paragraph" w:customStyle="1" w:styleId="72">
    <w:name w:val="样式1"/>
    <w:basedOn w:val="1"/>
    <w:qFormat/>
    <w:uiPriority w:val="99"/>
    <w:pPr>
      <w:tabs>
        <w:tab w:val="left" w:pos="360"/>
      </w:tabs>
    </w:pPr>
  </w:style>
  <w:style w:type="paragraph" w:customStyle="1" w:styleId="73">
    <w:name w:val="附件正文"/>
    <w:basedOn w:val="1"/>
    <w:qFormat/>
    <w:uiPriority w:val="99"/>
    <w:pPr>
      <w:snapToGrid w:val="0"/>
    </w:pPr>
    <w:rPr>
      <w:kern w:val="0"/>
      <w:sz w:val="24"/>
    </w:rPr>
  </w:style>
  <w:style w:type="paragraph" w:customStyle="1" w:styleId="74">
    <w:name w:val="列出段落1"/>
    <w:basedOn w:val="1"/>
    <w:qFormat/>
    <w:uiPriority w:val="99"/>
    <w:pPr>
      <w:ind w:firstLine="420" w:firstLineChars="200"/>
    </w:pPr>
  </w:style>
  <w:style w:type="paragraph" w:customStyle="1" w:styleId="75">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6">
    <w:name w:val="注"/>
    <w:basedOn w:val="1"/>
    <w:qFormat/>
    <w:uiPriority w:val="99"/>
    <w:pPr>
      <w:adjustRightInd w:val="0"/>
      <w:spacing w:line="420" w:lineRule="atLeast"/>
      <w:ind w:firstLine="340"/>
      <w:textAlignment w:val="baseline"/>
    </w:pPr>
    <w:rPr>
      <w:kern w:val="0"/>
      <w:sz w:val="18"/>
      <w:szCs w:val="20"/>
    </w:rPr>
  </w:style>
  <w:style w:type="paragraph" w:customStyle="1" w:styleId="7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8">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9">
    <w:name w:val="标题4"/>
    <w:basedOn w:val="1"/>
    <w:qFormat/>
    <w:uiPriority w:val="99"/>
    <w:pPr>
      <w:spacing w:beforeLines="100" w:afterLines="100" w:line="360" w:lineRule="auto"/>
    </w:pPr>
    <w:rPr>
      <w:sz w:val="28"/>
    </w:rPr>
  </w:style>
  <w:style w:type="paragraph" w:customStyle="1" w:styleId="80">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1">
    <w:name w:val="列出段落2"/>
    <w:basedOn w:val="1"/>
    <w:qFormat/>
    <w:uiPriority w:val="99"/>
    <w:pPr>
      <w:ind w:firstLine="420" w:firstLineChars="200"/>
    </w:pPr>
    <w:rPr>
      <w:rFonts w:ascii="Calibri" w:hAnsi="Calibri"/>
      <w:szCs w:val="22"/>
    </w:rPr>
  </w:style>
  <w:style w:type="paragraph" w:customStyle="1" w:styleId="82">
    <w:name w:val="列出段落3"/>
    <w:basedOn w:val="1"/>
    <w:qFormat/>
    <w:uiPriority w:val="99"/>
    <w:pPr>
      <w:ind w:firstLine="420" w:firstLineChars="200"/>
    </w:pPr>
    <w:rPr>
      <w:rFonts w:ascii="Calibri" w:hAnsi="Calibri"/>
      <w:szCs w:val="22"/>
    </w:rPr>
  </w:style>
  <w:style w:type="paragraph" w:customStyle="1" w:styleId="83">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4">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5">
    <w:name w:val="font7"/>
    <w:basedOn w:val="1"/>
    <w:qFormat/>
    <w:uiPriority w:val="99"/>
    <w:pPr>
      <w:widowControl/>
      <w:spacing w:before="100" w:beforeAutospacing="1" w:after="100" w:afterAutospacing="1"/>
      <w:jc w:val="left"/>
    </w:pPr>
    <w:rPr>
      <w:kern w:val="0"/>
      <w:sz w:val="20"/>
      <w:szCs w:val="20"/>
    </w:rPr>
  </w:style>
  <w:style w:type="paragraph" w:customStyle="1" w:styleId="86">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7">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8">
    <w:name w:val="font10"/>
    <w:basedOn w:val="1"/>
    <w:qFormat/>
    <w:uiPriority w:val="99"/>
    <w:pPr>
      <w:widowControl/>
      <w:spacing w:before="100" w:beforeAutospacing="1" w:after="100" w:afterAutospacing="1"/>
      <w:jc w:val="left"/>
    </w:pPr>
    <w:rPr>
      <w:kern w:val="0"/>
      <w:szCs w:val="21"/>
    </w:rPr>
  </w:style>
  <w:style w:type="paragraph" w:customStyle="1" w:styleId="89">
    <w:name w:val="font11"/>
    <w:basedOn w:val="1"/>
    <w:qFormat/>
    <w:uiPriority w:val="99"/>
    <w:pPr>
      <w:widowControl/>
      <w:spacing w:before="100" w:beforeAutospacing="1" w:after="100" w:afterAutospacing="1"/>
      <w:jc w:val="left"/>
    </w:pPr>
    <w:rPr>
      <w:kern w:val="0"/>
      <w:sz w:val="22"/>
      <w:szCs w:val="22"/>
    </w:rPr>
  </w:style>
  <w:style w:type="paragraph" w:customStyle="1" w:styleId="90">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1">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2">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3">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4">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5">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6">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1">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2">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4">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7">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8">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9">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0">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5">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6">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9">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0">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4">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7">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8">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8">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0">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4">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4">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6">
    <w:name w:val="Char Char Char"/>
    <w:qFormat/>
    <w:uiPriority w:val="99"/>
    <w:rPr>
      <w:rFonts w:ascii="Arial" w:hAnsi="Arial" w:eastAsia="宋体" w:cs="Times New Roman"/>
      <w:b/>
      <w:bCs/>
      <w:kern w:val="2"/>
      <w:sz w:val="32"/>
      <w:szCs w:val="32"/>
      <w:lang w:val="en-US" w:eastAsia="zh-CN" w:bidi="ar-SA"/>
    </w:rPr>
  </w:style>
  <w:style w:type="character" w:customStyle="1" w:styleId="177">
    <w:name w:val="Char Char1"/>
    <w:qFormat/>
    <w:uiPriority w:val="99"/>
    <w:rPr>
      <w:rFonts w:eastAsia="宋体" w:cs="Times New Roman"/>
      <w:b/>
      <w:bCs/>
      <w:kern w:val="44"/>
      <w:sz w:val="44"/>
      <w:szCs w:val="44"/>
      <w:lang w:val="en-US" w:eastAsia="zh-CN" w:bidi="ar-SA"/>
    </w:rPr>
  </w:style>
  <w:style w:type="character" w:customStyle="1" w:styleId="178">
    <w:name w:val="标题 2 Char Char"/>
    <w:qFormat/>
    <w:uiPriority w:val="99"/>
    <w:rPr>
      <w:rFonts w:ascii="Arial" w:hAnsi="Arial" w:eastAsia="宋体" w:cs="Times New Roman"/>
      <w:b/>
      <w:bCs/>
      <w:kern w:val="2"/>
      <w:sz w:val="32"/>
      <w:szCs w:val="32"/>
      <w:lang w:val="en-US" w:eastAsia="zh-CN" w:bidi="ar-SA"/>
    </w:rPr>
  </w:style>
  <w:style w:type="character" w:customStyle="1" w:styleId="179">
    <w:name w:val="unnamed11"/>
    <w:qFormat/>
    <w:uiPriority w:val="99"/>
    <w:rPr>
      <w:rFonts w:cs="Times New Roman"/>
      <w:sz w:val="18"/>
      <w:szCs w:val="18"/>
    </w:rPr>
  </w:style>
  <w:style w:type="character" w:customStyle="1" w:styleId="180">
    <w:name w:val="页码1"/>
    <w:qFormat/>
    <w:uiPriority w:val="99"/>
    <w:rPr>
      <w:rFonts w:cs="Times New Roman"/>
    </w:rPr>
  </w:style>
  <w:style w:type="character" w:customStyle="1" w:styleId="181">
    <w:name w:val="font131"/>
    <w:qFormat/>
    <w:uiPriority w:val="99"/>
    <w:rPr>
      <w:rFonts w:ascii="宋体" w:hAnsi="宋体" w:eastAsia="宋体" w:cs="宋体"/>
      <w:color w:val="000000"/>
      <w:sz w:val="22"/>
      <w:szCs w:val="22"/>
      <w:u w:val="none"/>
    </w:rPr>
  </w:style>
  <w:style w:type="character" w:customStyle="1" w:styleId="182">
    <w:name w:val="font81"/>
    <w:qFormat/>
    <w:uiPriority w:val="99"/>
    <w:rPr>
      <w:rFonts w:ascii="Arial" w:hAnsi="Arial" w:cs="Arial"/>
      <w:color w:val="000000"/>
      <w:sz w:val="22"/>
      <w:szCs w:val="22"/>
      <w:u w:val="none"/>
    </w:rPr>
  </w:style>
  <w:style w:type="character" w:customStyle="1" w:styleId="183">
    <w:name w:val="font91"/>
    <w:qFormat/>
    <w:uiPriority w:val="99"/>
    <w:rPr>
      <w:rFonts w:ascii="宋体" w:hAnsi="宋体" w:eastAsia="宋体" w:cs="宋体"/>
      <w:color w:val="000000"/>
      <w:sz w:val="14"/>
      <w:szCs w:val="14"/>
      <w:u w:val="none"/>
    </w:rPr>
  </w:style>
  <w:style w:type="character" w:customStyle="1" w:styleId="184">
    <w:name w:val="font61"/>
    <w:qFormat/>
    <w:uiPriority w:val="99"/>
    <w:rPr>
      <w:rFonts w:ascii="宋体" w:hAnsi="宋体" w:eastAsia="宋体" w:cs="宋体"/>
      <w:color w:val="000000"/>
      <w:sz w:val="20"/>
      <w:szCs w:val="20"/>
      <w:u w:val="none"/>
    </w:rPr>
  </w:style>
  <w:style w:type="character" w:customStyle="1" w:styleId="185">
    <w:name w:val="font21"/>
    <w:qFormat/>
    <w:uiPriority w:val="99"/>
    <w:rPr>
      <w:rFonts w:ascii="宋体" w:hAnsi="宋体" w:eastAsia="宋体" w:cs="宋体"/>
      <w:color w:val="000000"/>
      <w:sz w:val="16"/>
      <w:szCs w:val="16"/>
      <w:u w:val="none"/>
    </w:rPr>
  </w:style>
  <w:style w:type="character" w:customStyle="1" w:styleId="186">
    <w:name w:val="font31"/>
    <w:qFormat/>
    <w:uiPriority w:val="99"/>
    <w:rPr>
      <w:rFonts w:ascii="Arial" w:hAnsi="Arial" w:cs="Arial"/>
      <w:b/>
      <w:color w:val="000000"/>
      <w:sz w:val="22"/>
      <w:szCs w:val="22"/>
      <w:u w:val="none"/>
    </w:rPr>
  </w:style>
  <w:style w:type="character" w:customStyle="1" w:styleId="187">
    <w:name w:val="font111"/>
    <w:qFormat/>
    <w:uiPriority w:val="99"/>
    <w:rPr>
      <w:rFonts w:ascii="宋体" w:hAnsi="宋体" w:eastAsia="宋体" w:cs="宋体"/>
      <w:b/>
      <w:color w:val="000000"/>
      <w:sz w:val="22"/>
      <w:szCs w:val="22"/>
      <w:u w:val="none"/>
    </w:rPr>
  </w:style>
  <w:style w:type="character" w:customStyle="1" w:styleId="188">
    <w:name w:val="font51"/>
    <w:qFormat/>
    <w:uiPriority w:val="99"/>
    <w:rPr>
      <w:rFonts w:ascii="Arial" w:hAnsi="Arial" w:cs="Arial"/>
      <w:b/>
      <w:color w:val="000000"/>
      <w:sz w:val="20"/>
      <w:szCs w:val="20"/>
      <w:u w:val="none"/>
    </w:rPr>
  </w:style>
  <w:style w:type="character" w:customStyle="1" w:styleId="189">
    <w:name w:val="font101"/>
    <w:qFormat/>
    <w:uiPriority w:val="99"/>
    <w:rPr>
      <w:rFonts w:ascii="宋体" w:hAnsi="宋体" w:eastAsia="宋体" w:cs="宋体"/>
      <w:b/>
      <w:color w:val="000000"/>
      <w:sz w:val="20"/>
      <w:szCs w:val="20"/>
      <w:u w:val="none"/>
    </w:rPr>
  </w:style>
  <w:style w:type="character" w:customStyle="1" w:styleId="190">
    <w:name w:val="font01"/>
    <w:qFormat/>
    <w:uiPriority w:val="99"/>
    <w:rPr>
      <w:rFonts w:ascii="Arial" w:hAnsi="Arial" w:cs="Arial"/>
      <w:color w:val="000000"/>
      <w:sz w:val="20"/>
      <w:szCs w:val="20"/>
      <w:u w:val="none"/>
    </w:rPr>
  </w:style>
  <w:style w:type="character" w:customStyle="1" w:styleId="191">
    <w:name w:val="font41"/>
    <w:qFormat/>
    <w:uiPriority w:val="99"/>
    <w:rPr>
      <w:rFonts w:ascii="微软雅黑" w:hAnsi="微软雅黑" w:eastAsia="微软雅黑" w:cs="微软雅黑"/>
      <w:color w:val="000000"/>
      <w:sz w:val="20"/>
      <w:szCs w:val="20"/>
      <w:u w:val="none"/>
    </w:rPr>
  </w:style>
  <w:style w:type="character" w:customStyle="1" w:styleId="192">
    <w:name w:val="font121"/>
    <w:qFormat/>
    <w:uiPriority w:val="99"/>
    <w:rPr>
      <w:rFonts w:ascii="宋体" w:hAnsi="宋体" w:eastAsia="宋体" w:cs="宋体"/>
      <w:color w:val="000000"/>
      <w:sz w:val="22"/>
      <w:szCs w:val="22"/>
      <w:u w:val="none"/>
    </w:rPr>
  </w:style>
  <w:style w:type="character" w:customStyle="1" w:styleId="193">
    <w:name w:val="font151"/>
    <w:qFormat/>
    <w:uiPriority w:val="99"/>
    <w:rPr>
      <w:rFonts w:ascii="Calibri" w:hAnsi="Calibri" w:cs="Calibri"/>
      <w:color w:val="000000"/>
      <w:sz w:val="20"/>
      <w:szCs w:val="20"/>
      <w:u w:val="none"/>
    </w:rPr>
  </w:style>
  <w:style w:type="character" w:customStyle="1" w:styleId="194">
    <w:name w:val="font141"/>
    <w:qFormat/>
    <w:uiPriority w:val="99"/>
    <w:rPr>
      <w:rFonts w:ascii="Calibri" w:hAnsi="Calibri" w:cs="Calibri"/>
      <w:color w:val="000000"/>
      <w:sz w:val="21"/>
      <w:szCs w:val="21"/>
      <w:u w:val="none"/>
    </w:rPr>
  </w:style>
  <w:style w:type="character" w:customStyle="1" w:styleId="195">
    <w:name w:val="font71"/>
    <w:qFormat/>
    <w:uiPriority w:val="99"/>
    <w:rPr>
      <w:rFonts w:ascii="宋体" w:hAnsi="宋体" w:eastAsia="宋体" w:cs="宋体"/>
      <w:color w:val="000000"/>
      <w:sz w:val="18"/>
      <w:szCs w:val="18"/>
      <w:u w:val="none"/>
    </w:rPr>
  </w:style>
  <w:style w:type="character" w:customStyle="1" w:styleId="196">
    <w:name w:val="l-btn-empty"/>
    <w:basedOn w:val="37"/>
    <w:qFormat/>
    <w:uiPriority w:val="0"/>
  </w:style>
  <w:style w:type="character" w:customStyle="1" w:styleId="197">
    <w:name w:val="l-btn-left2"/>
    <w:basedOn w:val="37"/>
    <w:qFormat/>
    <w:uiPriority w:val="0"/>
  </w:style>
  <w:style w:type="character" w:customStyle="1" w:styleId="198">
    <w:name w:val="l-btn-left3"/>
    <w:basedOn w:val="37"/>
    <w:qFormat/>
    <w:uiPriority w:val="0"/>
  </w:style>
  <w:style w:type="character" w:customStyle="1" w:styleId="199">
    <w:name w:val="l-btn-left4"/>
    <w:basedOn w:val="37"/>
    <w:qFormat/>
    <w:uiPriority w:val="0"/>
  </w:style>
  <w:style w:type="character" w:customStyle="1" w:styleId="200">
    <w:name w:val="l-btn-left5"/>
    <w:basedOn w:val="37"/>
    <w:qFormat/>
    <w:uiPriority w:val="0"/>
  </w:style>
  <w:style w:type="character" w:customStyle="1" w:styleId="201">
    <w:name w:val="l-btn-text"/>
    <w:basedOn w:val="37"/>
    <w:qFormat/>
    <w:uiPriority w:val="0"/>
  </w:style>
  <w:style w:type="character" w:customStyle="1" w:styleId="202">
    <w:name w:val="l-selected2"/>
    <w:qFormat/>
    <w:uiPriority w:val="0"/>
    <w:rPr>
      <w:color w:val="355686"/>
      <w:bdr w:val="single" w:color="DAB364" w:sz="6" w:space="0"/>
      <w:shd w:val="clear" w:color="auto" w:fill="FFFFFF"/>
    </w:rPr>
  </w:style>
  <w:style w:type="character" w:customStyle="1" w:styleId="203">
    <w:name w:val="l-open"/>
    <w:basedOn w:val="37"/>
    <w:qFormat/>
    <w:uiPriority w:val="0"/>
  </w:style>
  <w:style w:type="character" w:customStyle="1" w:styleId="204">
    <w:name w:val="l-over"/>
    <w:qFormat/>
    <w:uiPriority w:val="0"/>
    <w:rPr>
      <w:bdr w:val="single" w:color="DAB364" w:sz="6" w:space="0"/>
    </w:rPr>
  </w:style>
  <w:style w:type="character" w:customStyle="1" w:styleId="205">
    <w:name w:val="l-selected"/>
    <w:qFormat/>
    <w:uiPriority w:val="0"/>
    <w:rPr>
      <w:color w:val="355686"/>
      <w:bdr w:val="single" w:color="DAB364" w:sz="6" w:space="0"/>
      <w:shd w:val="clear" w:color="auto" w:fill="FFFFFF"/>
    </w:rPr>
  </w:style>
  <w:style w:type="character" w:customStyle="1" w:styleId="206">
    <w:name w:val="l-btn-left"/>
    <w:basedOn w:val="37"/>
    <w:qFormat/>
    <w:uiPriority w:val="0"/>
  </w:style>
  <w:style w:type="character" w:customStyle="1" w:styleId="207">
    <w:name w:val="l-btn-left1"/>
    <w:basedOn w:val="37"/>
    <w:qFormat/>
    <w:uiPriority w:val="0"/>
  </w:style>
  <w:style w:type="paragraph" w:customStyle="1" w:styleId="20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9">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0">
    <w:name w:val="样式3"/>
    <w:basedOn w:val="19"/>
    <w:qFormat/>
    <w:uiPriority w:val="0"/>
    <w:pPr>
      <w:spacing w:line="0" w:lineRule="atLeast"/>
      <w:outlineLvl w:val="0"/>
    </w:pPr>
    <w:rPr>
      <w:rFonts w:ascii="Times New Roman" w:hAnsi="Times New Roman"/>
      <w:sz w:val="28"/>
    </w:rPr>
  </w:style>
  <w:style w:type="paragraph" w:customStyle="1" w:styleId="211">
    <w:name w:val="列出段落4"/>
    <w:basedOn w:val="1"/>
    <w:qFormat/>
    <w:uiPriority w:val="34"/>
    <w:pPr>
      <w:ind w:firstLine="420" w:firstLineChars="200"/>
    </w:pPr>
  </w:style>
  <w:style w:type="character" w:customStyle="1" w:styleId="212">
    <w:name w:val="tcolor4"/>
    <w:qFormat/>
    <w:uiPriority w:val="0"/>
    <w:rPr>
      <w:rFonts w:ascii="lucida grande" w:hAnsi="lucida grande" w:eastAsia="lucida grande" w:cs="lucida grande"/>
      <w:color w:val="7F7F7F"/>
      <w:sz w:val="18"/>
      <w:szCs w:val="18"/>
    </w:rPr>
  </w:style>
  <w:style w:type="character" w:customStyle="1" w:styleId="213">
    <w:name w:val="apple-style-span"/>
    <w:qFormat/>
    <w:uiPriority w:val="0"/>
    <w:rPr>
      <w:rFonts w:cs="Times New Roman"/>
    </w:rPr>
  </w:style>
  <w:style w:type="paragraph" w:customStyle="1" w:styleId="214">
    <w:name w:val="_Style 1"/>
    <w:basedOn w:val="1"/>
    <w:qFormat/>
    <w:uiPriority w:val="0"/>
    <w:pPr>
      <w:ind w:firstLine="420" w:firstLineChars="200"/>
    </w:pPr>
    <w:rPr>
      <w:szCs w:val="22"/>
    </w:rPr>
  </w:style>
  <w:style w:type="character" w:customStyle="1" w:styleId="215">
    <w:name w:val="fontstyle21"/>
    <w:qFormat/>
    <w:uiPriority w:val="0"/>
    <w:rPr>
      <w:rFonts w:ascii="TimesNewRomanPSMT" w:hAnsi="TimesNewRomanPSMT" w:eastAsia="TimesNewRomanPSMT" w:cs="TimesNewRomanPSMT"/>
      <w:color w:val="000000"/>
      <w:sz w:val="18"/>
      <w:szCs w:val="18"/>
    </w:rPr>
  </w:style>
  <w:style w:type="character" w:customStyle="1" w:styleId="216">
    <w:name w:val="fontstyle01"/>
    <w:qFormat/>
    <w:uiPriority w:val="0"/>
    <w:rPr>
      <w:rFonts w:hint="eastAsia" w:ascii="宋体" w:hAnsi="宋体" w:eastAsia="宋体" w:cs="宋体"/>
      <w:color w:val="000000"/>
      <w:sz w:val="24"/>
      <w:szCs w:val="24"/>
    </w:rPr>
  </w:style>
  <w:style w:type="paragraph" w:customStyle="1" w:styleId="217">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8">
    <w:name w:val="标准段落正文"/>
    <w:basedOn w:val="219"/>
    <w:qFormat/>
    <w:uiPriority w:val="0"/>
    <w:pPr>
      <w:spacing w:beforeLines="0" w:afterLines="0"/>
      <w:ind w:left="0" w:leftChars="0" w:firstLine="480" w:firstLineChars="200"/>
      <w:jc w:val="left"/>
    </w:pPr>
    <w:rPr>
      <w:rFonts w:eastAsia="宋体"/>
    </w:rPr>
  </w:style>
  <w:style w:type="paragraph" w:customStyle="1" w:styleId="219">
    <w:name w:val="单括号小标题"/>
    <w:basedOn w:val="1"/>
    <w:qFormat/>
    <w:uiPriority w:val="0"/>
    <w:pPr>
      <w:spacing w:beforeLines="50" w:afterLines="100" w:line="360" w:lineRule="auto"/>
      <w:ind w:left="200" w:leftChars="200"/>
    </w:pPr>
    <w:rPr>
      <w:rFonts w:eastAsia="黑体"/>
      <w:sz w:val="24"/>
    </w:rPr>
  </w:style>
  <w:style w:type="paragraph" w:styleId="220">
    <w:name w:val="List Paragraph"/>
    <w:basedOn w:val="1"/>
    <w:qFormat/>
    <w:uiPriority w:val="34"/>
    <w:pPr>
      <w:ind w:firstLine="420" w:firstLineChars="200"/>
    </w:pPr>
  </w:style>
  <w:style w:type="paragraph" w:customStyle="1" w:styleId="221">
    <w:name w:val="Table Paragraph"/>
    <w:basedOn w:val="1"/>
    <w:qFormat/>
    <w:uiPriority w:val="1"/>
    <w:rPr>
      <w:rFonts w:ascii="宋体" w:hAnsi="宋体" w:cs="宋体"/>
    </w:rPr>
  </w:style>
  <w:style w:type="paragraph" w:customStyle="1" w:styleId="222">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3">
    <w:name w:val="add"/>
    <w:basedOn w:val="37"/>
    <w:qFormat/>
    <w:uiPriority w:val="0"/>
  </w:style>
  <w:style w:type="character" w:customStyle="1" w:styleId="224">
    <w:name w:val="hover9"/>
    <w:basedOn w:val="37"/>
    <w:qFormat/>
    <w:uiPriority w:val="0"/>
    <w:rPr>
      <w:color w:val="FF0000"/>
    </w:rPr>
  </w:style>
  <w:style w:type="character" w:customStyle="1" w:styleId="225">
    <w:name w:val="orange"/>
    <w:basedOn w:val="37"/>
    <w:qFormat/>
    <w:uiPriority w:val="0"/>
    <w:rPr>
      <w:color w:val="FF851A"/>
    </w:rPr>
  </w:style>
  <w:style w:type="character" w:customStyle="1" w:styleId="226">
    <w:name w:val="tradclose"/>
    <w:basedOn w:val="37"/>
    <w:qFormat/>
    <w:uiPriority w:val="0"/>
    <w:rPr>
      <w:sz w:val="30"/>
      <w:szCs w:val="30"/>
    </w:rPr>
  </w:style>
  <w:style w:type="character" w:customStyle="1" w:styleId="227">
    <w:name w:val="hover7"/>
    <w:basedOn w:val="37"/>
    <w:qFormat/>
    <w:uiPriority w:val="0"/>
    <w:rPr>
      <w:color w:val="FF0000"/>
    </w:rPr>
  </w:style>
  <w:style w:type="paragraph" w:customStyle="1" w:styleId="228">
    <w:name w:val="标题 2_0"/>
    <w:basedOn w:val="229"/>
    <w:next w:val="229"/>
    <w:qFormat/>
    <w:uiPriority w:val="0"/>
    <w:pPr>
      <w:keepNext/>
      <w:keepLines/>
      <w:spacing w:before="260" w:after="260" w:line="415" w:lineRule="auto"/>
      <w:outlineLvl w:val="1"/>
    </w:pPr>
    <w:rPr>
      <w:rFonts w:ascii="Cambria" w:hAnsi="Cambria"/>
      <w:b/>
      <w:bCs/>
      <w:kern w:val="0"/>
      <w:sz w:val="32"/>
      <w:szCs w:val="32"/>
    </w:rPr>
  </w:style>
  <w:style w:type="paragraph" w:customStyle="1" w:styleId="229">
    <w:name w:val="正文_0"/>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5</TotalTime>
  <ScaleCrop>false</ScaleCrop>
  <LinksUpToDate>false</LinksUpToDate>
  <CharactersWithSpaces>36057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『La reine』</cp:lastModifiedBy>
  <cp:lastPrinted>2017-05-08T03:41:00Z</cp:lastPrinted>
  <dcterms:modified xsi:type="dcterms:W3CDTF">2020-06-28T03:42:37Z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