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
      </w:pPr>
    </w:p>
    <w:p>
      <w:pPr>
        <w:spacing w:line="360" w:lineRule="auto"/>
        <w:jc w:val="center"/>
        <w:rPr>
          <w:rFonts w:ascii="宋体" w:hAnsi="宋体" w:cs="宋体"/>
          <w:b/>
          <w:bCs w:val="0"/>
          <w:color w:val="auto"/>
          <w:kern w:val="0"/>
          <w:sz w:val="72"/>
          <w:szCs w:val="72"/>
        </w:rPr>
      </w:pPr>
      <w:r>
        <w:rPr>
          <w:rFonts w:hint="eastAsia" w:ascii="宋体" w:hAnsi="宋体" w:cs="宋体"/>
          <w:b/>
          <w:bCs w:val="0"/>
          <w:color w:val="auto"/>
          <w:kern w:val="0"/>
          <w:sz w:val="72"/>
          <w:szCs w:val="72"/>
        </w:rPr>
        <w:t>甘肃省</w:t>
      </w:r>
      <w:r>
        <w:rPr>
          <w:rFonts w:hint="eastAsia" w:ascii="宋体" w:hAnsi="宋体" w:cs="宋体"/>
          <w:b/>
          <w:bCs w:val="0"/>
          <w:color w:val="auto"/>
          <w:kern w:val="0"/>
          <w:sz w:val="72"/>
          <w:szCs w:val="72"/>
          <w:lang w:eastAsia="zh-CN"/>
        </w:rPr>
        <w:t>第二人民医院新冠病区弱电信息化改造项目代理招标</w:t>
      </w:r>
      <w:r>
        <w:rPr>
          <w:rFonts w:hint="eastAsia" w:ascii="宋体" w:hAnsi="宋体" w:cs="宋体"/>
          <w:b/>
          <w:bCs w:val="0"/>
          <w:color w:val="auto"/>
          <w:kern w:val="0"/>
          <w:sz w:val="72"/>
          <w:szCs w:val="72"/>
          <w:lang w:val="en-US" w:eastAsia="zh-CN"/>
        </w:rPr>
        <w:t>服务采购</w:t>
      </w:r>
      <w:r>
        <w:rPr>
          <w:rFonts w:hint="eastAsia" w:ascii="宋体" w:hAnsi="宋体" w:cs="宋体"/>
          <w:b/>
          <w:bCs w:val="0"/>
          <w:color w:val="auto"/>
          <w:kern w:val="0"/>
          <w:sz w:val="72"/>
          <w:szCs w:val="72"/>
        </w:rPr>
        <w:t>项目</w:t>
      </w:r>
    </w:p>
    <w:p>
      <w:pPr>
        <w:spacing w:line="360" w:lineRule="auto"/>
        <w:rPr>
          <w:rFonts w:ascii="宋体" w:hAnsi="宋体" w:cs="宋体"/>
          <w:b/>
          <w:color w:val="auto"/>
          <w:kern w:val="0"/>
          <w:sz w:val="52"/>
          <w:szCs w:val="52"/>
        </w:rPr>
      </w:pPr>
    </w:p>
    <w:p>
      <w:pPr>
        <w:pStyle w:val="2"/>
        <w:rPr>
          <w:rFonts w:ascii="宋体" w:hAnsi="宋体" w:cs="宋体"/>
          <w:b/>
          <w:color w:val="auto"/>
          <w:kern w:val="0"/>
          <w:sz w:val="52"/>
          <w:szCs w:val="52"/>
        </w:rPr>
      </w:pPr>
    </w:p>
    <w:p>
      <w:pPr>
        <w:rPr>
          <w:color w:val="auto"/>
        </w:rPr>
      </w:pPr>
    </w:p>
    <w:p>
      <w:pPr>
        <w:spacing w:line="360" w:lineRule="auto"/>
        <w:rPr>
          <w:rFonts w:ascii="宋体" w:hAnsi="宋体" w:cs="宋体"/>
          <w:b/>
          <w:color w:val="auto"/>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SEY-2020YNCG-097</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color w:val="auto"/>
          <w:sz w:val="30"/>
          <w:szCs w:val="30"/>
        </w:rPr>
        <w:t>：</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七</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051"/>
      <w:bookmarkStart w:id="3" w:name="_Toc128372729"/>
      <w:bookmarkStart w:id="4" w:name="_Toc327439434"/>
      <w:bookmarkStart w:id="5" w:name="_Toc139965325"/>
    </w:p>
    <w:p>
      <w:pPr>
        <w:pStyle w:val="3"/>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color w:val="auto"/>
          <w:sz w:val="24"/>
        </w:rPr>
      </w:pPr>
      <w:r>
        <w:rPr>
          <w:rFonts w:hint="eastAsia" w:ascii="宋体" w:hAnsi="宋体" w:cs="宋体"/>
          <w:sz w:val="24"/>
          <w:lang w:eastAsia="zh-CN"/>
        </w:rPr>
        <w:t>根据相关科室需求，经院主管</w:t>
      </w:r>
      <w:r>
        <w:rPr>
          <w:rFonts w:hint="eastAsia" w:ascii="宋体" w:hAnsi="宋体" w:cs="宋体"/>
          <w:color w:val="auto"/>
          <w:sz w:val="24"/>
          <w:lang w:eastAsia="zh-CN"/>
        </w:rPr>
        <w:t>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甘肃省第二人民医院新冠病区弱电信息化改造项目代理招标</w:t>
      </w:r>
      <w:r>
        <w:rPr>
          <w:rFonts w:hint="eastAsia" w:ascii="宋体" w:hAnsi="宋体" w:cs="宋体"/>
          <w:bCs/>
          <w:color w:val="auto"/>
          <w:sz w:val="24"/>
          <w:lang w:val="en-US" w:eastAsia="zh-CN"/>
        </w:rPr>
        <w:t>服务</w:t>
      </w:r>
      <w:r>
        <w:rPr>
          <w:rFonts w:hint="eastAsia" w:ascii="宋体" w:hAnsi="宋体" w:cs="宋体"/>
          <w:bCs/>
          <w:color w:val="auto"/>
          <w:sz w:val="24"/>
        </w:rPr>
        <w:t>项目</w:t>
      </w:r>
      <w:r>
        <w:rPr>
          <w:rFonts w:hint="eastAsia" w:ascii="宋体" w:hAnsi="宋体" w:cs="宋体"/>
          <w:color w:val="auto"/>
          <w:sz w:val="24"/>
        </w:rPr>
        <w:t>以公开招标形式进行</w:t>
      </w:r>
      <w:r>
        <w:rPr>
          <w:rFonts w:hint="eastAsia" w:ascii="宋体" w:hAnsi="宋体" w:cs="宋体"/>
          <w:color w:val="auto"/>
          <w:sz w:val="24"/>
          <w:lang w:eastAsia="zh-CN"/>
        </w:rPr>
        <w:t>紧急</w:t>
      </w:r>
      <w:r>
        <w:rPr>
          <w:rFonts w:hint="eastAsia" w:ascii="宋体" w:hAnsi="宋体" w:cs="宋体"/>
          <w:color w:val="auto"/>
          <w:sz w:val="24"/>
        </w:rPr>
        <w:t>采购，欢迎符合资格条件的投标人前来参加。</w:t>
      </w:r>
    </w:p>
    <w:p>
      <w:pPr>
        <w:spacing w:line="360" w:lineRule="auto"/>
        <w:rPr>
          <w:rFonts w:hint="eastAsia"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SEY-2020YNCG-097</w:t>
      </w:r>
    </w:p>
    <w:p>
      <w:pPr>
        <w:pStyle w:val="20"/>
        <w:keepNext w:val="0"/>
        <w:keepLines w:val="0"/>
        <w:pageBreakBefore w:val="0"/>
        <w:kinsoku/>
        <w:wordWrap/>
        <w:overflowPunct/>
        <w:topLinePunct w:val="0"/>
        <w:autoSpaceDE/>
        <w:autoSpaceDN/>
        <w:bidi w:val="0"/>
        <w:spacing w:before="0" w:beforeAutospacing="0" w:line="420" w:lineRule="exact"/>
        <w:rPr>
          <w:rFonts w:ascii="宋体" w:hAnsi="宋体" w:cs="宋体"/>
          <w:color w:val="auto"/>
          <w:sz w:val="24"/>
        </w:rPr>
      </w:pPr>
      <w:r>
        <w:rPr>
          <w:rFonts w:hint="eastAsia" w:ascii="宋体" w:hAnsi="宋体" w:cs="宋体"/>
          <w:b/>
          <w:bCs/>
          <w:color w:val="auto"/>
          <w:sz w:val="24"/>
        </w:rPr>
        <w:t>2.招标内容：</w:t>
      </w:r>
      <w:r>
        <w:rPr>
          <w:rFonts w:hint="eastAsia" w:ascii="宋体" w:hAnsi="宋体" w:cs="宋体"/>
          <w:bCs/>
          <w:color w:val="auto"/>
          <w:sz w:val="24"/>
          <w:lang w:eastAsia="zh-CN"/>
        </w:rPr>
        <w:t>新冠病区弱电信息化改造项目代理招标</w:t>
      </w:r>
      <w:r>
        <w:rPr>
          <w:rFonts w:hint="eastAsia" w:ascii="宋体" w:hAnsi="宋体" w:cs="宋体"/>
          <w:bCs/>
          <w:color w:val="auto"/>
          <w:sz w:val="24"/>
          <w:lang w:val="en-US" w:eastAsia="zh-CN"/>
        </w:rPr>
        <w:t>服务</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(本项目共一个包，具体招标要求详见招标文件)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ascii="宋体" w:hAnsi="宋体" w:cs="宋体"/>
          <w:color w:val="auto"/>
          <w:sz w:val="24"/>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2）</w:t>
      </w:r>
      <w:r>
        <w:rPr>
          <w:rFonts w:hint="eastAsia" w:ascii="宋体" w:hAnsi="宋体" w:cs="宋体"/>
          <w:color w:val="000000" w:themeColor="text1"/>
          <w:sz w:val="24"/>
          <w14:textFill>
            <w14:solidFill>
              <w14:schemeClr w14:val="tx1"/>
            </w14:solidFill>
          </w14:textFill>
        </w:rPr>
        <w:t>本项目不</w:t>
      </w:r>
      <w:r>
        <w:rPr>
          <w:rFonts w:hint="eastAsia" w:ascii="宋体" w:hAnsi="宋体" w:cs="宋体"/>
          <w:color w:val="auto"/>
          <w:sz w:val="24"/>
        </w:rPr>
        <w:t>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val="en-US" w:eastAsia="zh-CN"/>
        </w:rPr>
        <w:t>/</w:t>
      </w:r>
    </w:p>
    <w:p>
      <w:pPr>
        <w:pStyle w:val="2"/>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b/>
          <w:bCs/>
          <w:color w:val="auto"/>
          <w:sz w:val="24"/>
          <w:lang w:val="en-US" w:eastAsia="zh-CN"/>
        </w:rPr>
        <w:t>3</w:t>
      </w:r>
      <w:r>
        <w:rPr>
          <w:rFonts w:hint="eastAsia" w:ascii="宋体" w:hAnsi="宋体" w:cs="宋体"/>
          <w:color w:val="auto"/>
          <w:kern w:val="0"/>
          <w:sz w:val="24"/>
        </w:rPr>
        <w:t>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28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30</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28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30</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，到兰州市城关区和政西街1号甘肃省第二人民医院行政办公楼217登记报名，需提供</w:t>
      </w:r>
      <w:r>
        <w:rPr>
          <w:rFonts w:hint="eastAsia" w:ascii="宋体" w:hAnsi="宋体" w:cs="宋体"/>
          <w:b w:val="0"/>
          <w:bCs w:val="0"/>
          <w:color w:val="auto"/>
          <w:kern w:val="0"/>
          <w:sz w:val="24"/>
          <w:szCs w:val="22"/>
          <w:lang w:val="en-US" w:eastAsia="zh-CN"/>
        </w:rPr>
        <w:t>3中投标人资质要求的相关</w:t>
      </w:r>
      <w:r>
        <w:rPr>
          <w:rFonts w:hint="eastAsia" w:ascii="宋体" w:hAnsi="宋体" w:cs="宋体"/>
          <w:b w:val="0"/>
          <w:bCs w:val="0"/>
          <w:color w:val="auto"/>
          <w:kern w:val="0"/>
          <w:sz w:val="24"/>
          <w:szCs w:val="22"/>
          <w:lang w:eastAsia="zh-CN"/>
        </w:rPr>
        <w:t>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keepNext w:val="0"/>
        <w:keepLines w:val="0"/>
        <w:widowControl/>
        <w:suppressLineNumbers w:val="0"/>
        <w:spacing w:line="360" w:lineRule="auto"/>
        <w:jc w:val="left"/>
        <w:rPr>
          <w:rFonts w:hint="eastAsia"/>
          <w:b/>
          <w:color w:val="auto"/>
          <w:sz w:val="24"/>
        </w:rPr>
      </w:pPr>
      <w:r>
        <w:rPr>
          <w:rFonts w:hint="eastAsia" w:ascii="宋体" w:hAnsi="宋体" w:cs="宋体"/>
          <w:b/>
          <w:bCs/>
          <w:color w:val="auto"/>
          <w:sz w:val="24"/>
          <w:lang w:val="en-US" w:eastAsia="zh-CN"/>
        </w:rPr>
        <w:t>9.</w:t>
      </w:r>
      <w:r>
        <w:rPr>
          <w:rFonts w:hint="eastAsia"/>
          <w:b/>
          <w:color w:val="auto"/>
          <w:sz w:val="24"/>
        </w:rPr>
        <w:t>项目需要落实的政府采购政策：</w:t>
      </w:r>
    </w:p>
    <w:p>
      <w:pPr>
        <w:keepNext w:val="0"/>
        <w:keepLines w:val="0"/>
        <w:widowControl/>
        <w:suppressLineNumbers w:val="0"/>
        <w:spacing w:line="360" w:lineRule="auto"/>
        <w:jc w:val="left"/>
        <w:rPr>
          <w:color w:val="auto"/>
        </w:rPr>
      </w:pPr>
      <w:r>
        <w:rPr>
          <w:rFonts w:hint="eastAsia" w:eastAsia="宋体"/>
          <w:b w:val="0"/>
          <w:bCs/>
          <w:color w:val="auto"/>
          <w:sz w:val="24"/>
          <w:lang w:eastAsia="zh-CN"/>
        </w:rPr>
        <w:t>（</w:t>
      </w:r>
      <w:r>
        <w:rPr>
          <w:rFonts w:hint="eastAsia" w:eastAsia="宋体"/>
          <w:b w:val="0"/>
          <w:bCs/>
          <w:color w:val="auto"/>
          <w:sz w:val="24"/>
          <w:lang w:val="en-US" w:eastAsia="zh-CN"/>
        </w:rPr>
        <w:t>1</w:t>
      </w:r>
      <w:r>
        <w:rPr>
          <w:rFonts w:hint="eastAsia" w:eastAsia="宋体"/>
          <w:b w:val="0"/>
          <w:bCs/>
          <w:color w:val="auto"/>
          <w:sz w:val="24"/>
          <w:lang w:eastAsia="zh-CN"/>
        </w:rPr>
        <w:t>）</w:t>
      </w:r>
      <w:r>
        <w:rPr>
          <w:rFonts w:hint="eastAsia" w:ascii="宋体" w:hAnsi="宋体" w:eastAsia="宋体" w:cs="宋体"/>
          <w:color w:val="auto"/>
          <w:kern w:val="0"/>
          <w:sz w:val="24"/>
          <w:szCs w:val="24"/>
          <w:lang w:val="en-US" w:eastAsia="zh-CN" w:bidi="ar"/>
        </w:rPr>
        <w:t>甘肃省财政厅甘肃省监察厅甘肃省审计厅关于印发《甘肃省应急项目政府采购管理暂行办法》的通知。</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（2）财政部办公厅关于疫情防控采购便利化的通知。</w:t>
      </w:r>
    </w:p>
    <w:p>
      <w:pPr>
        <w:keepNext w:val="0"/>
        <w:keepLines w:val="0"/>
        <w:widowControl/>
        <w:suppressLineNumbers w:val="0"/>
        <w:spacing w:line="360" w:lineRule="auto"/>
        <w:jc w:val="left"/>
        <w:rPr>
          <w:rFonts w:hint="eastAsia" w:ascii="宋体" w:hAnsi="宋体" w:cs="宋体"/>
          <w:color w:val="auto"/>
          <w:sz w:val="24"/>
          <w:lang w:val="zh-CN"/>
        </w:rPr>
      </w:pPr>
      <w:r>
        <w:rPr>
          <w:rFonts w:hint="eastAsia" w:ascii="宋体" w:hAnsi="宋体" w:eastAsia="宋体" w:cs="宋体"/>
          <w:color w:val="auto"/>
          <w:kern w:val="0"/>
          <w:sz w:val="24"/>
          <w:szCs w:val="24"/>
          <w:lang w:val="en-US" w:eastAsia="zh-CN" w:bidi="ar"/>
        </w:rPr>
        <w:t>（3）甘肃省卫生健康委员会关于做好医疗机构常态化疫情防控有关工作的通知。</w:t>
      </w:r>
    </w:p>
    <w:p>
      <w:pPr>
        <w:pStyle w:val="17"/>
        <w:rPr>
          <w:rFonts w:hint="default" w:eastAsia="宋体"/>
          <w:lang w:val="en-US" w:eastAsia="zh-CN"/>
        </w:rPr>
      </w:pP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10</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8</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3</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hint="eastAsia" w:ascii="宋体" w:hAnsi="宋体" w:eastAsia="宋体" w:cs="宋体"/>
          <w:color w:val="auto"/>
          <w:kern w:val="0"/>
          <w:sz w:val="24"/>
          <w:szCs w:val="22"/>
          <w:lang w:eastAsia="zh-CN"/>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.开标地点：</w:t>
      </w:r>
      <w:r>
        <w:rPr>
          <w:rFonts w:hint="eastAsia" w:ascii="宋体" w:hAnsi="宋体" w:cs="宋体"/>
          <w:color w:val="auto"/>
          <w:kern w:val="0"/>
          <w:sz w:val="24"/>
          <w:szCs w:val="22"/>
          <w:lang w:eastAsia="zh-CN"/>
        </w:rPr>
        <w:t>甘肃省第二人民医院1号楼10楼会议室</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2</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ind w:firstLine="3200" w:firstLineChars="1000"/>
        <w:jc w:val="both"/>
        <w:rPr>
          <w:rFonts w:hint="eastAsia" w:ascii="宋体" w:hAnsi="宋体" w:cs="宋体"/>
          <w:sz w:val="32"/>
          <w:szCs w:val="32"/>
        </w:rPr>
      </w:pPr>
      <w:bookmarkStart w:id="7" w:name="_Toc40"/>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jc w:val="both"/>
        <w:rPr>
          <w:rFonts w:hint="eastAsia" w:ascii="宋体" w:hAnsi="宋体" w:cs="宋体"/>
          <w:sz w:val="32"/>
          <w:szCs w:val="32"/>
        </w:rPr>
      </w:pPr>
    </w:p>
    <w:p>
      <w:pPr>
        <w:spacing w:line="360" w:lineRule="auto"/>
        <w:ind w:firstLine="3213" w:firstLineChars="1000"/>
        <w:jc w:val="both"/>
        <w:rPr>
          <w:rFonts w:hint="eastAsia"/>
          <w:b/>
          <w:bCs/>
        </w:rPr>
      </w:pPr>
      <w:r>
        <w:rPr>
          <w:rFonts w:hint="eastAsia" w:ascii="宋体" w:hAnsi="宋体" w:cs="宋体"/>
          <w:b/>
          <w:bCs/>
          <w:sz w:val="32"/>
          <w:szCs w:val="32"/>
        </w:rPr>
        <w:t>第二章</w:t>
      </w:r>
      <w:r>
        <w:rPr>
          <w:rFonts w:hint="eastAsia" w:ascii="宋体" w:hAnsi="宋体" w:cs="宋体"/>
          <w:b/>
          <w:bCs/>
          <w:sz w:val="32"/>
          <w:szCs w:val="32"/>
          <w:lang w:val="en-US" w:eastAsia="zh-CN"/>
        </w:rPr>
        <w:t xml:space="preserve">  </w:t>
      </w:r>
      <w:r>
        <w:rPr>
          <w:rFonts w:hint="eastAsia" w:ascii="宋体" w:hAnsi="宋体" w:cs="宋体"/>
          <w:b/>
          <w:bCs/>
          <w:sz w:val="32"/>
          <w:szCs w:val="32"/>
        </w:rPr>
        <w:t>投标人须知</w:t>
      </w:r>
      <w:bookmarkEnd w:id="2"/>
      <w:bookmarkEnd w:id="3"/>
      <w:bookmarkEnd w:id="4"/>
      <w:bookmarkEnd w:id="5"/>
      <w:bookmarkEnd w:id="7"/>
      <w:bookmarkStart w:id="8" w:name="_Toc327439435"/>
      <w:bookmarkStart w:id="9" w:name="_Toc128372052"/>
      <w:bookmarkStart w:id="10" w:name="_Toc128372730"/>
      <w:bookmarkStart w:id="11" w:name="_Toc139965326"/>
    </w:p>
    <w:p>
      <w:pPr>
        <w:pStyle w:val="4"/>
        <w:rPr>
          <w:rFonts w:ascii="宋体" w:hAnsi="宋体" w:cs="宋体"/>
          <w:color w:val="auto"/>
          <w:sz w:val="28"/>
          <w:szCs w:val="20"/>
        </w:rPr>
      </w:pPr>
      <w:bookmarkStart w:id="12" w:name="_Toc17569"/>
      <w:bookmarkStart w:id="13" w:name="_Toc18296"/>
      <w:r>
        <w:rPr>
          <w:rFonts w:hint="eastAsia" w:ascii="宋体" w:hAnsi="宋体" w:cs="宋体"/>
          <w:color w:val="auto"/>
          <w:sz w:val="28"/>
          <w:szCs w:val="20"/>
        </w:rPr>
        <w:t>投标人须知前附表</w:t>
      </w:r>
      <w:bookmarkEnd w:id="12"/>
    </w:p>
    <w:p>
      <w:pPr>
        <w:spacing w:line="360" w:lineRule="auto"/>
        <w:ind w:firstLine="480" w:firstLineChars="200"/>
        <w:rPr>
          <w:rFonts w:ascii="宋体" w:hAnsi="宋体" w:cs="宋体"/>
          <w:color w:val="auto"/>
          <w:sz w:val="24"/>
          <w:szCs w:val="32"/>
        </w:rPr>
      </w:pPr>
      <w:r>
        <w:rPr>
          <w:rFonts w:hint="eastAsia" w:ascii="宋体" w:hAnsi="宋体" w:cs="宋体"/>
          <w:color w:val="auto"/>
          <w:sz w:val="24"/>
          <w:szCs w:val="32"/>
        </w:rPr>
        <w:t>注：本前附表中的内容是对</w:t>
      </w:r>
      <w:r>
        <w:rPr>
          <w:rFonts w:hint="eastAsia" w:ascii="宋体" w:hAnsi="宋体" w:cs="宋体"/>
          <w:color w:val="auto"/>
          <w:sz w:val="24"/>
          <w:szCs w:val="32"/>
          <w:lang w:eastAsia="zh-CN"/>
        </w:rPr>
        <w:t>投标人</w:t>
      </w:r>
      <w:r>
        <w:rPr>
          <w:rFonts w:hint="eastAsia" w:ascii="宋体" w:hAnsi="宋体" w:cs="宋体"/>
          <w:color w:val="auto"/>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序号</w:t>
            </w:r>
          </w:p>
        </w:tc>
        <w:tc>
          <w:tcPr>
            <w:tcW w:w="262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条款名称</w:t>
            </w:r>
          </w:p>
        </w:tc>
        <w:tc>
          <w:tcPr>
            <w:tcW w:w="624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甘肃省</w:t>
            </w:r>
            <w:r>
              <w:rPr>
                <w:rFonts w:hint="eastAsia" w:ascii="宋体" w:hAnsi="宋体" w:cs="宋体"/>
                <w:color w:val="auto"/>
                <w:sz w:val="24"/>
                <w:lang w:eastAsia="zh-CN"/>
              </w:rPr>
              <w:t>第二人民医院</w:t>
            </w:r>
            <w:r>
              <w:rPr>
                <w:rFonts w:hint="eastAsia" w:ascii="宋体" w:hAnsi="宋体" w:cs="宋体"/>
                <w:bCs/>
                <w:color w:val="auto"/>
                <w:sz w:val="24"/>
                <w:lang w:eastAsia="zh-CN"/>
              </w:rPr>
              <w:t>新冠病区弱电信息化改造项目代理招标</w:t>
            </w:r>
            <w:r>
              <w:rPr>
                <w:rFonts w:hint="eastAsia" w:ascii="宋体" w:hAnsi="宋体" w:cs="宋体"/>
                <w:bCs/>
                <w:color w:val="auto"/>
                <w:sz w:val="24"/>
                <w:lang w:val="en-US" w:eastAsia="zh-CN"/>
              </w:rPr>
              <w:t>服务</w:t>
            </w:r>
            <w:r>
              <w:rPr>
                <w:rFonts w:hint="eastAsia" w:ascii="Times New Roman" w:hAnsi="Times New Roman" w:eastAsia="宋体" w:cs="Times New Roman"/>
                <w:color w:val="auto"/>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noWrap w:val="0"/>
            <w:vAlign w:val="center"/>
          </w:tcPr>
          <w:p>
            <w:pPr>
              <w:spacing w:line="360" w:lineRule="auto"/>
              <w:rPr>
                <w:rFonts w:hint="eastAsia" w:ascii="宋体" w:hAnsi="宋体" w:eastAsia="仿宋" w:cs="宋体"/>
                <w:color w:val="auto"/>
                <w:sz w:val="24"/>
                <w:lang w:val="en-US" w:eastAsia="zh-CN"/>
              </w:rPr>
            </w:pPr>
            <w:r>
              <w:rPr>
                <w:rFonts w:hint="eastAsia" w:ascii="仿宋" w:hAnsi="仿宋" w:eastAsia="仿宋" w:cs="仿宋"/>
                <w:b w:val="0"/>
                <w:bCs/>
                <w:color w:val="auto"/>
                <w:sz w:val="28"/>
                <w:szCs w:val="28"/>
                <w:lang w:eastAsia="zh-CN"/>
              </w:rPr>
              <w:t>SEY-2020YNCG-097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szCs w:val="30"/>
                <w:lang w:eastAsia="zh-CN"/>
              </w:rPr>
            </w:pPr>
            <w:r>
              <w:rPr>
                <w:rFonts w:hint="eastAsia" w:ascii="宋体" w:hAnsi="宋体" w:cs="宋体"/>
                <w:color w:val="auto"/>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kern w:val="0"/>
                <w:sz w:val="24"/>
                <w:szCs w:val="22"/>
              </w:rPr>
            </w:pPr>
            <w:r>
              <w:rPr>
                <w:rFonts w:hint="eastAsia" w:ascii="宋体" w:hAnsi="宋体" w:cs="宋体"/>
                <w:color w:val="auto"/>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pPr>
              <w:spacing w:line="360" w:lineRule="auto"/>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ascii="宋体" w:hAnsi="宋体" w:cs="宋体"/>
                <w:color w:val="auto"/>
                <w:sz w:val="24"/>
              </w:rPr>
            </w:pPr>
            <w:r>
              <w:rPr>
                <w:rFonts w:hint="eastAsia" w:ascii="宋体" w:hAnsi="宋体" w:cs="宋体"/>
                <w:color w:val="000000" w:themeColor="text1"/>
                <w:kern w:val="2"/>
                <w:sz w:val="24"/>
                <w:szCs w:val="24"/>
                <w:highlight w:val="none"/>
                <w:lang w:val="en-US" w:eastAsia="zh-CN" w:bidi="ar-SA"/>
              </w:rPr>
              <w:t>2）</w:t>
            </w:r>
            <w:r>
              <w:rPr>
                <w:rFonts w:hint="eastAsia" w:ascii="宋体" w:hAnsi="宋体" w:cs="宋体"/>
                <w:color w:val="000000" w:themeColor="text1"/>
                <w:sz w:val="24"/>
              </w:rPr>
              <w:t>本项目不</w:t>
            </w:r>
            <w:r>
              <w:rPr>
                <w:rFonts w:hint="eastAsia" w:ascii="宋体" w:hAnsi="宋体" w:cs="宋体"/>
                <w:color w:val="auto"/>
                <w:sz w:val="24"/>
              </w:rPr>
              <w:t>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noWrap w:val="0"/>
            <w:vAlign w:val="center"/>
          </w:tcPr>
          <w:p>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30</w:t>
            </w:r>
            <w:r>
              <w:rPr>
                <w:rFonts w:hint="eastAsia" w:ascii="宋体" w:hAnsi="宋体" w:cs="宋体"/>
                <w:color w:val="auto"/>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noWrap w:val="0"/>
            <w:vAlign w:val="center"/>
          </w:tcPr>
          <w:p>
            <w:pPr>
              <w:pStyle w:val="208"/>
              <w:spacing w:line="360" w:lineRule="auto"/>
              <w:jc w:val="both"/>
              <w:rPr>
                <w:rFonts w:hint="eastAsia"/>
                <w:color w:val="auto"/>
                <w:kern w:val="2"/>
              </w:rPr>
            </w:pPr>
            <w:r>
              <w:rPr>
                <w:rFonts w:hint="eastAsia"/>
                <w:color w:val="auto"/>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jc w:val="center"/>
              <w:rPr>
                <w:rFonts w:ascii="宋体" w:hAnsi="宋体" w:cs="宋体"/>
                <w:color w:val="auto"/>
                <w:spacing w:val="10"/>
                <w:sz w:val="24"/>
              </w:rPr>
            </w:pPr>
            <w:r>
              <w:rPr>
                <w:rFonts w:hint="eastAsia"/>
                <w:color w:val="auto"/>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color w:val="auto"/>
                <w:spacing w:val="10"/>
                <w:sz w:val="24"/>
              </w:rPr>
            </w:pPr>
            <w:r>
              <w:rPr>
                <w:rFonts w:hint="eastAsia"/>
                <w:color w:val="auto"/>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要求</w:t>
            </w:r>
          </w:p>
          <w:p>
            <w:pPr>
              <w:spacing w:line="360" w:lineRule="auto"/>
              <w:ind w:firstLine="520" w:firstLineChars="200"/>
              <w:rPr>
                <w:rFonts w:ascii="宋体" w:hAnsi="宋体" w:cs="宋体"/>
                <w:color w:val="auto"/>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color w:val="auto"/>
                <w:sz w:val="24"/>
                <w:szCs w:val="32"/>
                <w:lang w:val="zh-CN"/>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pPr>
              <w:numPr>
                <w:ilvl w:val="0"/>
                <w:numId w:val="3"/>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3</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lang w:eastAsia="zh-CN"/>
              </w:rPr>
              <w:t>甘肃省第二人民医院1号楼10楼会议室</w:t>
            </w:r>
          </w:p>
          <w:p>
            <w:pPr>
              <w:pStyle w:val="2"/>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8</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3</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val="0"/>
                <w:bCs w:val="0"/>
                <w:color w:val="auto"/>
                <w:spacing w:val="10"/>
                <w:sz w:val="24"/>
              </w:rPr>
              <w:t>（北京时间）</w:t>
            </w:r>
          </w:p>
          <w:p>
            <w:pPr>
              <w:spacing w:line="360" w:lineRule="auto"/>
              <w:rPr>
                <w:rFonts w:hint="eastAsia" w:ascii="宋体" w:hAnsi="宋体" w:eastAsia="宋体" w:cs="宋体"/>
                <w:color w:val="auto"/>
                <w:lang w:eastAsia="zh-CN"/>
              </w:rPr>
            </w:pPr>
            <w:r>
              <w:rPr>
                <w:rFonts w:hint="eastAsia" w:ascii="宋体" w:hAnsi="宋体" w:cs="宋体"/>
                <w:color w:val="auto"/>
                <w:sz w:val="24"/>
              </w:rPr>
              <w:t>2）开标地点：</w:t>
            </w:r>
            <w:r>
              <w:rPr>
                <w:rFonts w:hint="eastAsia" w:ascii="宋体" w:hAnsi="宋体" w:cs="宋体"/>
                <w:color w:val="auto"/>
                <w:kern w:val="0"/>
                <w:sz w:val="24"/>
                <w:szCs w:val="22"/>
                <w:lang w:eastAsia="zh-CN"/>
              </w:rPr>
              <w:t>甘肃省第二人民医院1号楼10楼会议室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lang w:val="zh-CN"/>
              </w:rPr>
              <w:t>服务时间</w:t>
            </w:r>
          </w:p>
        </w:tc>
        <w:tc>
          <w:tcPr>
            <w:tcW w:w="6245" w:type="dxa"/>
            <w:tcBorders>
              <w:tl2br w:val="nil"/>
              <w:tr2bl w:val="nil"/>
            </w:tcBorders>
            <w:noWrap w:val="0"/>
            <w:vAlign w:val="top"/>
          </w:tcPr>
          <w:p>
            <w:pPr>
              <w:pStyle w:val="2"/>
              <w:spacing w:line="360" w:lineRule="auto"/>
              <w:ind w:left="0" w:leftChars="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zh-CN" w:eastAsia="zh-CN"/>
              </w:rPr>
            </w:pPr>
            <w:r>
              <w:rPr>
                <w:rFonts w:hint="eastAsia" w:cs="宋体"/>
                <w:color w:val="auto"/>
                <w:sz w:val="24"/>
                <w:szCs w:val="24"/>
                <w:highlight w:val="none"/>
                <w:lang w:eastAsia="zh-CN"/>
              </w:rPr>
              <w:t>代理招标费用由中标公司支付。</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color w:val="auto"/>
                <w:spacing w:val="10"/>
                <w:sz w:val="24"/>
                <w:lang w:eastAsia="zh-CN"/>
              </w:rPr>
            </w:pPr>
            <w:r>
              <w:rPr>
                <w:rFonts w:hint="eastAsia" w:ascii="宋体" w:hAnsi="宋体" w:cs="宋体"/>
                <w:color w:val="auto"/>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color w:val="auto"/>
          <w:kern w:val="0"/>
          <w:sz w:val="24"/>
          <w:lang w:eastAsia="zh-CN"/>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3"/>
        <w:jc w:val="center"/>
        <w:rPr>
          <w:rFonts w:hint="eastAsia" w:ascii="宋体" w:hAnsi="宋体" w:cs="宋体"/>
          <w:color w:val="auto"/>
          <w:sz w:val="32"/>
          <w:szCs w:val="32"/>
        </w:rPr>
      </w:pPr>
    </w:p>
    <w:p>
      <w:pPr>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rPr>
      </w:pPr>
    </w:p>
    <w:p>
      <w:pPr>
        <w:pStyle w:val="17"/>
        <w:rPr>
          <w:rFonts w:hint="eastAsia"/>
        </w:rPr>
      </w:pPr>
    </w:p>
    <w:p>
      <w:pPr>
        <w:pStyle w:val="17"/>
        <w:rPr>
          <w:rFonts w:hint="eastAsia"/>
        </w:rPr>
      </w:pPr>
    </w:p>
    <w:p>
      <w:pPr>
        <w:pStyle w:val="17"/>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23166"/>
      <w:bookmarkStart w:id="15" w:name="_Toc8673"/>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39965332"/>
      <w:bookmarkStart w:id="22" w:name="_Toc128372058"/>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682347"/>
      <w:bookmarkStart w:id="30" w:name="_Toc217446039"/>
      <w:bookmarkStart w:id="31" w:name="_Toc183582210"/>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183582213"/>
      <w:bookmarkStart w:id="40" w:name="_Toc208848971"/>
      <w:bookmarkStart w:id="41" w:name="_Toc183682350"/>
      <w:bookmarkStart w:id="42" w:name="_Toc217446041"/>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000000" w:themeColor="text1"/>
          <w:sz w:val="24"/>
          <w:lang w:val="zh-CN"/>
          <w14:textFill>
            <w14:solidFill>
              <w14:schemeClr w14:val="tx1"/>
            </w14:solidFill>
          </w14:textFill>
        </w:rPr>
      </w:pPr>
      <w:bookmarkStart w:id="43" w:name="_Toc30906"/>
      <w:bookmarkStart w:id="44" w:name="_Toc14435"/>
      <w:r>
        <w:rPr>
          <w:rFonts w:hint="eastAsia" w:ascii="宋体" w:hAnsi="宋体" w:cs="宋体"/>
          <w:color w:val="000000" w:themeColor="text1"/>
          <w:sz w:val="24"/>
          <w:lang w:val="zh-CN"/>
          <w14:textFill>
            <w14:solidFill>
              <w14:schemeClr w14:val="tx1"/>
            </w14:solidFill>
          </w14:textFill>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77400780"/>
      <w:bookmarkStart w:id="46" w:name="_Toc183582214"/>
      <w:bookmarkStart w:id="47" w:name="_Toc217446042"/>
      <w:bookmarkStart w:id="48" w:name="_Toc89075876"/>
      <w:bookmarkStart w:id="49" w:name="_Toc183682351"/>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217446043"/>
      <w:bookmarkStart w:id="52" w:name="_Toc183582215"/>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（1）技术方案、项目实施方案；</w:t>
      </w:r>
    </w:p>
    <w:p>
      <w:pPr>
        <w:pStyle w:val="208"/>
        <w:spacing w:line="360" w:lineRule="auto"/>
        <w:ind w:firstLine="480" w:firstLineChars="200"/>
        <w:jc w:val="both"/>
        <w:rPr>
          <w:lang w:val="zh-CN"/>
        </w:rPr>
      </w:pPr>
      <w:r>
        <w:rPr>
          <w:rFonts w:hint="eastAsia"/>
          <w:lang w:val="zh-CN"/>
        </w:rPr>
        <w:t>（</w:t>
      </w:r>
      <w:r>
        <w:rPr>
          <w:rFonts w:hint="eastAsia"/>
          <w:lang w:val="en-US" w:eastAsia="zh-CN"/>
        </w:rPr>
        <w:t>2</w:t>
      </w:r>
      <w:r>
        <w:rPr>
          <w:rFonts w:hint="eastAsia"/>
          <w:lang w:val="zh-CN"/>
        </w:rPr>
        <w:t>）技术偏离表；</w:t>
      </w:r>
    </w:p>
    <w:p>
      <w:pPr>
        <w:pStyle w:val="208"/>
        <w:spacing w:line="360" w:lineRule="auto"/>
        <w:ind w:firstLine="480" w:firstLineChars="200"/>
        <w:jc w:val="both"/>
        <w:rPr>
          <w:highlight w:val="green"/>
          <w:lang w:val="zh-CN"/>
        </w:rPr>
      </w:pPr>
      <w:r>
        <w:rPr>
          <w:rFonts w:hint="eastAsia"/>
          <w:lang w:val="zh-CN"/>
        </w:rPr>
        <w:t>（</w:t>
      </w:r>
      <w:r>
        <w:rPr>
          <w:rFonts w:hint="eastAsia"/>
          <w:lang w:val="en-US" w:eastAsia="zh-CN"/>
        </w:rPr>
        <w:t>3</w:t>
      </w:r>
      <w:r>
        <w:rPr>
          <w:rFonts w:hint="eastAsia"/>
          <w:lang w:val="zh-CN"/>
        </w:rPr>
        <w:t>）投标人认为需要提供的文件和资料。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31286"/>
      <w:bookmarkStart w:id="87" w:name="_Toc183682361"/>
      <w:bookmarkStart w:id="88" w:name="_Toc183582224"/>
      <w:bookmarkStart w:id="89" w:name="_Toc28500"/>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183582232"/>
      <w:bookmarkStart w:id="115" w:name="_Toc217446057"/>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w:t>
      </w:r>
      <w:r>
        <w:rPr>
          <w:rFonts w:hint="eastAsia"/>
          <w:color w:val="FF0000"/>
          <w:lang w:val="en-US" w:eastAsia="zh-CN"/>
        </w:rPr>
        <w:t>5个工作日</w:t>
      </w:r>
      <w:r>
        <w:rPr>
          <w:rFonts w:hint="eastAsia"/>
          <w:lang w:val="zh-CN"/>
        </w:rPr>
        <w:t>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2"/>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32409"/>
      <w:bookmarkStart w:id="167" w:name="_Toc1308"/>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2"/>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2"/>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2"/>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2"/>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2"/>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2"/>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2"/>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2"/>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2"/>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2"/>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2"/>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FF0000"/>
          <w:sz w:val="32"/>
          <w:szCs w:val="32"/>
        </w:rPr>
      </w:pPr>
      <w:bookmarkStart w:id="179" w:name="_Toc20581"/>
      <w:r>
        <w:rPr>
          <w:rFonts w:hint="eastAsia" w:ascii="宋体" w:hAnsi="宋体" w:cs="宋体"/>
          <w:color w:val="FF0000"/>
          <w:sz w:val="32"/>
          <w:szCs w:val="32"/>
          <w:lang w:val="en-US" w:eastAsia="zh-CN"/>
        </w:rPr>
        <w:t xml:space="preserve"> </w:t>
      </w:r>
      <w:r>
        <w:rPr>
          <w:rFonts w:hint="eastAsia" w:ascii="宋体" w:hAnsi="宋体" w:cs="宋体"/>
          <w:color w:val="FF0000"/>
          <w:sz w:val="32"/>
          <w:szCs w:val="32"/>
        </w:rPr>
        <w:t>采购需求及技术要求</w:t>
      </w:r>
      <w:bookmarkEnd w:id="179"/>
    </w:p>
    <w:p>
      <w:pPr>
        <w:pStyle w:val="229"/>
        <w:widowControl/>
        <w:spacing w:line="360" w:lineRule="auto"/>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w:t>
      </w:r>
      <w:r>
        <w:rPr>
          <w:rFonts w:hint="eastAsia" w:ascii="宋体" w:hAnsi="宋体" w:cs="宋体"/>
          <w:b w:val="0"/>
          <w:bCs w:val="0"/>
          <w:kern w:val="0"/>
          <w:sz w:val="24"/>
          <w:szCs w:val="24"/>
          <w:lang w:val="zh-CN" w:eastAsia="zh-CN" w:bidi="ar-SA"/>
        </w:rPr>
        <w:t>因代理招标项目为新冠疫情病区（第二门诊部）弱电信息化改造建设项目，要求</w:t>
      </w:r>
      <w:r>
        <w:rPr>
          <w:rFonts w:hint="eastAsia" w:ascii="宋体" w:hAnsi="宋体" w:eastAsia="宋体" w:cs="宋体"/>
          <w:b w:val="0"/>
          <w:bCs w:val="0"/>
          <w:kern w:val="0"/>
          <w:sz w:val="24"/>
          <w:szCs w:val="24"/>
          <w:lang w:val="zh-CN" w:eastAsia="zh-CN" w:bidi="ar-SA"/>
        </w:rPr>
        <w:t>按照</w:t>
      </w:r>
      <w:r>
        <w:rPr>
          <w:rFonts w:hint="eastAsia" w:ascii="宋体" w:hAnsi="宋体" w:cs="宋体"/>
          <w:b w:val="0"/>
          <w:bCs w:val="0"/>
          <w:kern w:val="0"/>
          <w:sz w:val="24"/>
          <w:szCs w:val="24"/>
          <w:lang w:val="zh-CN" w:eastAsia="zh-CN" w:bidi="ar-SA"/>
        </w:rPr>
        <w:t>相关政府采购的政策，尽快完成此项目的代理招标工作</w:t>
      </w:r>
      <w:r>
        <w:rPr>
          <w:rFonts w:hint="eastAsia" w:ascii="宋体" w:hAnsi="宋体" w:eastAsia="宋体" w:cs="宋体"/>
          <w:b w:val="0"/>
          <w:bCs w:val="0"/>
          <w:kern w:val="0"/>
          <w:sz w:val="24"/>
          <w:szCs w:val="24"/>
          <w:lang w:val="zh-CN" w:eastAsia="zh-CN" w:bidi="ar-SA"/>
        </w:rPr>
        <w:t>。</w:t>
      </w:r>
    </w:p>
    <w:p>
      <w:pPr>
        <w:pStyle w:val="3"/>
        <w:rPr>
          <w:rFonts w:hint="eastAsia" w:ascii="宋体" w:hAnsi="宋体" w:cs="宋体"/>
          <w:sz w:val="32"/>
          <w:szCs w:val="32"/>
          <w:lang w:eastAsia="zh-CN"/>
        </w:rPr>
      </w:pPr>
      <w:bookmarkStart w:id="180" w:name="_Toc20396"/>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color w:val="auto"/>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auto"/>
          <w:sz w:val="32"/>
          <w:szCs w:val="32"/>
          <w:lang w:val="en-US" w:eastAsia="zh-CN"/>
        </w:rPr>
        <w:t>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color w:val="auto"/>
          <w:kern w:val="2"/>
          <w:sz w:val="24"/>
          <w:szCs w:val="24"/>
          <w:highlight w:val="none"/>
          <w:lang w:val="en-US" w:eastAsia="zh-CN" w:bidi="ar-SA"/>
        </w:rPr>
        <w:t>五、</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0553"/>
      <w:bookmarkStart w:id="182" w:name="_Toc9747"/>
      <w:bookmarkStart w:id="183" w:name="_Toc2580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rPr>
          <w:rFonts w:hint="eastAsia" w:ascii="宋体" w:hAnsi="宋体" w:cs="宋体"/>
          <w:sz w:val="32"/>
          <w:szCs w:val="32"/>
        </w:rPr>
      </w:pPr>
    </w:p>
    <w:p>
      <w:pPr>
        <w:pStyle w:val="17"/>
        <w:rPr>
          <w:rFonts w:hint="eastAsia" w:ascii="宋体" w:hAnsi="宋体" w:cs="宋体"/>
          <w:sz w:val="32"/>
          <w:szCs w:val="32"/>
        </w:rPr>
      </w:pPr>
    </w:p>
    <w:p>
      <w:pPr>
        <w:pStyle w:val="17"/>
        <w:rPr>
          <w:rFonts w:hint="eastAsia" w:ascii="宋体" w:hAnsi="宋体" w:cs="宋体"/>
          <w:sz w:val="32"/>
          <w:szCs w:val="32"/>
        </w:rPr>
      </w:pPr>
    </w:p>
    <w:p>
      <w:pPr>
        <w:pStyle w:val="17"/>
        <w:rPr>
          <w:rFonts w:hint="eastAsia" w:ascii="宋体" w:hAnsi="宋体" w:cs="宋体"/>
          <w:sz w:val="32"/>
          <w:szCs w:val="32"/>
        </w:rPr>
      </w:pPr>
    </w:p>
    <w:p>
      <w:pPr>
        <w:pStyle w:val="17"/>
        <w:rPr>
          <w:rFonts w:hint="eastAsia" w:ascii="宋体" w:hAnsi="宋体" w:cs="宋体"/>
          <w:sz w:val="32"/>
          <w:szCs w:val="32"/>
        </w:rPr>
      </w:pPr>
    </w:p>
    <w:p>
      <w:pPr>
        <w:pStyle w:val="2"/>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11058"/>
      <w:bookmarkStart w:id="188" w:name="_Toc31035"/>
      <w:bookmarkStart w:id="189" w:name="_Toc21744609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w:t>
            </w: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13</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5"/>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 w:val="24"/>
                <w:szCs w:val="32"/>
              </w:rPr>
            </w:pPr>
            <w:r>
              <w:rPr>
                <w:rFonts w:hint="eastAsia"/>
                <w:sz w:val="24"/>
                <w:szCs w:val="32"/>
              </w:rPr>
              <w:t>根据供应商提供针对本项目组建固定的服务团队计划是否组织机构明确，分工合理由评标委员会横向比较进行打分1-</w:t>
            </w:r>
            <w:r>
              <w:rPr>
                <w:rFonts w:hint="eastAsia"/>
                <w:sz w:val="24"/>
                <w:szCs w:val="32"/>
                <w:lang w:val="en-US" w:eastAsia="zh-CN"/>
              </w:rPr>
              <w:t>4分</w:t>
            </w:r>
            <w:r>
              <w:rPr>
                <w:rFonts w:hint="eastAsia"/>
                <w:sz w:val="24"/>
                <w:szCs w:val="32"/>
              </w:rPr>
              <w:t xml:space="preserve">； </w:t>
            </w:r>
          </w:p>
          <w:p>
            <w:pPr>
              <w:spacing w:line="360" w:lineRule="auto"/>
              <w:jc w:val="left"/>
              <w:rPr>
                <w:rFonts w:hint="eastAsia" w:ascii="宋体" w:hAnsi="宋体" w:eastAsia="宋体" w:cs="宋体"/>
                <w:color w:val="auto"/>
                <w:sz w:val="24"/>
                <w:szCs w:val="24"/>
                <w:highlight w:val="none"/>
                <w:lang w:eastAsia="zh-CN"/>
              </w:rPr>
            </w:pPr>
            <w:r>
              <w:rPr>
                <w:rFonts w:hint="eastAsia"/>
                <w:sz w:val="24"/>
                <w:szCs w:val="32"/>
              </w:rPr>
              <w:t>根据供应商提供项目负责人的文</w:t>
            </w:r>
            <w:r>
              <w:rPr>
                <w:rFonts w:hint="eastAsia"/>
                <w:sz w:val="24"/>
                <w:szCs w:val="32"/>
                <w:lang w:eastAsia="zh-CN"/>
              </w:rPr>
              <w:t>化</w:t>
            </w:r>
            <w:r>
              <w:rPr>
                <w:rFonts w:hint="eastAsia"/>
                <w:sz w:val="24"/>
                <w:szCs w:val="32"/>
              </w:rPr>
              <w:t>程度、从业年限、行业经验，技术人员专业素质、服务人数以及专业配备情况由评标委员会横向比较进行打分1-</w:t>
            </w:r>
            <w:r>
              <w:rPr>
                <w:rFonts w:hint="eastAsia"/>
                <w:sz w:val="24"/>
                <w:szCs w:val="32"/>
                <w:lang w:val="en-US" w:eastAsia="zh-CN"/>
              </w:rPr>
              <w:t>4分</w:t>
            </w:r>
            <w:r>
              <w:rPr>
                <w:rFonts w:hint="eastAsia"/>
                <w:sz w:val="24"/>
                <w:szCs w:val="32"/>
              </w:rPr>
              <w:t>；（小计</w:t>
            </w:r>
            <w:r>
              <w:rPr>
                <w:rFonts w:hint="eastAsia"/>
                <w:sz w:val="24"/>
                <w:szCs w:val="32"/>
                <w:lang w:val="en-US" w:eastAsia="zh-CN"/>
              </w:rPr>
              <w:t>8</w:t>
            </w:r>
            <w:r>
              <w:rPr>
                <w:rFonts w:hint="eastAsia"/>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 w:val="24"/>
                <w:szCs w:val="32"/>
              </w:rPr>
            </w:pPr>
            <w:r>
              <w:rPr>
                <w:rFonts w:hint="eastAsia"/>
                <w:sz w:val="24"/>
                <w:szCs w:val="32"/>
              </w:rPr>
              <w:t>根据供应商</w:t>
            </w:r>
            <w:r>
              <w:rPr>
                <w:rFonts w:hint="eastAsia"/>
                <w:sz w:val="24"/>
                <w:szCs w:val="32"/>
                <w:lang w:eastAsia="zh-CN"/>
              </w:rPr>
              <w:t>服务</w:t>
            </w:r>
            <w:r>
              <w:rPr>
                <w:rFonts w:hint="eastAsia"/>
                <w:sz w:val="24"/>
                <w:szCs w:val="32"/>
              </w:rPr>
              <w:t>方案的完整性，由评标委员会横向比较进行打分</w:t>
            </w:r>
            <w:r>
              <w:rPr>
                <w:rFonts w:hint="eastAsia"/>
                <w:sz w:val="24"/>
                <w:szCs w:val="32"/>
                <w:lang w:val="en-US" w:eastAsia="zh-CN"/>
              </w:rPr>
              <w:t>1-8分</w:t>
            </w:r>
            <w:r>
              <w:rPr>
                <w:rFonts w:hint="eastAsia"/>
                <w:sz w:val="24"/>
                <w:szCs w:val="32"/>
              </w:rPr>
              <w:t>；</w:t>
            </w:r>
          </w:p>
          <w:p>
            <w:pPr>
              <w:spacing w:line="360" w:lineRule="auto"/>
              <w:rPr>
                <w:rFonts w:hint="eastAsia"/>
                <w:sz w:val="24"/>
                <w:szCs w:val="32"/>
              </w:rPr>
            </w:pPr>
            <w:r>
              <w:rPr>
                <w:rFonts w:hint="eastAsia"/>
                <w:sz w:val="24"/>
                <w:szCs w:val="32"/>
              </w:rPr>
              <w:t>根据供应商</w:t>
            </w:r>
            <w:r>
              <w:rPr>
                <w:rFonts w:hint="eastAsia"/>
                <w:sz w:val="24"/>
                <w:szCs w:val="32"/>
                <w:lang w:eastAsia="zh-CN"/>
              </w:rPr>
              <w:t>服务</w:t>
            </w:r>
            <w:r>
              <w:rPr>
                <w:rFonts w:hint="eastAsia"/>
                <w:sz w:val="24"/>
                <w:szCs w:val="32"/>
              </w:rPr>
              <w:t>方案的合理性，由评标委员会横向比较进行打分</w:t>
            </w:r>
            <w:r>
              <w:rPr>
                <w:rFonts w:hint="eastAsia"/>
                <w:sz w:val="24"/>
                <w:szCs w:val="32"/>
                <w:lang w:val="en-US" w:eastAsia="zh-CN"/>
              </w:rPr>
              <w:t>1-8分</w:t>
            </w:r>
            <w:r>
              <w:rPr>
                <w:rFonts w:hint="eastAsia"/>
                <w:sz w:val="24"/>
                <w:szCs w:val="32"/>
              </w:rPr>
              <w:t>；</w:t>
            </w:r>
          </w:p>
          <w:p>
            <w:pPr>
              <w:spacing w:line="360" w:lineRule="auto"/>
              <w:jc w:val="left"/>
              <w:rPr>
                <w:rFonts w:hint="eastAsia" w:ascii="宋体" w:hAnsi="宋体" w:eastAsia="宋体" w:cs="宋体"/>
                <w:color w:val="auto"/>
                <w:sz w:val="24"/>
                <w:szCs w:val="24"/>
                <w:highlight w:val="none"/>
              </w:rPr>
            </w:pPr>
            <w:r>
              <w:rPr>
                <w:rFonts w:hint="eastAsia"/>
                <w:sz w:val="24"/>
                <w:szCs w:val="32"/>
              </w:rPr>
              <w:t>根据供应商</w:t>
            </w:r>
            <w:r>
              <w:rPr>
                <w:rFonts w:hint="eastAsia"/>
                <w:sz w:val="24"/>
                <w:szCs w:val="32"/>
                <w:lang w:eastAsia="zh-CN"/>
              </w:rPr>
              <w:t>服务</w:t>
            </w:r>
            <w:r>
              <w:rPr>
                <w:rFonts w:hint="eastAsia"/>
                <w:sz w:val="24"/>
                <w:szCs w:val="32"/>
              </w:rPr>
              <w:t>方案的可行性，由评标委员会横向比较进行打分</w:t>
            </w:r>
            <w:r>
              <w:rPr>
                <w:rFonts w:hint="eastAsia"/>
                <w:sz w:val="24"/>
                <w:szCs w:val="32"/>
                <w:lang w:val="en-US" w:eastAsia="zh-CN"/>
              </w:rPr>
              <w:t>1-8分</w:t>
            </w:r>
            <w:r>
              <w:rPr>
                <w:rFonts w:hint="eastAsia"/>
                <w:sz w:val="24"/>
                <w:szCs w:val="32"/>
              </w:rPr>
              <w:t>；（小计</w:t>
            </w:r>
            <w:r>
              <w:rPr>
                <w:rFonts w:hint="eastAsia"/>
                <w:sz w:val="24"/>
                <w:szCs w:val="32"/>
                <w:lang w:val="en-US" w:eastAsia="zh-CN"/>
              </w:rPr>
              <w:t>24</w:t>
            </w:r>
            <w:r>
              <w:rPr>
                <w:rFonts w:hint="eastAsia"/>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w:t>
            </w:r>
            <w:r>
              <w:rPr>
                <w:rFonts w:hint="eastAsia" w:ascii="宋体" w:hAnsi="宋体" w:cs="宋体"/>
                <w:color w:val="auto"/>
                <w:sz w:val="24"/>
                <w:szCs w:val="24"/>
                <w:highlight w:val="none"/>
                <w:lang w:eastAsia="zh-CN"/>
              </w:rPr>
              <w:t>医院招标代理服务</w:t>
            </w:r>
            <w:r>
              <w:rPr>
                <w:rFonts w:hint="eastAsia" w:ascii="宋体" w:hAnsi="宋体" w:eastAsia="宋体" w:cs="宋体"/>
                <w:color w:val="auto"/>
                <w:sz w:val="24"/>
                <w:szCs w:val="24"/>
                <w:highlight w:val="none"/>
              </w:rPr>
              <w:t>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3.在兰州本地有服务团队的得4分（提供相关证明材料）；（满分4分）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w:t>
            </w:r>
            <w:r>
              <w:rPr>
                <w:rFonts w:hint="eastAsia" w:ascii="宋体" w:hAnsi="宋体" w:cs="宋体"/>
                <w:color w:val="auto"/>
                <w:sz w:val="24"/>
                <w:szCs w:val="24"/>
                <w:highlight w:val="none"/>
                <w:lang w:eastAsia="zh-CN"/>
              </w:rPr>
              <w:t>问题</w:t>
            </w:r>
            <w:r>
              <w:rPr>
                <w:rFonts w:hint="eastAsia" w:ascii="宋体" w:hAnsi="宋体" w:eastAsia="宋体" w:cs="宋体"/>
                <w:color w:val="auto"/>
                <w:sz w:val="24"/>
                <w:szCs w:val="24"/>
                <w:highlight w:val="none"/>
                <w:lang w:eastAsia="zh-CN"/>
              </w:rPr>
              <w:t>及时，应急方案完善，服务</w:t>
            </w:r>
            <w:r>
              <w:rPr>
                <w:rFonts w:hint="eastAsia" w:ascii="宋体" w:hAnsi="宋体" w:cs="宋体"/>
                <w:color w:val="auto"/>
                <w:sz w:val="24"/>
                <w:szCs w:val="24"/>
                <w:highlight w:val="none"/>
                <w:lang w:eastAsia="zh-CN"/>
              </w:rPr>
              <w:t>团队</w:t>
            </w:r>
            <w:r>
              <w:rPr>
                <w:rFonts w:hint="eastAsia" w:ascii="宋体" w:hAnsi="宋体" w:eastAsia="宋体" w:cs="宋体"/>
                <w:color w:val="auto"/>
                <w:sz w:val="24"/>
                <w:szCs w:val="24"/>
                <w:highlight w:val="none"/>
                <w:lang w:eastAsia="zh-CN"/>
              </w:rPr>
              <w:t>配备完善的</w:t>
            </w:r>
            <w:r>
              <w:rPr>
                <w:rFonts w:hint="eastAsia" w:ascii="宋体" w:hAnsi="宋体" w:cs="宋体"/>
                <w:color w:val="auto"/>
                <w:sz w:val="24"/>
                <w:szCs w:val="24"/>
                <w:highlight w:val="none"/>
                <w:lang w:val="en-US" w:eastAsia="zh-CN"/>
              </w:rPr>
              <w:t>,</w:t>
            </w:r>
            <w:r>
              <w:rPr>
                <w:rFonts w:hint="eastAsia"/>
                <w:sz w:val="24"/>
                <w:szCs w:val="32"/>
              </w:rPr>
              <w:t>由评标委员会横向比较进行打分1-</w:t>
            </w:r>
            <w:r>
              <w:rPr>
                <w:rFonts w:hint="eastAsia"/>
                <w:sz w:val="24"/>
                <w:szCs w:val="32"/>
                <w:lang w:val="en-US" w:eastAsia="zh-CN"/>
              </w:rPr>
              <w:t>10分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10分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183682432"/>
      <w:bookmarkStart w:id="191" w:name="_Toc208849022"/>
      <w:bookmarkStart w:id="192" w:name="_Toc217446105"/>
      <w:bookmarkStart w:id="193" w:name="_Toc183582297"/>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1807"/>
      <w:bookmarkStart w:id="199" w:name="_Toc1293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pStyle w:val="2"/>
        <w:ind w:left="0" w:leftChars="0" w:firstLine="0" w:firstLineChars="0"/>
        <w:rPr>
          <w:rFonts w:hint="eastAsia"/>
        </w:rPr>
      </w:pPr>
    </w:p>
    <w:p>
      <w:pPr>
        <w:pStyle w:val="2"/>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13676"/>
      <w:bookmarkStart w:id="204" w:name="_Toc22178"/>
      <w:bookmarkStart w:id="205" w:name="_Toc23429"/>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3146"/>
      <w:bookmarkStart w:id="209" w:name="_Toc10904"/>
      <w:bookmarkStart w:id="210" w:name="_Toc1681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0366"/>
      <w:bookmarkStart w:id="213" w:name="_Toc19965"/>
      <w:bookmarkStart w:id="214" w:name="_Toc19360"/>
      <w:bookmarkStart w:id="215" w:name="_Toc3177"/>
      <w:bookmarkStart w:id="216" w:name="_Toc15783"/>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22060"/>
      <w:bookmarkStart w:id="218" w:name="_Toc12383"/>
      <w:bookmarkStart w:id="219" w:name="_Toc6475"/>
      <w:bookmarkStart w:id="220" w:name="_Toc1916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16103"/>
      <w:bookmarkStart w:id="223"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8565"/>
      <w:bookmarkStart w:id="225"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17"/>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17"/>
        <w:spacing w:before="0" w:line="241" w:lineRule="exact"/>
        <w:ind w:left="137" w:right="0"/>
        <w:jc w:val="left"/>
      </w:pPr>
    </w:p>
    <w:p>
      <w:pPr>
        <w:pStyle w:val="17"/>
        <w:spacing w:before="0" w:line="360" w:lineRule="auto"/>
        <w:ind w:right="0"/>
        <w:jc w:val="left"/>
      </w:pPr>
      <w:r>
        <w:t>投标人（签字、盖章）：</w:t>
      </w:r>
    </w:p>
    <w:p>
      <w:pPr>
        <w:pStyle w:val="17"/>
        <w:spacing w:before="0" w:line="360" w:lineRule="auto"/>
        <w:ind w:right="0"/>
        <w:jc w:val="left"/>
        <w:rPr>
          <w:rFonts w:hint="eastAsia"/>
          <w:u w:val="single"/>
          <w:lang w:val="en-US" w:eastAsia="zh-CN"/>
        </w:rPr>
      </w:pPr>
      <w:r>
        <w:t>日期：</w:t>
      </w:r>
    </w:p>
    <w:p>
      <w:pPr>
        <w:pStyle w:val="17"/>
        <w:spacing w:before="0" w:line="360" w:lineRule="auto"/>
        <w:ind w:left="137" w:right="0" w:firstLine="480" w:firstLineChars="200"/>
        <w:jc w:val="left"/>
        <w:rPr>
          <w:rFonts w:hint="eastAsia"/>
          <w:u w:val="single"/>
          <w:lang w:val="en-US" w:eastAsia="zh-CN"/>
        </w:rPr>
      </w:pPr>
    </w:p>
    <w:p>
      <w:pPr>
        <w:pStyle w:val="17"/>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0" w:name="_Toc12836"/>
      <w:bookmarkStart w:id="231" w:name="_Toc26303"/>
      <w:bookmarkStart w:id="232" w:name="_Toc16887"/>
      <w:bookmarkStart w:id="233" w:name="_Toc3392"/>
      <w:bookmarkStart w:id="234" w:name="_Toc10205"/>
      <w:bookmarkStart w:id="235" w:name="_Toc26432"/>
      <w:bookmarkStart w:id="236" w:name="_Toc4270"/>
      <w:bookmarkStart w:id="237" w:name="_Toc8733"/>
      <w:bookmarkStart w:id="238" w:name="_Toc27827"/>
      <w:bookmarkStart w:id="239" w:name="_Toc6233"/>
      <w:bookmarkStart w:id="240" w:name="_Toc7146"/>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4708"/>
      <w:bookmarkStart w:id="243" w:name="_Toc258923307"/>
      <w:bookmarkStart w:id="244" w:name="_Toc13401"/>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96"/>
        <w:gridCol w:w="3476"/>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272"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399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w:t>
            </w:r>
            <w:r>
              <w:rPr>
                <w:rFonts w:hint="eastAsia" w:ascii="宋体" w:hAnsi="宋体"/>
                <w:sz w:val="24"/>
              </w:rPr>
              <w:t>名称</w:t>
            </w:r>
          </w:p>
        </w:tc>
        <w:tc>
          <w:tcPr>
            <w:tcW w:w="3476"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w:t>
            </w:r>
            <w:r>
              <w:rPr>
                <w:rFonts w:hint="eastAsia" w:ascii="宋体" w:hAnsi="宋体"/>
                <w:sz w:val="24"/>
                <w:lang w:eastAsia="zh-CN"/>
              </w:rPr>
              <w:t>下浮率</w:t>
            </w:r>
            <w:r>
              <w:rPr>
                <w:rFonts w:hint="eastAsia" w:ascii="宋体" w:hAnsi="宋体"/>
                <w:sz w:val="24"/>
                <w:lang w:val="en-US" w:eastAsia="zh-CN"/>
              </w:rPr>
              <w:t>%</w:t>
            </w:r>
            <w:r>
              <w:rPr>
                <w:rFonts w:hint="eastAsia" w:ascii="宋体" w:hAnsi="宋体"/>
                <w:sz w:val="24"/>
              </w:rPr>
              <w:t>）</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1272" w:type="dxa"/>
            <w:noWrap w:val="0"/>
            <w:vAlign w:val="center"/>
          </w:tcPr>
          <w:p>
            <w:pPr>
              <w:spacing w:line="360" w:lineRule="auto"/>
              <w:jc w:val="center"/>
              <w:rPr>
                <w:rFonts w:hint="eastAsia" w:ascii="宋体" w:hAnsi="宋体"/>
                <w:sz w:val="24"/>
              </w:rPr>
            </w:pPr>
          </w:p>
        </w:tc>
        <w:tc>
          <w:tcPr>
            <w:tcW w:w="3996" w:type="dxa"/>
            <w:noWrap w:val="0"/>
            <w:vAlign w:val="center"/>
          </w:tcPr>
          <w:p>
            <w:pPr>
              <w:spacing w:line="360" w:lineRule="auto"/>
              <w:jc w:val="center"/>
              <w:rPr>
                <w:rFonts w:hint="eastAsia" w:ascii="宋体" w:hAnsi="宋体" w:eastAsia="宋体" w:cs="Times New Roman"/>
                <w:kern w:val="2"/>
                <w:sz w:val="24"/>
                <w:szCs w:val="24"/>
                <w:lang w:val="en-US" w:eastAsia="zh-CN" w:bidi="ar-SA"/>
              </w:rPr>
            </w:pPr>
          </w:p>
        </w:tc>
        <w:tc>
          <w:tcPr>
            <w:tcW w:w="3476" w:type="dxa"/>
            <w:noWrap w:val="0"/>
            <w:vAlign w:val="center"/>
          </w:tcPr>
          <w:p>
            <w:pPr>
              <w:spacing w:line="360" w:lineRule="auto"/>
              <w:jc w:val="center"/>
              <w:rPr>
                <w:rFonts w:hint="eastAsia" w:ascii="宋体" w:hAnsi="宋体" w:eastAsia="宋体" w:cs="Times New Roman"/>
                <w:kern w:val="2"/>
                <w:sz w:val="24"/>
                <w:szCs w:val="24"/>
                <w:lang w:val="en-US" w:eastAsia="zh-CN" w:bidi="ar-SA"/>
              </w:rPr>
            </w:pPr>
          </w:p>
        </w:tc>
        <w:tc>
          <w:tcPr>
            <w:tcW w:w="1852" w:type="dxa"/>
            <w:noWrap w:val="0"/>
            <w:vAlign w:val="center"/>
          </w:tcPr>
          <w:p>
            <w:pPr>
              <w:spacing w:line="360" w:lineRule="auto"/>
              <w:jc w:val="center"/>
              <w:rPr>
                <w:rFonts w:hint="eastAsia" w:ascii="宋体" w:hAnsi="宋体" w:eastAsia="宋体"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w:t>
      </w:r>
      <w:r>
        <w:rPr>
          <w:rFonts w:hint="eastAsia" w:ascii="宋体" w:hAnsi="宋体" w:eastAsia="宋体" w:cs="宋体"/>
          <w:spacing w:val="10"/>
          <w:kern w:val="2"/>
          <w:sz w:val="24"/>
          <w:szCs w:val="24"/>
          <w:u w:val="none"/>
          <w:lang w:val="en-US" w:eastAsia="zh-CN" w:bidi="ar-SA"/>
        </w:rPr>
        <w:t>1.公开招标为一次性报价。按照国家计委颁发的《招标代理服务收费管理暂行办法》（计价格[2002]1980号）、《国家发展改革委办办公厅关于招标代理服务费收费有关问题的通知》（发改办价格[2003]857号）规定的标准报下浮率。</w:t>
      </w:r>
    </w:p>
    <w:p>
      <w:pPr>
        <w:pStyle w:val="2"/>
        <w:ind w:left="0" w:leftChars="0"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
        <w:spacing w:line="360" w:lineRule="auto"/>
        <w:rPr>
          <w:rFonts w:ascii="宋体" w:hAnsi="宋体" w:cs="宋体"/>
          <w:spacing w:val="10"/>
          <w:sz w:val="24"/>
          <w:u w:val="single"/>
        </w:rPr>
      </w:pPr>
    </w:p>
    <w:p>
      <w:pPr>
        <w:spacing w:line="360" w:lineRule="auto"/>
        <w:rPr>
          <w:rFonts w:ascii="宋体" w:hAnsi="宋体" w:cs="宋体"/>
          <w:spacing w:val="10"/>
          <w:sz w:val="24"/>
          <w:u w:val="single"/>
        </w:rPr>
      </w:pPr>
      <w:bookmarkStart w:id="278" w:name="_GoBack"/>
      <w:bookmarkEnd w:id="278"/>
    </w:p>
    <w:p>
      <w:pPr>
        <w:pStyle w:val="2"/>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numPr>
          <w:ilvl w:val="0"/>
          <w:numId w:val="4"/>
        </w:numPr>
        <w:spacing w:before="0" w:after="100" w:afterAutospacing="1"/>
        <w:ind w:left="0" w:leftChars="0" w:firstLine="0" w:firstLineChars="0"/>
        <w:rPr>
          <w:rFonts w:hint="eastAsia" w:ascii="宋体" w:hAnsi="宋体" w:cs="宋体"/>
          <w:spacing w:val="10"/>
        </w:rPr>
      </w:pPr>
      <w:bookmarkStart w:id="245" w:name="_Toc11092"/>
      <w:bookmarkStart w:id="246" w:name="_Toc9716"/>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r>
        <w:rPr>
          <w:rFonts w:hint="eastAsia" w:ascii="宋体" w:hAnsi="宋体" w:cs="宋体"/>
          <w:spacing w:val="10"/>
          <w:lang w:eastAsia="zh-CN"/>
        </w:rPr>
        <w:t>（略）</w:t>
      </w: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5"/>
        <w:numPr>
          <w:numId w:val="0"/>
        </w:numPr>
        <w:ind w:leftChars="0"/>
      </w:pPr>
    </w:p>
    <w:p>
      <w:pPr>
        <w:pStyle w:val="4"/>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5303"/>
      <w:bookmarkStart w:id="253"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20"/>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color w:val="FF0000"/>
          <w:sz w:val="24"/>
          <w:szCs w:val="32"/>
          <w:shd w:val="clear" w:color="auto" w:fill="FFFFFF"/>
        </w:rPr>
        <w:t>：</w:t>
      </w:r>
      <w:r>
        <w:rPr>
          <w:rFonts w:hint="eastAsia" w:ascii="宋体" w:hAnsi="宋体" w:cs="宋体"/>
          <w:color w:val="FF0000"/>
          <w:sz w:val="24"/>
          <w:szCs w:val="32"/>
          <w:shd w:val="clear" w:color="auto" w:fill="FFFFFF"/>
          <w:lang w:val="en-US" w:eastAsia="zh-CN"/>
        </w:rPr>
        <w:t>1.</w:t>
      </w:r>
      <w:r>
        <w:rPr>
          <w:rFonts w:hint="eastAsia" w:ascii="宋体" w:hAnsi="宋体" w:cs="宋体"/>
          <w:color w:val="FF0000"/>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color w:val="FF0000"/>
          <w:sz w:val="24"/>
          <w:szCs w:val="32"/>
          <w:shd w:val="clear" w:color="auto" w:fill="FFFFFF"/>
        </w:rPr>
        <w:t>料。</w:t>
      </w:r>
    </w:p>
    <w:p>
      <w:pPr>
        <w:pStyle w:val="2"/>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20408"/>
      <w:bookmarkStart w:id="264" w:name="_Toc15095"/>
      <w:bookmarkStart w:id="265" w:name="_Toc15673"/>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7530"/>
      <w:bookmarkStart w:id="268" w:name="_Toc1997"/>
      <w:bookmarkStart w:id="269" w:name="_Toc408"/>
      <w:bookmarkStart w:id="270" w:name="_Toc9385"/>
      <w:bookmarkStart w:id="271" w:name="_Toc19846"/>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20"/>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17"/>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.服务</w:t>
      </w:r>
      <w:r>
        <w:rPr>
          <w:rFonts w:hint="eastAsia" w:ascii="宋体" w:hAnsi="宋体" w:cs="宋体"/>
          <w:sz w:val="32"/>
          <w:szCs w:val="32"/>
          <w:lang w:val="en-US" w:eastAsia="zh-CN"/>
        </w:rPr>
        <w:t>方案</w:t>
      </w:r>
      <w:r>
        <w:rPr>
          <w:rFonts w:hint="eastAsia" w:ascii="宋体" w:hAnsi="宋体" w:eastAsia="宋体" w:cs="宋体"/>
          <w:sz w:val="32"/>
          <w:szCs w:val="32"/>
          <w:lang w:val="en-US" w:eastAsia="zh-CN"/>
        </w:rPr>
        <w:t>（格式自拟）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pStyle w:val="2"/>
        <w:ind w:left="0" w:leftChars="0" w:firstLine="0" w:firstLineChars="0"/>
        <w:rPr>
          <w:rFonts w:hint="eastAsia"/>
        </w:rPr>
      </w:pPr>
      <w:bookmarkStart w:id="277" w:name="_Toc26527"/>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sz w:val="32"/>
          <w:szCs w:val="32"/>
          <w:lang w:val="en-US" w:eastAsia="zh-CN"/>
        </w:rPr>
        <w:t>(中标后双方协商拟定）</w:t>
      </w:r>
    </w:p>
    <w:p>
      <w:pPr>
        <w:pStyle w:val="17"/>
        <w:rPr>
          <w:rFonts w:hint="eastAsia" w:ascii="宋体" w:hAnsi="宋体" w:cs="宋体"/>
          <w:b/>
          <w:bCs/>
          <w:sz w:val="48"/>
          <w:szCs w:val="48"/>
        </w:rPr>
      </w:pPr>
    </w:p>
    <w:p>
      <w:pPr>
        <w:jc w:val="center"/>
        <w:rPr>
          <w:rFonts w:ascii="宋体" w:hAnsi="宋体" w:cs="宋体"/>
          <w:b/>
          <w:bCs/>
          <w:sz w:val="48"/>
          <w:szCs w:val="48"/>
        </w:rPr>
      </w:pPr>
    </w:p>
    <w:p/>
    <w:sectPr>
      <w:headerReference r:id="rId14" w:type="first"/>
      <w:headerReference r:id="rId13" w:type="default"/>
      <w:footerReference r:id="rId15"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EEE2A9"/>
    <w:multiLevelType w:val="singleLevel"/>
    <w:tmpl w:val="58EEE2A9"/>
    <w:lvl w:ilvl="0" w:tentative="0">
      <w:start w:val="1"/>
      <w:numFmt w:val="decimal"/>
      <w:suff w:val="space"/>
      <w:lvlText w:val="%1)"/>
      <w:lvlJc w:val="left"/>
    </w:lvl>
  </w:abstractNum>
  <w:abstractNum w:abstractNumId="3">
    <w:nsid w:val="5983EC99"/>
    <w:multiLevelType w:val="singleLevel"/>
    <w:tmpl w:val="5983EC99"/>
    <w:lvl w:ilvl="0" w:tentative="0">
      <w:start w:val="3"/>
      <w:numFmt w:val="chineseCounting"/>
      <w:suff w:val="space"/>
      <w:lvlText w:val="第%1章"/>
      <w:lvlJc w:val="left"/>
    </w:lvl>
  </w:abstractNum>
  <w:abstractNum w:abstractNumId="4">
    <w:nsid w:val="59DF3391"/>
    <w:multiLevelType w:val="singleLevel"/>
    <w:tmpl w:val="59DF3391"/>
    <w:lvl w:ilvl="0" w:tentative="0">
      <w:start w:val="7"/>
      <w:numFmt w:val="decimal"/>
      <w:suff w:val="space"/>
      <w:lvlText w:val="%1."/>
      <w:lvlJc w:val="left"/>
    </w:lvl>
  </w:abstractNum>
  <w:abstractNum w:abstractNumId="5">
    <w:nsid w:val="7DB1AA8B"/>
    <w:multiLevelType w:val="singleLevel"/>
    <w:tmpl w:val="7DB1AA8B"/>
    <w:lvl w:ilvl="0" w:tentative="0">
      <w:start w:val="3"/>
      <w:numFmt w:val="decimal"/>
      <w:suff w:val="nothing"/>
      <w:lvlText w:val="%1）"/>
      <w:lvlJc w:val="left"/>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66FC1"/>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3250E5"/>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1491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97B9A"/>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B2003"/>
    <w:rsid w:val="108D27C1"/>
    <w:rsid w:val="109B2FCF"/>
    <w:rsid w:val="10A77CD7"/>
    <w:rsid w:val="10A85506"/>
    <w:rsid w:val="10AB7444"/>
    <w:rsid w:val="10BA2A48"/>
    <w:rsid w:val="10C22A13"/>
    <w:rsid w:val="10C43E48"/>
    <w:rsid w:val="10C77F65"/>
    <w:rsid w:val="10C90E33"/>
    <w:rsid w:val="10CC60CD"/>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315787"/>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3A415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57F7D"/>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2A3E92"/>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7C28B7"/>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A5A99"/>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74ACC"/>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E3F24"/>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07D02"/>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12969"/>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A68C2"/>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347FA"/>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53D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661C7B"/>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90EE3"/>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A3B57"/>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73504A"/>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3F7E35"/>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4CC0"/>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96306"/>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D12D6"/>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1A014E"/>
    <w:rsid w:val="54297CAD"/>
    <w:rsid w:val="542E69F4"/>
    <w:rsid w:val="54345A48"/>
    <w:rsid w:val="54364520"/>
    <w:rsid w:val="54396075"/>
    <w:rsid w:val="543D582B"/>
    <w:rsid w:val="5440732C"/>
    <w:rsid w:val="544276DA"/>
    <w:rsid w:val="54443B8B"/>
    <w:rsid w:val="54460F2A"/>
    <w:rsid w:val="544E6061"/>
    <w:rsid w:val="545218C0"/>
    <w:rsid w:val="54577ABF"/>
    <w:rsid w:val="545E5EC1"/>
    <w:rsid w:val="54615AD2"/>
    <w:rsid w:val="546553BD"/>
    <w:rsid w:val="54690674"/>
    <w:rsid w:val="546F1773"/>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335ED"/>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92CB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94F"/>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AC5031"/>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5F3DCB"/>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27B53"/>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962F3"/>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6B41FA"/>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281251"/>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4F2E1A"/>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B74BBE"/>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99"/>
    <w:pPr>
      <w:ind w:left="420" w:leftChars="200"/>
    </w:p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w:basedOn w:val="1"/>
    <w:link w:val="60"/>
    <w:qFormat/>
    <w:uiPriority w:val="99"/>
    <w:pPr>
      <w:snapToGrid w:val="0"/>
      <w:spacing w:line="300" w:lineRule="auto"/>
    </w:pPr>
    <w:rPr>
      <w:kern w:val="0"/>
      <w:sz w:val="24"/>
    </w:rPr>
  </w:style>
  <w:style w:type="paragraph" w:styleId="18">
    <w:name w:val="Body Text Indent"/>
    <w:basedOn w:val="1"/>
    <w:link w:val="61"/>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3"/>
    <w:qFormat/>
    <w:uiPriority w:val="99"/>
    <w:pPr>
      <w:ind w:left="100" w:leftChars="2500"/>
    </w:pPr>
    <w:rPr>
      <w:kern w:val="0"/>
      <w:sz w:val="24"/>
    </w:rPr>
  </w:style>
  <w:style w:type="paragraph" w:styleId="22">
    <w:name w:val="Body Text Indent 2"/>
    <w:basedOn w:val="1"/>
    <w:link w:val="64"/>
    <w:qFormat/>
    <w:uiPriority w:val="99"/>
    <w:pPr>
      <w:spacing w:line="460" w:lineRule="exact"/>
      <w:ind w:firstLine="570"/>
    </w:pPr>
    <w:rPr>
      <w:kern w:val="0"/>
      <w:sz w:val="24"/>
    </w:rPr>
  </w:style>
  <w:style w:type="paragraph" w:styleId="23">
    <w:name w:val="Balloon Text"/>
    <w:basedOn w:val="1"/>
    <w:link w:val="65"/>
    <w:qFormat/>
    <w:uiPriority w:val="99"/>
    <w:rPr>
      <w:kern w:val="0"/>
      <w:sz w:val="16"/>
      <w:szCs w:val="16"/>
    </w:rPr>
  </w:style>
  <w:style w:type="paragraph" w:styleId="24">
    <w:name w:val="footer"/>
    <w:basedOn w:val="1"/>
    <w:link w:val="66"/>
    <w:qFormat/>
    <w:uiPriority w:val="99"/>
    <w:pPr>
      <w:tabs>
        <w:tab w:val="center" w:pos="4153"/>
        <w:tab w:val="right" w:pos="8306"/>
      </w:tabs>
      <w:snapToGrid w:val="0"/>
      <w:jc w:val="left"/>
    </w:pPr>
    <w:rPr>
      <w:kern w:val="0"/>
      <w:sz w:val="18"/>
      <w:szCs w:val="18"/>
    </w:rPr>
  </w:style>
  <w:style w:type="paragraph" w:styleId="25">
    <w:name w:val="header"/>
    <w:basedOn w:val="1"/>
    <w:link w:val="67"/>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8"/>
    <w:qFormat/>
    <w:uiPriority w:val="99"/>
    <w:pPr>
      <w:spacing w:after="120"/>
      <w:ind w:left="420"/>
    </w:pPr>
    <w:rPr>
      <w:kern w:val="0"/>
      <w:sz w:val="16"/>
      <w:szCs w:val="16"/>
    </w:r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17"/>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17"/>
    <w:semiHidden/>
    <w:qFormat/>
    <w:locked/>
    <w:uiPriority w:val="99"/>
    <w:rPr>
      <w:rFonts w:cs="Times New Roman"/>
      <w:sz w:val="24"/>
      <w:szCs w:val="24"/>
    </w:rPr>
  </w:style>
  <w:style w:type="character" w:customStyle="1" w:styleId="61">
    <w:name w:val="正文文本缩进 Char"/>
    <w:link w:val="18"/>
    <w:semiHidden/>
    <w:qFormat/>
    <w:locked/>
    <w:uiPriority w:val="99"/>
    <w:rPr>
      <w:rFonts w:cs="Times New Roman"/>
      <w:sz w:val="24"/>
      <w:szCs w:val="24"/>
    </w:rPr>
  </w:style>
  <w:style w:type="character" w:customStyle="1" w:styleId="62">
    <w:name w:val="纯文本 Char"/>
    <w:link w:val="20"/>
    <w:semiHidden/>
    <w:qFormat/>
    <w:locked/>
    <w:uiPriority w:val="99"/>
    <w:rPr>
      <w:rFonts w:ascii="宋体" w:hAnsi="Courier New" w:cs="Courier New"/>
      <w:sz w:val="21"/>
      <w:szCs w:val="21"/>
    </w:rPr>
  </w:style>
  <w:style w:type="character" w:customStyle="1" w:styleId="63">
    <w:name w:val="日期 Char"/>
    <w:link w:val="21"/>
    <w:semiHidden/>
    <w:qFormat/>
    <w:locked/>
    <w:uiPriority w:val="99"/>
    <w:rPr>
      <w:rFonts w:cs="Times New Roman"/>
      <w:sz w:val="24"/>
      <w:szCs w:val="24"/>
    </w:rPr>
  </w:style>
  <w:style w:type="character" w:customStyle="1" w:styleId="64">
    <w:name w:val="正文文本缩进 2 Char"/>
    <w:link w:val="22"/>
    <w:semiHidden/>
    <w:qFormat/>
    <w:locked/>
    <w:uiPriority w:val="99"/>
    <w:rPr>
      <w:rFonts w:cs="Times New Roman"/>
      <w:sz w:val="24"/>
      <w:szCs w:val="24"/>
    </w:rPr>
  </w:style>
  <w:style w:type="character" w:customStyle="1" w:styleId="65">
    <w:name w:val="批注框文本 Char"/>
    <w:link w:val="23"/>
    <w:semiHidden/>
    <w:qFormat/>
    <w:locked/>
    <w:uiPriority w:val="99"/>
    <w:rPr>
      <w:rFonts w:cs="Times New Roman"/>
      <w:sz w:val="16"/>
      <w:szCs w:val="16"/>
    </w:rPr>
  </w:style>
  <w:style w:type="character" w:customStyle="1" w:styleId="66">
    <w:name w:val="页脚 Char"/>
    <w:link w:val="24"/>
    <w:semiHidden/>
    <w:qFormat/>
    <w:locked/>
    <w:uiPriority w:val="99"/>
    <w:rPr>
      <w:rFonts w:cs="Times New Roman"/>
      <w:sz w:val="18"/>
      <w:szCs w:val="18"/>
    </w:rPr>
  </w:style>
  <w:style w:type="character" w:customStyle="1" w:styleId="67">
    <w:name w:val="页眉 Char"/>
    <w:link w:val="25"/>
    <w:semiHidden/>
    <w:qFormat/>
    <w:locked/>
    <w:uiPriority w:val="99"/>
    <w:rPr>
      <w:rFonts w:cs="Times New Roman"/>
      <w:sz w:val="18"/>
      <w:szCs w:val="18"/>
    </w:rPr>
  </w:style>
  <w:style w:type="character" w:customStyle="1" w:styleId="68">
    <w:name w:val="正文文本缩进 3 Char"/>
    <w:link w:val="28"/>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17"/>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20"/>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 w:type="paragraph" w:customStyle="1" w:styleId="228">
    <w:name w:val="标题 2_0"/>
    <w:basedOn w:val="229"/>
    <w:next w:val="229"/>
    <w:qFormat/>
    <w:uiPriority w:val="0"/>
    <w:pPr>
      <w:keepNext/>
      <w:keepLines/>
      <w:spacing w:before="260" w:after="260" w:line="415" w:lineRule="auto"/>
      <w:outlineLvl w:val="1"/>
    </w:pPr>
    <w:rPr>
      <w:rFonts w:ascii="Cambria" w:hAnsi="Cambria"/>
      <w:b/>
      <w:bCs/>
      <w:kern w:val="0"/>
      <w:sz w:val="32"/>
      <w:szCs w:val="32"/>
    </w:rPr>
  </w:style>
  <w:style w:type="paragraph" w:customStyle="1" w:styleId="229">
    <w:name w:val="正文_0"/>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4.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1</TotalTime>
  <ScaleCrop>false</ScaleCrop>
  <LinksUpToDate>false</LinksUpToDate>
  <CharactersWithSpaces>36057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2020-07-28T07:30:18Z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