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8"/>
      </w:pPr>
    </w:p>
    <w:p>
      <w:pPr>
        <w:spacing w:line="360" w:lineRule="auto"/>
        <w:jc w:val="center"/>
        <w:rPr>
          <w:rFonts w:ascii="宋体" w:hAnsi="宋体" w:cs="宋体"/>
          <w:b/>
          <w:bCs w:val="0"/>
          <w:color w:val="auto"/>
          <w:kern w:val="0"/>
          <w:sz w:val="72"/>
          <w:szCs w:val="72"/>
        </w:rPr>
      </w:pPr>
      <w:r>
        <w:rPr>
          <w:rFonts w:hint="eastAsia" w:ascii="宋体" w:hAnsi="宋体" w:cs="宋体"/>
          <w:b/>
          <w:bCs w:val="0"/>
          <w:color w:val="auto"/>
          <w:kern w:val="0"/>
          <w:sz w:val="72"/>
          <w:szCs w:val="72"/>
        </w:rPr>
        <w:t>甘肃省</w:t>
      </w:r>
      <w:r>
        <w:rPr>
          <w:rFonts w:hint="eastAsia" w:ascii="宋体" w:hAnsi="宋体" w:cs="宋体"/>
          <w:b/>
          <w:bCs w:val="0"/>
          <w:color w:val="auto"/>
          <w:kern w:val="0"/>
          <w:sz w:val="72"/>
          <w:szCs w:val="72"/>
          <w:lang w:eastAsia="zh-CN"/>
        </w:rPr>
        <w:t>第二人民医院</w:t>
      </w:r>
      <w:r>
        <w:rPr>
          <w:rFonts w:hint="eastAsia" w:ascii="宋体" w:hAnsi="宋体" w:cs="宋体"/>
          <w:b/>
          <w:bCs w:val="0"/>
          <w:color w:val="auto"/>
          <w:kern w:val="0"/>
          <w:sz w:val="72"/>
          <w:szCs w:val="72"/>
          <w:lang w:val="en-US" w:eastAsia="zh-CN"/>
        </w:rPr>
        <w:t>工程造价及工程审计服务采购</w:t>
      </w:r>
      <w:r>
        <w:rPr>
          <w:rFonts w:hint="eastAsia" w:ascii="宋体" w:hAnsi="宋体" w:cs="宋体"/>
          <w:b/>
          <w:bCs w:val="0"/>
          <w:color w:val="auto"/>
          <w:kern w:val="0"/>
          <w:sz w:val="72"/>
          <w:szCs w:val="72"/>
        </w:rPr>
        <w:t>项目</w:t>
      </w:r>
    </w:p>
    <w:p>
      <w:pPr>
        <w:spacing w:line="360" w:lineRule="auto"/>
        <w:rPr>
          <w:rFonts w:ascii="宋体" w:hAnsi="宋体" w:cs="宋体"/>
          <w:b/>
          <w:color w:val="auto"/>
          <w:kern w:val="0"/>
          <w:sz w:val="52"/>
          <w:szCs w:val="52"/>
        </w:rPr>
      </w:pPr>
    </w:p>
    <w:p>
      <w:pPr>
        <w:pStyle w:val="28"/>
        <w:rPr>
          <w:rFonts w:ascii="宋体" w:hAnsi="宋体" w:cs="宋体"/>
          <w:b/>
          <w:color w:val="auto"/>
          <w:kern w:val="0"/>
          <w:sz w:val="52"/>
          <w:szCs w:val="52"/>
        </w:rPr>
      </w:pPr>
    </w:p>
    <w:p>
      <w:pPr>
        <w:rPr>
          <w:color w:val="auto"/>
        </w:rPr>
      </w:pPr>
    </w:p>
    <w:p>
      <w:pPr>
        <w:spacing w:line="360" w:lineRule="auto"/>
        <w:rPr>
          <w:rFonts w:ascii="宋体" w:hAnsi="宋体" w:cs="宋体"/>
          <w:b/>
          <w:color w:val="auto"/>
          <w:kern w:val="0"/>
          <w:sz w:val="52"/>
          <w:szCs w:val="52"/>
        </w:rPr>
      </w:pPr>
    </w:p>
    <w:p>
      <w:pPr>
        <w:spacing w:line="360" w:lineRule="auto"/>
        <w:jc w:val="center"/>
        <w:rPr>
          <w:rFonts w:ascii="宋体" w:hAnsi="宋体" w:cs="宋体"/>
          <w:b/>
          <w:color w:val="auto"/>
          <w:sz w:val="30"/>
          <w:szCs w:val="30"/>
        </w:rPr>
      </w:pPr>
      <w:r>
        <w:rPr>
          <w:rFonts w:hint="eastAsia" w:ascii="宋体" w:hAnsi="宋体" w:cs="宋体"/>
          <w:b/>
          <w:color w:val="auto"/>
          <w:sz w:val="72"/>
        </w:rPr>
        <w:t>招标文件</w:t>
      </w:r>
    </w:p>
    <w:p>
      <w:pPr>
        <w:widowControl/>
        <w:spacing w:line="360" w:lineRule="auto"/>
        <w:jc w:val="center"/>
        <w:rPr>
          <w:rFonts w:hint="default" w:ascii="宋体" w:hAnsi="宋体" w:eastAsia="宋体" w:cs="宋体"/>
          <w:b/>
          <w:bCs/>
          <w:color w:val="auto"/>
          <w:kern w:val="0"/>
          <w:sz w:val="30"/>
          <w:szCs w:val="30"/>
          <w:lang w:val="en-US" w:eastAsia="zh-CN"/>
        </w:rPr>
      </w:pPr>
      <w:r>
        <w:rPr>
          <w:rFonts w:hint="eastAsia" w:ascii="宋体" w:hAnsi="宋体" w:cs="宋体"/>
          <w:b/>
          <w:color w:val="auto"/>
          <w:sz w:val="30"/>
          <w:szCs w:val="30"/>
        </w:rPr>
        <w:t>招标编号：</w:t>
      </w:r>
      <w:r>
        <w:rPr>
          <w:rFonts w:hint="eastAsia" w:ascii="宋体" w:hAnsi="宋体" w:cs="宋体"/>
          <w:b/>
          <w:color w:val="auto"/>
          <w:sz w:val="30"/>
          <w:szCs w:val="30"/>
          <w:lang w:val="en-US" w:eastAsia="zh-CN"/>
        </w:rPr>
        <w:t>SEY-2020YNCG-112</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color w:val="auto"/>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color w:val="auto"/>
          <w:sz w:val="30"/>
          <w:szCs w:val="30"/>
        </w:rPr>
        <w:t>：</w:t>
      </w:r>
      <w:r>
        <w:rPr>
          <w:rFonts w:hint="eastAsia" w:ascii="宋体" w:hAnsi="宋体" w:cs="宋体"/>
          <w:b/>
          <w:color w:val="auto"/>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九</w:t>
      </w:r>
      <w:r>
        <w:rPr>
          <w:rFonts w:hint="eastAsia" w:ascii="宋体" w:hAnsi="宋体" w:cs="宋体"/>
          <w:b/>
          <w:bCs/>
          <w:color w:val="auto"/>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spacing w:line="360" w:lineRule="auto"/>
        <w:rPr>
          <w:rFonts w:ascii="宋体" w:hAnsi="宋体" w:cs="宋体"/>
        </w:rPr>
      </w:pPr>
      <w:r>
        <w:rPr>
          <w:rFonts w:hint="eastAsia" w:ascii="宋体" w:hAnsi="宋体" w:eastAsia="宋体" w:cs="宋体"/>
          <w:sz w:val="28"/>
          <w:szCs w:val="36"/>
        </w:rPr>
        <w:fldChar w:fldCharType="end"/>
      </w:r>
      <w:bookmarkEnd w:id="0"/>
      <w:bookmarkStart w:id="2" w:name="_Toc128372729"/>
      <w:bookmarkStart w:id="3" w:name="_Toc128372051"/>
      <w:bookmarkStart w:id="4" w:name="_Toc327439434"/>
      <w:bookmarkStart w:id="5" w:name="_Toc139965325"/>
    </w:p>
    <w:p>
      <w:pPr>
        <w:pStyle w:val="3"/>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
      <w:pPr>
        <w:pStyle w:val="5"/>
      </w:pPr>
    </w:p>
    <w:p/>
    <w:p>
      <w:pPr>
        <w:rPr>
          <w:rFonts w:ascii="宋体" w:hAnsi="宋体" w:cs="宋体"/>
        </w:rPr>
      </w:pPr>
    </w:p>
    <w:p>
      <w:pPr>
        <w:pStyle w:val="3"/>
        <w:rPr>
          <w:rFonts w:hint="eastAsia" w:ascii="宋体" w:hAnsi="宋体" w:eastAsia="宋体" w:cs="宋体"/>
          <w:sz w:val="32"/>
          <w:szCs w:val="32"/>
          <w:lang w:eastAsia="zh-CN"/>
        </w:rPr>
      </w:pPr>
      <w:bookmarkStart w:id="6" w:name="_Toc19275"/>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rPr>
        <w:t xml:space="preserve"> </w:t>
      </w:r>
      <w:bookmarkEnd w:id="6"/>
      <w:r>
        <w:rPr>
          <w:rFonts w:hint="eastAsia" w:ascii="宋体" w:hAnsi="宋体" w:cs="宋体"/>
          <w:color w:val="000000" w:themeColor="text1"/>
          <w:sz w:val="32"/>
          <w:szCs w:val="32"/>
          <w:lang w:eastAsia="zh-CN"/>
        </w:rPr>
        <w:t>招标</w:t>
      </w:r>
      <w:r>
        <w:rPr>
          <w:rFonts w:hint="eastAsia" w:ascii="宋体" w:hAnsi="宋体" w:cs="宋体"/>
          <w:sz w:val="32"/>
          <w:szCs w:val="32"/>
          <w:lang w:eastAsia="zh-CN"/>
        </w:rPr>
        <w:t>公告</w:t>
      </w:r>
    </w:p>
    <w:p>
      <w:pPr>
        <w:spacing w:line="360" w:lineRule="auto"/>
        <w:ind w:firstLine="480" w:firstLineChars="200"/>
        <w:jc w:val="left"/>
        <w:rPr>
          <w:rFonts w:ascii="宋体" w:hAnsi="宋体" w:cs="宋体"/>
          <w:color w:val="auto"/>
          <w:sz w:val="24"/>
        </w:rPr>
      </w:pPr>
      <w:r>
        <w:rPr>
          <w:rFonts w:hint="eastAsia" w:ascii="宋体" w:hAnsi="宋体" w:cs="宋体"/>
          <w:sz w:val="24"/>
          <w:lang w:eastAsia="zh-CN"/>
        </w:rPr>
        <w:t>根据相关科室需求，经院主管</w:t>
      </w:r>
      <w:r>
        <w:rPr>
          <w:rFonts w:hint="eastAsia" w:ascii="宋体" w:hAnsi="宋体" w:cs="宋体"/>
          <w:color w:val="auto"/>
          <w:sz w:val="24"/>
          <w:lang w:eastAsia="zh-CN"/>
        </w:rPr>
        <w:t>部门批准</w:t>
      </w:r>
      <w:r>
        <w:rPr>
          <w:rFonts w:hint="eastAsia" w:ascii="宋体" w:hAnsi="宋体" w:cs="宋体"/>
          <w:color w:val="auto"/>
          <w:sz w:val="24"/>
        </w:rPr>
        <w:t>，</w:t>
      </w:r>
      <w:r>
        <w:rPr>
          <w:rFonts w:hint="eastAsia" w:ascii="宋体" w:hAnsi="宋体" w:cs="宋体"/>
          <w:color w:val="auto"/>
          <w:sz w:val="24"/>
          <w:lang w:eastAsia="zh-CN"/>
        </w:rPr>
        <w:t>决定</w:t>
      </w:r>
      <w:r>
        <w:rPr>
          <w:rFonts w:hint="eastAsia" w:ascii="宋体" w:hAnsi="宋体" w:cs="宋体"/>
          <w:color w:val="auto"/>
          <w:sz w:val="24"/>
        </w:rPr>
        <w:t>对</w:t>
      </w:r>
      <w:r>
        <w:rPr>
          <w:rFonts w:hint="eastAsia" w:ascii="宋体" w:hAnsi="宋体" w:cs="宋体"/>
          <w:bCs/>
          <w:color w:val="auto"/>
          <w:sz w:val="24"/>
          <w:lang w:eastAsia="zh-CN"/>
        </w:rPr>
        <w:t>甘肃省第二人民医院</w:t>
      </w:r>
      <w:r>
        <w:rPr>
          <w:rFonts w:hint="eastAsia" w:ascii="宋体" w:hAnsi="宋体" w:cs="宋体"/>
          <w:bCs/>
          <w:color w:val="auto"/>
          <w:sz w:val="24"/>
          <w:lang w:val="en-US" w:eastAsia="zh-CN"/>
        </w:rPr>
        <w:t>工程造价及工程审计服务</w:t>
      </w:r>
      <w:r>
        <w:rPr>
          <w:rFonts w:hint="eastAsia" w:ascii="宋体" w:hAnsi="宋体" w:cs="宋体"/>
          <w:bCs/>
          <w:color w:val="auto"/>
          <w:sz w:val="24"/>
        </w:rPr>
        <w:t>项目</w:t>
      </w:r>
      <w:r>
        <w:rPr>
          <w:rFonts w:hint="eastAsia" w:ascii="宋体" w:hAnsi="宋体" w:cs="宋体"/>
          <w:color w:val="auto"/>
          <w:sz w:val="24"/>
        </w:rPr>
        <w:t>以公开招标形式进行采购，欢迎符合资格条件的投标人前来参加。</w:t>
      </w:r>
    </w:p>
    <w:p>
      <w:pPr>
        <w:spacing w:line="360" w:lineRule="auto"/>
        <w:rPr>
          <w:rFonts w:hint="eastAsia" w:ascii="宋体" w:hAnsi="宋体" w:eastAsia="宋体" w:cs="宋体"/>
          <w:b/>
          <w:color w:val="auto"/>
          <w:sz w:val="24"/>
          <w:lang w:val="en-US" w:eastAsia="zh-CN"/>
        </w:rPr>
      </w:pPr>
      <w:r>
        <w:rPr>
          <w:rFonts w:hint="eastAsia" w:ascii="宋体" w:hAnsi="宋体" w:cs="宋体"/>
          <w:b/>
          <w:bCs/>
          <w:color w:val="auto"/>
          <w:sz w:val="24"/>
        </w:rPr>
        <w:t>1.招标文件编号：</w:t>
      </w:r>
      <w:r>
        <w:rPr>
          <w:rFonts w:hint="eastAsia" w:ascii="宋体" w:hAnsi="宋体" w:cs="宋体"/>
          <w:color w:val="auto"/>
          <w:sz w:val="24"/>
          <w:lang w:eastAsia="zh-CN"/>
        </w:rPr>
        <w:t>SEY-2020YNCG-112</w:t>
      </w:r>
    </w:p>
    <w:p>
      <w:pPr>
        <w:pStyle w:val="19"/>
        <w:keepNext w:val="0"/>
        <w:keepLines w:val="0"/>
        <w:pageBreakBefore w:val="0"/>
        <w:kinsoku/>
        <w:wordWrap/>
        <w:overflowPunct/>
        <w:topLinePunct w:val="0"/>
        <w:autoSpaceDE/>
        <w:autoSpaceDN/>
        <w:bidi w:val="0"/>
        <w:spacing w:before="0" w:beforeAutospacing="0" w:line="420" w:lineRule="exact"/>
        <w:rPr>
          <w:rFonts w:hint="eastAsia" w:ascii="宋体" w:hAnsi="宋体" w:cs="宋体"/>
          <w:color w:val="auto"/>
          <w:sz w:val="24"/>
        </w:rPr>
      </w:pPr>
      <w:r>
        <w:rPr>
          <w:rFonts w:hint="eastAsia" w:ascii="宋体" w:hAnsi="宋体" w:cs="宋体"/>
          <w:b/>
          <w:bCs/>
          <w:color w:val="auto"/>
          <w:sz w:val="24"/>
        </w:rPr>
        <w:t>2.招标内容：</w:t>
      </w:r>
      <w:r>
        <w:rPr>
          <w:rFonts w:hint="eastAsia" w:ascii="Times New Roman" w:hAnsi="Times New Roman" w:cs="Times New Roman"/>
          <w:color w:val="auto"/>
          <w:sz w:val="24"/>
          <w:szCs w:val="24"/>
          <w:highlight w:val="none"/>
          <w:lang w:eastAsia="zh-CN"/>
        </w:rPr>
        <w:t>工程造价及工程审计服务服务</w:t>
      </w:r>
      <w:r>
        <w:rPr>
          <w:rFonts w:hint="eastAsia" w:ascii="Times New Roman" w:hAnsi="Times New Roman" w:eastAsia="宋体" w:cs="Times New Roman"/>
          <w:color w:val="auto"/>
          <w:sz w:val="24"/>
          <w:lang w:eastAsia="zh-CN"/>
        </w:rPr>
        <w:t>。</w:t>
      </w:r>
      <w:r>
        <w:rPr>
          <w:rFonts w:hint="eastAsia" w:ascii="宋体" w:hAnsi="宋体" w:cs="宋体"/>
          <w:color w:val="auto"/>
          <w:sz w:val="24"/>
        </w:rPr>
        <w:t>(本项目共</w:t>
      </w:r>
      <w:r>
        <w:rPr>
          <w:rFonts w:hint="eastAsia" w:hAnsi="宋体" w:cs="宋体"/>
          <w:color w:val="auto"/>
          <w:sz w:val="24"/>
          <w:lang w:eastAsia="zh-CN"/>
        </w:rPr>
        <w:t>两</w:t>
      </w:r>
      <w:r>
        <w:rPr>
          <w:rFonts w:hint="eastAsia" w:ascii="宋体" w:hAnsi="宋体" w:cs="宋体"/>
          <w:color w:val="auto"/>
          <w:sz w:val="24"/>
        </w:rPr>
        <w:t>个包，具体招标要求详见招标文件)</w:t>
      </w:r>
    </w:p>
    <w:p>
      <w:pPr>
        <w:pStyle w:val="19"/>
        <w:keepNext w:val="0"/>
        <w:keepLines w:val="0"/>
        <w:pageBreakBefore w:val="0"/>
        <w:kinsoku/>
        <w:wordWrap/>
        <w:overflowPunct/>
        <w:topLinePunct w:val="0"/>
        <w:autoSpaceDE/>
        <w:autoSpaceDN/>
        <w:bidi w:val="0"/>
        <w:spacing w:before="0" w:beforeAutospacing="0" w:line="420" w:lineRule="exact"/>
        <w:rPr>
          <w:rFonts w:hint="default" w:hAnsi="宋体" w:cs="宋体"/>
          <w:color w:val="auto"/>
          <w:sz w:val="24"/>
          <w:lang w:val="en-US" w:eastAsia="zh-CN"/>
        </w:rPr>
      </w:pPr>
      <w:r>
        <w:rPr>
          <w:rFonts w:hint="eastAsia" w:hAnsi="宋体" w:cs="宋体"/>
          <w:color w:val="auto"/>
          <w:sz w:val="24"/>
          <w:lang w:eastAsia="zh-CN"/>
        </w:rPr>
        <w:t>第一包：工程造价服务</w:t>
      </w:r>
      <w:r>
        <w:rPr>
          <w:rFonts w:hint="eastAsia" w:hAnsi="宋体" w:cs="宋体"/>
          <w:color w:val="auto"/>
          <w:sz w:val="24"/>
          <w:lang w:val="en-US" w:eastAsia="zh-CN"/>
        </w:rPr>
        <w:t xml:space="preserve">     服务范围（非政府采购50万以下的工程项目） 招一家</w:t>
      </w:r>
    </w:p>
    <w:p>
      <w:pPr>
        <w:pStyle w:val="19"/>
        <w:keepNext w:val="0"/>
        <w:keepLines w:val="0"/>
        <w:pageBreakBefore w:val="0"/>
        <w:kinsoku/>
        <w:wordWrap/>
        <w:overflowPunct/>
        <w:topLinePunct w:val="0"/>
        <w:autoSpaceDE/>
        <w:autoSpaceDN/>
        <w:bidi w:val="0"/>
        <w:spacing w:before="0" w:beforeAutospacing="0" w:line="420" w:lineRule="exact"/>
        <w:rPr>
          <w:rFonts w:hint="default" w:hAnsi="宋体" w:cs="宋体"/>
          <w:color w:val="auto"/>
          <w:sz w:val="24"/>
          <w:lang w:val="en-US" w:eastAsia="zh-CN"/>
        </w:rPr>
      </w:pPr>
      <w:r>
        <w:rPr>
          <w:rFonts w:hint="eastAsia" w:hAnsi="宋体" w:cs="宋体"/>
          <w:color w:val="auto"/>
          <w:sz w:val="24"/>
          <w:lang w:eastAsia="zh-CN"/>
        </w:rPr>
        <w:t>第二包：工程审计服务</w:t>
      </w:r>
      <w:r>
        <w:rPr>
          <w:rFonts w:hint="eastAsia" w:hAnsi="宋体" w:cs="宋体"/>
          <w:color w:val="auto"/>
          <w:sz w:val="24"/>
          <w:lang w:val="en-US" w:eastAsia="zh-CN"/>
        </w:rPr>
        <w:t xml:space="preserve">     服务范围（非政府采购的工程项目） 招一家</w:t>
      </w:r>
    </w:p>
    <w:p>
      <w:pPr>
        <w:spacing w:line="360" w:lineRule="auto"/>
        <w:rPr>
          <w:rFonts w:ascii="宋体" w:hAnsi="宋体" w:cs="宋体"/>
          <w:b/>
          <w:bCs/>
          <w:color w:val="auto"/>
          <w:sz w:val="24"/>
        </w:rPr>
      </w:pPr>
      <w:r>
        <w:rPr>
          <w:rFonts w:hint="eastAsia" w:ascii="宋体" w:hAnsi="宋体" w:cs="宋体"/>
          <w:b/>
          <w:bCs/>
          <w:color w:val="auto"/>
          <w:sz w:val="24"/>
        </w:rPr>
        <w:t>3.投标人资格要求：</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spacing w:line="360" w:lineRule="auto"/>
        <w:ind w:firstLine="480" w:firstLineChars="20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2）须具有工程造价咨询甲级资质。</w:t>
      </w:r>
    </w:p>
    <w:p>
      <w:pPr>
        <w:spacing w:line="360" w:lineRule="auto"/>
        <w:ind w:firstLine="480" w:firstLineChars="200"/>
        <w:rPr>
          <w:rFonts w:ascii="宋体" w:hAnsi="宋体" w:cs="宋体"/>
          <w:color w:val="auto"/>
          <w:sz w:val="24"/>
        </w:rPr>
      </w:pPr>
      <w:r>
        <w:rPr>
          <w:rFonts w:hint="eastAsia" w:ascii="宋体" w:hAnsi="宋体" w:cs="宋体"/>
          <w:color w:val="auto"/>
          <w:kern w:val="2"/>
          <w:sz w:val="24"/>
          <w:szCs w:val="24"/>
          <w:highlight w:val="none"/>
          <w:lang w:val="en-US" w:eastAsia="zh-CN" w:bidi="ar-SA"/>
        </w:rPr>
        <w:t>3）</w:t>
      </w:r>
      <w:r>
        <w:rPr>
          <w:rFonts w:hint="eastAsia" w:ascii="宋体" w:hAnsi="宋体" w:cs="宋体"/>
          <w:color w:val="auto"/>
          <w:sz w:val="24"/>
        </w:rPr>
        <w:t>本项目不接受联合体投标。</w:t>
      </w:r>
    </w:p>
    <w:p>
      <w:pPr>
        <w:spacing w:line="360" w:lineRule="auto"/>
        <w:rPr>
          <w:rFonts w:hint="eastAsia" w:ascii="宋体" w:hAnsi="宋体" w:eastAsia="宋体" w:cs="宋体"/>
          <w:color w:val="auto"/>
          <w:sz w:val="24"/>
          <w:lang w:val="en-US" w:eastAsia="zh-CN"/>
        </w:rPr>
      </w:pPr>
      <w:r>
        <w:rPr>
          <w:rFonts w:hint="eastAsia" w:ascii="宋体" w:hAnsi="宋体" w:cs="宋体"/>
          <w:b/>
          <w:bCs/>
          <w:color w:val="auto"/>
          <w:sz w:val="24"/>
          <w:lang w:val="en-US" w:eastAsia="zh-CN"/>
        </w:rPr>
        <w:t>4</w:t>
      </w:r>
      <w:r>
        <w:rPr>
          <w:rFonts w:hint="eastAsia" w:ascii="宋体" w:hAnsi="宋体" w:cs="宋体"/>
          <w:b/>
          <w:bCs/>
          <w:color w:val="auto"/>
          <w:sz w:val="24"/>
        </w:rPr>
        <w:t>.项目预算：</w:t>
      </w:r>
      <w:r>
        <w:rPr>
          <w:rFonts w:hint="eastAsia" w:ascii="宋体" w:hAnsi="宋体" w:cs="宋体"/>
          <w:b/>
          <w:bCs/>
          <w:color w:val="auto"/>
          <w:sz w:val="24"/>
          <w:lang w:eastAsia="zh-CN"/>
        </w:rPr>
        <w:t>无</w:t>
      </w:r>
    </w:p>
    <w:p>
      <w:pPr>
        <w:pStyle w:val="28"/>
        <w:spacing w:line="360" w:lineRule="auto"/>
        <w:ind w:left="0" w:leftChars="0"/>
        <w:rPr>
          <w:rFonts w:ascii="宋体" w:hAnsi="宋体" w:cs="宋体"/>
          <w:color w:val="auto"/>
          <w:kern w:val="0"/>
          <w:sz w:val="24"/>
        </w:rPr>
      </w:pPr>
      <w:r>
        <w:rPr>
          <w:rFonts w:hint="eastAsia" w:ascii="宋体" w:hAnsi="宋体" w:cs="宋体"/>
          <w:b/>
          <w:bCs/>
          <w:color w:val="auto"/>
          <w:sz w:val="24"/>
          <w:lang w:val="en-US" w:eastAsia="zh-CN"/>
        </w:rPr>
        <w:t>5</w:t>
      </w:r>
      <w:r>
        <w:rPr>
          <w:rFonts w:hint="eastAsia" w:ascii="宋体" w:hAnsi="宋体" w:cs="宋体"/>
          <w:b/>
          <w:bCs/>
          <w:color w:val="auto"/>
          <w:sz w:val="24"/>
        </w:rPr>
        <w:t>.公告期限：</w:t>
      </w:r>
      <w:r>
        <w:rPr>
          <w:rFonts w:hint="eastAsia" w:ascii="宋体" w:hAnsi="宋体" w:cs="宋体"/>
          <w:color w:val="auto"/>
          <w:kern w:val="0"/>
          <w:sz w:val="24"/>
        </w:rPr>
        <w:t>5个工作日（即自20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8</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14</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color w:val="auto"/>
          <w:sz w:val="24"/>
        </w:rPr>
        <w:t>综合评分法。</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8</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14</w:t>
      </w:r>
      <w:r>
        <w:rPr>
          <w:rFonts w:hint="eastAsia" w:ascii="宋体" w:hAnsi="宋体" w:cs="宋体"/>
          <w:color w:val="auto"/>
          <w:kern w:val="0"/>
          <w:sz w:val="24"/>
        </w:rPr>
        <w:t>日</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，到兰州市城关区和政西街1号甘肃省第二人民医院行政办公楼217登记报名，需提供</w:t>
      </w:r>
      <w:r>
        <w:rPr>
          <w:rFonts w:hint="eastAsia" w:ascii="宋体" w:hAnsi="宋体" w:cs="宋体"/>
          <w:b w:val="0"/>
          <w:bCs w:val="0"/>
          <w:color w:val="auto"/>
          <w:kern w:val="0"/>
          <w:sz w:val="24"/>
          <w:szCs w:val="22"/>
          <w:lang w:val="en-US" w:eastAsia="zh-CN"/>
        </w:rPr>
        <w:t>3中投标人资质要求的相关</w:t>
      </w:r>
      <w:r>
        <w:rPr>
          <w:rFonts w:hint="eastAsia" w:ascii="宋体" w:hAnsi="宋体" w:cs="宋体"/>
          <w:b w:val="0"/>
          <w:bCs w:val="0"/>
          <w:color w:val="auto"/>
          <w:kern w:val="0"/>
          <w:sz w:val="24"/>
          <w:szCs w:val="22"/>
          <w:lang w:eastAsia="zh-CN"/>
        </w:rPr>
        <w:t>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auto"/>
          <w:sz w:val="24"/>
          <w:lang w:val="en-US" w:eastAsia="zh-CN"/>
        </w:rPr>
        <w:t>9</w:t>
      </w:r>
      <w:r>
        <w:rPr>
          <w:rFonts w:hint="eastAsia" w:ascii="宋体" w:hAnsi="宋体" w:cs="宋体"/>
          <w:b/>
          <w:bCs/>
          <w:color w:val="auto"/>
          <w:sz w:val="24"/>
        </w:rPr>
        <w:t>.开标时间：</w:t>
      </w:r>
      <w:r>
        <w:rPr>
          <w:rFonts w:hint="eastAsia" w:ascii="宋体" w:hAnsi="宋体" w:cs="宋体"/>
          <w:b/>
          <w:bCs/>
          <w:color w:val="auto"/>
          <w:kern w:val="0"/>
          <w:sz w:val="24"/>
          <w:szCs w:val="22"/>
          <w:lang w:eastAsia="zh-CN"/>
        </w:rPr>
        <w:t>2020年9月29日下午15:00</w:t>
      </w:r>
      <w:r>
        <w:rPr>
          <w:rFonts w:hint="eastAsia" w:ascii="宋体" w:hAnsi="宋体" w:cs="宋体"/>
          <w:color w:val="auto"/>
          <w:kern w:val="0"/>
          <w:sz w:val="24"/>
          <w:szCs w:val="22"/>
        </w:rPr>
        <w:t>（北京时间）</w:t>
      </w:r>
    </w:p>
    <w:p>
      <w:pPr>
        <w:spacing w:line="360" w:lineRule="auto"/>
        <w:rPr>
          <w:rFonts w:hint="eastAsia" w:ascii="宋体" w:hAnsi="宋体" w:eastAsia="宋体" w:cs="宋体"/>
          <w:color w:val="auto"/>
          <w:kern w:val="0"/>
          <w:sz w:val="24"/>
          <w:szCs w:val="22"/>
          <w:lang w:eastAsia="zh-CN"/>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lang w:eastAsia="zh-CN"/>
        </w:rPr>
        <w:t>甘肃省第二人民医院1号楼10楼会议室</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联系人：</w:t>
      </w:r>
      <w:r>
        <w:rPr>
          <w:rFonts w:hint="eastAsia" w:ascii="宋体" w:hAnsi="宋体" w:cs="宋体"/>
          <w:color w:val="auto"/>
          <w:kern w:val="0"/>
          <w:sz w:val="24"/>
          <w:szCs w:val="22"/>
          <w:lang w:eastAsia="zh-CN"/>
        </w:rPr>
        <w:t>吕文琴</w:t>
      </w:r>
      <w:r>
        <w:rPr>
          <w:rFonts w:hint="eastAsia" w:ascii="宋体" w:hAnsi="宋体" w:cs="宋体"/>
          <w:color w:val="auto"/>
          <w:kern w:val="0"/>
          <w:sz w:val="24"/>
          <w:szCs w:val="22"/>
          <w:lang w:val="en-US" w:eastAsia="zh-CN"/>
        </w:rPr>
        <w:t xml:space="preserve">  柴立媛</w:t>
      </w:r>
    </w:p>
    <w:p>
      <w:pPr>
        <w:spacing w:line="360" w:lineRule="auto"/>
        <w:ind w:firstLine="240" w:firstLineChars="100"/>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联系电话：</w:t>
      </w:r>
      <w:r>
        <w:rPr>
          <w:rFonts w:hint="eastAsia" w:ascii="宋体" w:hAnsi="宋体" w:cs="宋体"/>
          <w:color w:val="auto"/>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ind w:firstLine="3200" w:firstLineChars="1000"/>
        <w:jc w:val="both"/>
        <w:rPr>
          <w:rFonts w:hint="eastAsia" w:ascii="宋体" w:hAnsi="宋体" w:cs="宋体"/>
          <w:sz w:val="32"/>
          <w:szCs w:val="32"/>
        </w:rPr>
      </w:pPr>
      <w:bookmarkStart w:id="7" w:name="_Toc40"/>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jc w:val="both"/>
        <w:rPr>
          <w:rFonts w:hint="eastAsia" w:ascii="宋体" w:hAnsi="宋体" w:cs="宋体"/>
          <w:sz w:val="32"/>
          <w:szCs w:val="32"/>
        </w:rPr>
      </w:pPr>
    </w:p>
    <w:p>
      <w:pPr>
        <w:spacing w:line="360" w:lineRule="auto"/>
        <w:ind w:firstLine="3213" w:firstLineChars="1000"/>
        <w:jc w:val="both"/>
        <w:rPr>
          <w:rFonts w:hint="eastAsia"/>
          <w:b/>
          <w:bCs/>
        </w:rPr>
      </w:pPr>
      <w:r>
        <w:rPr>
          <w:rFonts w:hint="eastAsia" w:ascii="宋体" w:hAnsi="宋体" w:cs="宋体"/>
          <w:b/>
          <w:bCs/>
          <w:sz w:val="32"/>
          <w:szCs w:val="32"/>
        </w:rPr>
        <w:t>第二章</w:t>
      </w:r>
      <w:r>
        <w:rPr>
          <w:rFonts w:hint="eastAsia" w:ascii="宋体" w:hAnsi="宋体" w:cs="宋体"/>
          <w:b/>
          <w:bCs/>
          <w:sz w:val="32"/>
          <w:szCs w:val="32"/>
          <w:lang w:val="en-US" w:eastAsia="zh-CN"/>
        </w:rPr>
        <w:t xml:space="preserve">  </w:t>
      </w:r>
      <w:r>
        <w:rPr>
          <w:rFonts w:hint="eastAsia" w:ascii="宋体" w:hAnsi="宋体" w:cs="宋体"/>
          <w:b/>
          <w:bCs/>
          <w:sz w:val="32"/>
          <w:szCs w:val="32"/>
        </w:rPr>
        <w:t>投标人须知</w:t>
      </w:r>
      <w:bookmarkEnd w:id="2"/>
      <w:bookmarkEnd w:id="3"/>
      <w:bookmarkEnd w:id="4"/>
      <w:bookmarkEnd w:id="5"/>
      <w:bookmarkEnd w:id="7"/>
      <w:bookmarkStart w:id="8" w:name="_Toc327439435"/>
      <w:bookmarkStart w:id="9" w:name="_Toc128372730"/>
      <w:bookmarkStart w:id="10" w:name="_Toc139965326"/>
      <w:bookmarkStart w:id="11" w:name="_Toc128372052"/>
    </w:p>
    <w:p>
      <w:pPr>
        <w:pStyle w:val="4"/>
        <w:rPr>
          <w:rFonts w:ascii="宋体" w:hAnsi="宋体" w:cs="宋体"/>
          <w:color w:val="auto"/>
          <w:sz w:val="28"/>
          <w:szCs w:val="20"/>
        </w:rPr>
      </w:pPr>
      <w:bookmarkStart w:id="12" w:name="_Toc17569"/>
      <w:bookmarkStart w:id="13" w:name="_Toc18296"/>
      <w:r>
        <w:rPr>
          <w:rFonts w:hint="eastAsia" w:ascii="宋体" w:hAnsi="宋体" w:cs="宋体"/>
          <w:color w:val="auto"/>
          <w:sz w:val="28"/>
          <w:szCs w:val="20"/>
        </w:rPr>
        <w:t>投标人须知前附表</w:t>
      </w:r>
      <w:bookmarkEnd w:id="12"/>
    </w:p>
    <w:p>
      <w:pPr>
        <w:spacing w:line="360" w:lineRule="auto"/>
        <w:ind w:firstLine="480" w:firstLineChars="200"/>
        <w:rPr>
          <w:rFonts w:ascii="宋体" w:hAnsi="宋体" w:cs="宋体"/>
          <w:color w:val="auto"/>
          <w:sz w:val="24"/>
          <w:szCs w:val="32"/>
        </w:rPr>
      </w:pPr>
      <w:r>
        <w:rPr>
          <w:rFonts w:hint="eastAsia" w:ascii="宋体" w:hAnsi="宋体" w:cs="宋体"/>
          <w:color w:val="auto"/>
          <w:sz w:val="24"/>
          <w:szCs w:val="32"/>
        </w:rPr>
        <w:t>注：本前附表中的内容是对</w:t>
      </w:r>
      <w:r>
        <w:rPr>
          <w:rFonts w:hint="eastAsia" w:ascii="宋体" w:hAnsi="宋体" w:cs="宋体"/>
          <w:color w:val="auto"/>
          <w:sz w:val="24"/>
          <w:szCs w:val="32"/>
          <w:lang w:eastAsia="zh-CN"/>
        </w:rPr>
        <w:t>投标人</w:t>
      </w:r>
      <w:r>
        <w:rPr>
          <w:rFonts w:hint="eastAsia" w:ascii="宋体" w:hAnsi="宋体" w:cs="宋体"/>
          <w:color w:val="auto"/>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序号</w:t>
            </w:r>
          </w:p>
        </w:tc>
        <w:tc>
          <w:tcPr>
            <w:tcW w:w="2625"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条款名称</w:t>
            </w:r>
          </w:p>
        </w:tc>
        <w:tc>
          <w:tcPr>
            <w:tcW w:w="6245"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szCs w:val="30"/>
              </w:rPr>
              <w:t>项目名称</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color w:val="auto"/>
                <w:sz w:val="24"/>
              </w:rPr>
              <w:t>甘肃省</w:t>
            </w:r>
            <w:r>
              <w:rPr>
                <w:rFonts w:hint="eastAsia" w:ascii="宋体" w:hAnsi="宋体" w:cs="宋体"/>
                <w:color w:val="auto"/>
                <w:sz w:val="24"/>
                <w:lang w:eastAsia="zh-CN"/>
              </w:rPr>
              <w:t>第二人民医院工程造价及工程审计服务</w:t>
            </w:r>
            <w:r>
              <w:rPr>
                <w:rFonts w:hint="eastAsia" w:ascii="宋体" w:hAnsi="宋体" w:cs="宋体"/>
                <w:color w:val="auto"/>
                <w:sz w:val="24"/>
                <w:lang w:val="en-US" w:eastAsia="zh-CN"/>
              </w:rPr>
              <w:t>采购</w:t>
            </w:r>
            <w:r>
              <w:rPr>
                <w:rFonts w:hint="eastAsia" w:ascii="宋体" w:hAnsi="宋体" w:cs="宋体"/>
                <w:color w:val="auto"/>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szCs w:val="30"/>
              </w:rPr>
            </w:pPr>
            <w:r>
              <w:rPr>
                <w:rFonts w:hint="eastAsia" w:ascii="宋体" w:hAnsi="宋体" w:cs="宋体"/>
                <w:color w:val="auto"/>
                <w:sz w:val="24"/>
                <w:szCs w:val="30"/>
              </w:rPr>
              <w:t>招标文件编号</w:t>
            </w:r>
          </w:p>
        </w:tc>
        <w:tc>
          <w:tcPr>
            <w:tcW w:w="6245" w:type="dxa"/>
            <w:tcBorders>
              <w:tl2br w:val="nil"/>
              <w:tr2bl w:val="nil"/>
            </w:tcBorders>
            <w:noWrap w:val="0"/>
            <w:vAlign w:val="center"/>
          </w:tcPr>
          <w:p>
            <w:pPr>
              <w:spacing w:line="360" w:lineRule="auto"/>
              <w:rPr>
                <w:rFonts w:hint="eastAsia" w:ascii="宋体" w:hAnsi="宋体" w:eastAsia="仿宋" w:cs="宋体"/>
                <w:color w:val="auto"/>
                <w:sz w:val="24"/>
                <w:lang w:val="en-US" w:eastAsia="zh-CN"/>
              </w:rPr>
            </w:pPr>
            <w:r>
              <w:rPr>
                <w:rFonts w:hint="eastAsia" w:ascii="仿宋" w:hAnsi="仿宋" w:eastAsia="仿宋" w:cs="仿宋"/>
                <w:b w:val="0"/>
                <w:bCs/>
                <w:color w:val="auto"/>
                <w:sz w:val="28"/>
                <w:szCs w:val="28"/>
                <w:lang w:eastAsia="zh-CN"/>
              </w:rPr>
              <w:t>SEY-2020YNCG-112</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z w:val="24"/>
                <w:szCs w:val="30"/>
                <w:lang w:eastAsia="zh-CN"/>
              </w:rPr>
            </w:pPr>
            <w:r>
              <w:rPr>
                <w:rFonts w:hint="eastAsia" w:ascii="宋体" w:hAnsi="宋体" w:cs="宋体"/>
                <w:color w:val="auto"/>
                <w:sz w:val="24"/>
                <w:szCs w:val="30"/>
                <w:lang w:eastAsia="zh-CN"/>
              </w:rPr>
              <w:t>采购方式</w:t>
            </w:r>
          </w:p>
        </w:tc>
        <w:tc>
          <w:tcPr>
            <w:tcW w:w="6245" w:type="dxa"/>
            <w:tcBorders>
              <w:tl2br w:val="nil"/>
              <w:tr2bl w:val="nil"/>
            </w:tcBorders>
            <w:noWrap w:val="0"/>
            <w:vAlign w:val="top"/>
          </w:tcPr>
          <w:p>
            <w:pPr>
              <w:spacing w:line="360" w:lineRule="auto"/>
              <w:rPr>
                <w:rFonts w:hint="eastAsia" w:ascii="宋体" w:hAnsi="宋体" w:eastAsia="宋体" w:cs="宋体"/>
                <w:color w:val="auto"/>
                <w:kern w:val="0"/>
                <w:sz w:val="24"/>
                <w:szCs w:val="22"/>
                <w:lang w:eastAsia="zh-CN"/>
              </w:rPr>
            </w:pPr>
            <w:r>
              <w:rPr>
                <w:rFonts w:hint="eastAsia" w:ascii="宋体" w:hAnsi="宋体" w:cs="宋体"/>
                <w:color w:val="auto"/>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kern w:val="0"/>
                <w:sz w:val="24"/>
                <w:szCs w:val="22"/>
              </w:rPr>
            </w:pPr>
            <w:r>
              <w:rPr>
                <w:rFonts w:hint="eastAsia" w:ascii="宋体" w:hAnsi="宋体" w:cs="宋体"/>
                <w:color w:val="auto"/>
                <w:sz w:val="24"/>
                <w:szCs w:val="30"/>
              </w:rPr>
              <w:t>采购人</w:t>
            </w:r>
          </w:p>
        </w:tc>
        <w:tc>
          <w:tcPr>
            <w:tcW w:w="6245" w:type="dxa"/>
            <w:tcBorders>
              <w:tl2br w:val="nil"/>
              <w:tr2bl w:val="nil"/>
            </w:tcBorders>
            <w:noWrap w:val="0"/>
            <w:vAlign w:val="top"/>
          </w:tcPr>
          <w:p>
            <w:pPr>
              <w:numPr>
                <w:ilvl w:val="0"/>
                <w:numId w:val="2"/>
              </w:numPr>
              <w:spacing w:line="360" w:lineRule="auto"/>
              <w:rPr>
                <w:rFonts w:ascii="宋体" w:hAnsi="宋体" w:cs="宋体"/>
                <w:color w:val="auto"/>
                <w:sz w:val="24"/>
                <w:szCs w:val="30"/>
              </w:rPr>
            </w:pPr>
            <w:r>
              <w:rPr>
                <w:rFonts w:hint="eastAsia" w:ascii="宋体" w:hAnsi="宋体" w:cs="宋体"/>
                <w:color w:val="auto"/>
                <w:sz w:val="24"/>
                <w:szCs w:val="30"/>
              </w:rPr>
              <w:t>单位名称：</w:t>
            </w:r>
            <w:r>
              <w:rPr>
                <w:rFonts w:hint="eastAsia" w:ascii="宋体" w:hAnsi="宋体" w:cs="宋体"/>
                <w:color w:val="auto"/>
                <w:sz w:val="24"/>
                <w:szCs w:val="30"/>
                <w:lang w:eastAsia="zh-CN"/>
              </w:rPr>
              <w:t>甘肃省第二人民医院</w:t>
            </w:r>
          </w:p>
          <w:p>
            <w:pPr>
              <w:numPr>
                <w:ilvl w:val="0"/>
                <w:numId w:val="2"/>
              </w:numPr>
              <w:spacing w:line="360" w:lineRule="auto"/>
              <w:rPr>
                <w:rFonts w:ascii="宋体" w:hAnsi="宋体" w:cs="宋体"/>
                <w:color w:val="auto"/>
                <w:sz w:val="24"/>
                <w:szCs w:val="30"/>
              </w:rPr>
            </w:pPr>
            <w:r>
              <w:rPr>
                <w:rFonts w:hint="eastAsia" w:ascii="宋体" w:hAnsi="宋体" w:cs="宋体"/>
                <w:color w:val="auto"/>
                <w:sz w:val="24"/>
                <w:szCs w:val="30"/>
              </w:rPr>
              <w:t>详细地址：兰州市城关区和政西街1号</w:t>
            </w:r>
          </w:p>
          <w:p>
            <w:pPr>
              <w:spacing w:line="360" w:lineRule="auto"/>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3</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联系人：</w:t>
            </w:r>
            <w:r>
              <w:rPr>
                <w:rFonts w:hint="eastAsia" w:ascii="宋体" w:hAnsi="宋体" w:cs="宋体"/>
                <w:color w:val="auto"/>
                <w:kern w:val="0"/>
                <w:sz w:val="24"/>
                <w:szCs w:val="22"/>
                <w:lang w:eastAsia="zh-CN"/>
              </w:rPr>
              <w:t>吕文琴</w:t>
            </w:r>
            <w:r>
              <w:rPr>
                <w:rFonts w:hint="eastAsia" w:ascii="宋体" w:hAnsi="宋体" w:cs="宋体"/>
                <w:color w:val="auto"/>
                <w:kern w:val="0"/>
                <w:sz w:val="24"/>
                <w:szCs w:val="22"/>
                <w:lang w:val="en-US" w:eastAsia="zh-CN"/>
              </w:rPr>
              <w:t xml:space="preserve">  柴立媛</w:t>
            </w:r>
          </w:p>
          <w:p>
            <w:pPr>
              <w:spacing w:line="360" w:lineRule="auto"/>
              <w:rPr>
                <w:rFonts w:hint="default" w:ascii="宋体" w:hAnsi="宋体" w:eastAsia="宋体" w:cs="宋体"/>
                <w:color w:val="auto"/>
                <w:sz w:val="24"/>
                <w:szCs w:val="30"/>
                <w:lang w:val="en-US" w:eastAsia="zh-CN"/>
              </w:rPr>
            </w:pPr>
            <w:r>
              <w:rPr>
                <w:rFonts w:hint="eastAsia" w:ascii="宋体" w:hAnsi="宋体" w:cs="宋体"/>
                <w:color w:val="auto"/>
                <w:kern w:val="0"/>
                <w:sz w:val="24"/>
                <w:szCs w:val="22"/>
              </w:rPr>
              <w:t>4</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联系电话：</w:t>
            </w:r>
            <w:r>
              <w:rPr>
                <w:rFonts w:hint="eastAsia" w:ascii="宋体" w:hAnsi="宋体" w:cs="宋体"/>
                <w:color w:val="auto"/>
                <w:kern w:val="0"/>
                <w:sz w:val="24"/>
                <w:szCs w:val="22"/>
                <w:lang w:val="en-US" w:eastAsia="zh-CN"/>
              </w:rPr>
              <w:t>0931-4923487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资金来源</w:t>
            </w:r>
          </w:p>
        </w:tc>
        <w:tc>
          <w:tcPr>
            <w:tcW w:w="6245" w:type="dxa"/>
            <w:tcBorders>
              <w:tl2br w:val="nil"/>
              <w:tr2bl w:val="nil"/>
            </w:tcBorders>
            <w:noWrap w:val="0"/>
            <w:vAlign w:val="top"/>
          </w:tcPr>
          <w:p>
            <w:pPr>
              <w:spacing w:line="360" w:lineRule="auto"/>
              <w:textAlignment w:val="baseline"/>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widowControl/>
              <w:autoSpaceDN w:val="0"/>
              <w:spacing w:line="360" w:lineRule="auto"/>
              <w:jc w:val="center"/>
              <w:rPr>
                <w:rFonts w:hint="eastAsia" w:ascii="宋体" w:hAnsi="宋体" w:eastAsia="宋体" w:cs="宋体"/>
                <w:color w:val="auto"/>
                <w:sz w:val="24"/>
                <w:lang w:eastAsia="zh-CN"/>
              </w:rPr>
            </w:pPr>
            <w:r>
              <w:rPr>
                <w:rFonts w:hint="eastAsia" w:ascii="宋体" w:hAnsi="宋体" w:cs="宋体"/>
                <w:color w:val="auto"/>
                <w:sz w:val="24"/>
                <w:lang w:eastAsia="zh-CN"/>
              </w:rPr>
              <w:t>投标人的资格条件</w:t>
            </w:r>
          </w:p>
        </w:tc>
        <w:tc>
          <w:tcPr>
            <w:tcW w:w="6245" w:type="dxa"/>
            <w:tcBorders>
              <w:tl2br w:val="nil"/>
              <w:tr2bl w:val="nil"/>
            </w:tcBorders>
            <w:noWrap w:val="0"/>
            <w:vAlign w:val="center"/>
          </w:tcPr>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spacing w:line="360" w:lineRule="auto"/>
              <w:ind w:firstLine="480" w:firstLineChars="20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2）须具有工程造价咨询甲级资质。</w:t>
            </w:r>
          </w:p>
          <w:p>
            <w:pPr>
              <w:spacing w:line="360" w:lineRule="auto"/>
              <w:ind w:firstLine="480" w:firstLineChars="200"/>
              <w:rPr>
                <w:rFonts w:ascii="宋体" w:hAnsi="宋体" w:cs="宋体"/>
                <w:color w:val="auto"/>
                <w:sz w:val="24"/>
              </w:rPr>
            </w:pPr>
            <w:r>
              <w:rPr>
                <w:rFonts w:hint="eastAsia" w:ascii="宋体" w:hAnsi="宋体" w:cs="宋体"/>
                <w:color w:val="auto"/>
                <w:kern w:val="2"/>
                <w:sz w:val="24"/>
                <w:szCs w:val="24"/>
                <w:highlight w:val="none"/>
                <w:lang w:val="en-US" w:eastAsia="zh-CN" w:bidi="ar-SA"/>
              </w:rPr>
              <w:t>3）</w:t>
            </w:r>
            <w:r>
              <w:rPr>
                <w:rFonts w:hint="eastAsia" w:ascii="宋体" w:hAnsi="宋体" w:cs="宋体"/>
                <w:color w:val="auto"/>
                <w:sz w:val="24"/>
              </w:rPr>
              <w:t>本项目不接受联合体投标。</w:t>
            </w:r>
          </w:p>
          <w:p>
            <w:pPr>
              <w:widowControl/>
              <w:autoSpaceDN w:val="0"/>
              <w:spacing w:line="360" w:lineRule="auto"/>
              <w:rPr>
                <w:rFonts w:ascii="宋体" w:hAnsi="宋体" w:cs="宋体"/>
                <w:color w:val="auto"/>
                <w:sz w:val="24"/>
              </w:rPr>
            </w:pP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color w:val="auto"/>
                <w:kern w:val="2"/>
                <w:lang w:val="zh-CN"/>
              </w:rPr>
            </w:pPr>
            <w:r>
              <w:rPr>
                <w:rFonts w:hint="eastAsia" w:ascii="宋体" w:hAnsi="宋体" w:cs="宋体"/>
                <w:color w:val="auto"/>
                <w:sz w:val="24"/>
              </w:rPr>
              <w:t>投标有效期</w:t>
            </w:r>
          </w:p>
        </w:tc>
        <w:tc>
          <w:tcPr>
            <w:tcW w:w="6245" w:type="dxa"/>
            <w:tcBorders>
              <w:tl2br w:val="nil"/>
              <w:tr2bl w:val="nil"/>
            </w:tcBorders>
            <w:noWrap w:val="0"/>
            <w:vAlign w:val="center"/>
          </w:tcPr>
          <w:p>
            <w:pPr>
              <w:spacing w:line="360" w:lineRule="auto"/>
              <w:rPr>
                <w:rFonts w:hint="eastAsia"/>
                <w:color w:val="auto"/>
                <w:kern w:val="2"/>
              </w:rPr>
            </w:pPr>
            <w:r>
              <w:rPr>
                <w:rFonts w:hint="eastAsia" w:ascii="宋体" w:hAnsi="宋体" w:cs="宋体"/>
                <w:color w:val="auto"/>
                <w:sz w:val="24"/>
              </w:rPr>
              <w:t>自投标文件正式递交之日起</w:t>
            </w:r>
            <w:r>
              <w:rPr>
                <w:rFonts w:hint="eastAsia" w:ascii="宋体" w:hAnsi="宋体" w:cs="宋体"/>
                <w:b/>
                <w:bCs/>
                <w:color w:val="auto"/>
                <w:sz w:val="24"/>
                <w:u w:val="single"/>
                <w:lang w:val="en-US" w:eastAsia="zh-CN"/>
              </w:rPr>
              <w:t>30</w:t>
            </w:r>
            <w:r>
              <w:rPr>
                <w:rFonts w:hint="eastAsia" w:ascii="宋体" w:hAnsi="宋体" w:cs="宋体"/>
                <w:color w:val="auto"/>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pStyle w:val="208"/>
              <w:spacing w:line="360" w:lineRule="auto"/>
              <w:ind w:firstLine="480" w:firstLineChars="200"/>
              <w:jc w:val="both"/>
              <w:rPr>
                <w:rFonts w:hint="eastAsia"/>
                <w:color w:val="auto"/>
                <w:kern w:val="2"/>
                <w:lang w:val="zh-CN"/>
              </w:rPr>
            </w:pPr>
            <w:r>
              <w:rPr>
                <w:rFonts w:hint="eastAsia"/>
                <w:color w:val="auto"/>
                <w:kern w:val="2"/>
                <w:lang w:val="zh-CN"/>
              </w:rPr>
              <w:t>签字盖章</w:t>
            </w:r>
          </w:p>
        </w:tc>
        <w:tc>
          <w:tcPr>
            <w:tcW w:w="6245" w:type="dxa"/>
            <w:tcBorders>
              <w:tl2br w:val="nil"/>
              <w:tr2bl w:val="nil"/>
            </w:tcBorders>
            <w:noWrap w:val="0"/>
            <w:vAlign w:val="center"/>
          </w:tcPr>
          <w:p>
            <w:pPr>
              <w:pStyle w:val="208"/>
              <w:spacing w:line="360" w:lineRule="auto"/>
              <w:jc w:val="both"/>
              <w:rPr>
                <w:rFonts w:hint="eastAsia"/>
                <w:color w:val="auto"/>
                <w:kern w:val="2"/>
              </w:rPr>
            </w:pPr>
            <w:r>
              <w:rPr>
                <w:rFonts w:hint="eastAsia"/>
                <w:color w:val="auto"/>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pStyle w:val="208"/>
              <w:spacing w:line="360" w:lineRule="auto"/>
              <w:jc w:val="center"/>
              <w:rPr>
                <w:rFonts w:ascii="宋体" w:hAnsi="宋体" w:cs="宋体"/>
                <w:color w:val="auto"/>
                <w:spacing w:val="10"/>
                <w:sz w:val="24"/>
              </w:rPr>
            </w:pPr>
            <w:r>
              <w:rPr>
                <w:rFonts w:hint="eastAsia"/>
                <w:color w:val="auto"/>
                <w:kern w:val="2"/>
                <w:lang w:val="zh-CN"/>
              </w:rPr>
              <w:t>构成招标文件的其他文件</w:t>
            </w:r>
          </w:p>
        </w:tc>
        <w:tc>
          <w:tcPr>
            <w:tcW w:w="6245" w:type="dxa"/>
            <w:tcBorders>
              <w:tl2br w:val="nil"/>
              <w:tr2bl w:val="nil"/>
            </w:tcBorders>
            <w:noWrap w:val="0"/>
            <w:vAlign w:val="center"/>
          </w:tcPr>
          <w:p>
            <w:pPr>
              <w:pStyle w:val="208"/>
              <w:spacing w:line="360" w:lineRule="auto"/>
              <w:jc w:val="both"/>
              <w:rPr>
                <w:rFonts w:hint="eastAsia" w:ascii="宋体" w:hAnsi="宋体" w:cs="宋体"/>
                <w:color w:val="auto"/>
                <w:spacing w:val="10"/>
                <w:sz w:val="24"/>
              </w:rPr>
            </w:pPr>
            <w:r>
              <w:rPr>
                <w:rFonts w:hint="eastAsia"/>
                <w:color w:val="auto"/>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z w:val="24"/>
                <w:lang w:eastAsia="zh-CN"/>
              </w:rPr>
            </w:pPr>
            <w:r>
              <w:rPr>
                <w:rFonts w:hint="eastAsia" w:ascii="宋体" w:hAnsi="宋体" w:cs="宋体"/>
                <w:color w:val="auto"/>
                <w:sz w:val="24"/>
              </w:rPr>
              <w:t>投标文件</w:t>
            </w:r>
            <w:r>
              <w:rPr>
                <w:rFonts w:hint="eastAsia" w:ascii="宋体" w:hAnsi="宋体" w:cs="宋体"/>
                <w:color w:val="auto"/>
                <w:sz w:val="24"/>
                <w:lang w:eastAsia="zh-CN"/>
              </w:rPr>
              <w:t>要求</w:t>
            </w:r>
          </w:p>
          <w:p>
            <w:pPr>
              <w:spacing w:line="360" w:lineRule="auto"/>
              <w:ind w:firstLine="520" w:firstLineChars="200"/>
              <w:rPr>
                <w:rFonts w:ascii="宋体" w:hAnsi="宋体" w:cs="宋体"/>
                <w:color w:val="auto"/>
                <w:spacing w:val="10"/>
                <w:sz w:val="24"/>
              </w:rPr>
            </w:pPr>
          </w:p>
        </w:tc>
        <w:tc>
          <w:tcPr>
            <w:tcW w:w="6245" w:type="dxa"/>
            <w:tcBorders>
              <w:tl2br w:val="nil"/>
              <w:tr2bl w:val="nil"/>
            </w:tcBorders>
            <w:noWrap w:val="0"/>
            <w:vAlign w:val="center"/>
          </w:tcPr>
          <w:p>
            <w:pPr>
              <w:numPr>
                <w:ilvl w:val="0"/>
                <w:numId w:val="0"/>
              </w:numPr>
              <w:tabs>
                <w:tab w:val="left" w:pos="400"/>
              </w:tabs>
              <w:spacing w:line="360" w:lineRule="auto"/>
              <w:textAlignment w:val="baseline"/>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1）</w:t>
            </w:r>
            <w:r>
              <w:rPr>
                <w:rFonts w:hint="eastAsia" w:ascii="宋体" w:hAnsi="宋体" w:eastAsia="宋体" w:cs="宋体"/>
                <w:color w:val="auto"/>
                <w:sz w:val="24"/>
                <w:szCs w:val="32"/>
              </w:rPr>
              <w:t>纸质文件份数：正本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单独密封递交的“</w:t>
            </w:r>
            <w:r>
              <w:rPr>
                <w:rFonts w:hint="eastAsia" w:ascii="宋体" w:hAnsi="宋体" w:eastAsia="宋体" w:cs="宋体"/>
                <w:color w:val="auto"/>
                <w:sz w:val="24"/>
                <w:szCs w:val="32"/>
              </w:rPr>
              <w:t>开标一览表</w:t>
            </w:r>
            <w:r>
              <w:rPr>
                <w:rFonts w:hint="eastAsia" w:ascii="宋体" w:hAnsi="宋体" w:eastAsia="宋体" w:cs="宋体"/>
                <w:color w:val="auto"/>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color w:val="auto"/>
                <w:sz w:val="24"/>
                <w:szCs w:val="32"/>
                <w:lang w:val="zh-CN"/>
              </w:rPr>
            </w:pPr>
            <w:r>
              <w:rPr>
                <w:rFonts w:hint="eastAsia" w:ascii="宋体" w:hAnsi="宋体" w:eastAsia="宋体" w:cs="宋体"/>
                <w:color w:val="auto"/>
                <w:sz w:val="24"/>
                <w:szCs w:val="32"/>
                <w:lang w:val="en-US" w:eastAsia="zh-CN"/>
              </w:rPr>
              <w:t>2）</w:t>
            </w:r>
            <w:r>
              <w:rPr>
                <w:rFonts w:hint="eastAsia" w:ascii="宋体" w:hAnsi="宋体" w:eastAsia="宋体" w:cs="宋体"/>
                <w:color w:val="auto"/>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color w:val="auto"/>
                <w:sz w:val="24"/>
                <w:szCs w:val="32"/>
                <w:lang w:val="zh-CN"/>
              </w:rPr>
              <w:t>、此文件在</w:t>
            </w:r>
            <w:r>
              <w:rPr>
                <w:rFonts w:hint="eastAsia" w:ascii="宋体" w:hAnsi="宋体" w:cs="宋体"/>
                <w:color w:val="auto"/>
                <w:sz w:val="24"/>
                <w:szCs w:val="32"/>
                <w:lang w:val="zh-CN"/>
              </w:rPr>
              <w:tab/>
            </w:r>
            <w:r>
              <w:rPr>
                <w:rFonts w:hint="eastAsia" w:ascii="宋体" w:hAnsi="宋体" w:cs="宋体"/>
                <w:color w:val="auto"/>
                <w:sz w:val="24"/>
                <w:szCs w:val="32"/>
                <w:lang w:val="zh-CN"/>
              </w:rPr>
              <w:t>年月日</w:t>
            </w:r>
            <w:r>
              <w:rPr>
                <w:rFonts w:hint="eastAsia" w:ascii="宋体" w:hAnsi="宋体" w:cs="宋体"/>
                <w:color w:val="auto"/>
                <w:sz w:val="24"/>
                <w:szCs w:val="32"/>
                <w:lang w:val="zh-CN"/>
              </w:rPr>
              <w:tab/>
            </w:r>
            <w:r>
              <w:rPr>
                <w:rFonts w:hint="eastAsia" w:ascii="宋体" w:hAnsi="宋体" w:cs="宋体"/>
                <w:color w:val="auto"/>
                <w:sz w:val="24"/>
                <w:szCs w:val="32"/>
                <w:lang w:val="zh-CN"/>
              </w:rPr>
              <w:t>时</w:t>
            </w:r>
            <w:r>
              <w:rPr>
                <w:rFonts w:hint="eastAsia" w:ascii="宋体" w:hAnsi="宋体" w:cs="宋体"/>
                <w:color w:val="auto"/>
                <w:sz w:val="24"/>
                <w:szCs w:val="32"/>
                <w:lang w:val="zh-CN"/>
              </w:rPr>
              <w:tab/>
            </w:r>
            <w:r>
              <w:rPr>
                <w:rFonts w:hint="eastAsia" w:ascii="宋体" w:hAnsi="宋体" w:cs="宋体"/>
                <w:color w:val="auto"/>
                <w:sz w:val="24"/>
                <w:szCs w:val="32"/>
                <w:lang w:val="zh-CN"/>
              </w:rPr>
              <w:t>分前不得开启</w:t>
            </w:r>
            <w:r>
              <w:rPr>
                <w:rFonts w:hint="eastAsia" w:ascii="宋体" w:hAnsi="宋体" w:eastAsia="宋体" w:cs="宋体"/>
                <w:color w:val="auto"/>
                <w:sz w:val="24"/>
                <w:szCs w:val="32"/>
                <w:lang w:val="zh-CN"/>
              </w:rPr>
              <w:t>；并分别在右上角标明“正本”、“副本”、“开标一览表”字样。</w:t>
            </w:r>
          </w:p>
          <w:p>
            <w:pPr>
              <w:numPr>
                <w:ilvl w:val="0"/>
                <w:numId w:val="3"/>
              </w:numPr>
              <w:spacing w:line="360" w:lineRule="auto"/>
              <w:rPr>
                <w:rFonts w:hint="eastAsia"/>
                <w:color w:val="auto"/>
                <w:lang w:val="en-US" w:eastAsia="zh-CN"/>
              </w:rPr>
            </w:pPr>
            <w:r>
              <w:rPr>
                <w:rFonts w:hint="eastAsia" w:ascii="宋体" w:hAnsi="宋体" w:eastAsia="宋体" w:cs="宋体"/>
                <w:color w:val="auto"/>
                <w:sz w:val="24"/>
                <w:szCs w:val="32"/>
              </w:rPr>
              <w:t>如投标多个包的，要求按包分别独立制作投标文件</w:t>
            </w:r>
            <w:r>
              <w:rPr>
                <w:rFonts w:hint="eastAsia" w:ascii="宋体" w:hAnsi="宋体" w:eastAsia="宋体" w:cs="宋体"/>
                <w:color w:val="auto"/>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投标文件递交截止日期及地点</w:t>
            </w:r>
          </w:p>
        </w:tc>
        <w:tc>
          <w:tcPr>
            <w:tcW w:w="6245" w:type="dxa"/>
            <w:tcBorders>
              <w:tl2br w:val="nil"/>
              <w:tr2bl w:val="nil"/>
            </w:tcBorders>
            <w:noWrap w:val="0"/>
            <w:vAlign w:val="center"/>
          </w:tcPr>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1）投标文件递交截止日期：20</w:t>
            </w:r>
            <w:r>
              <w:rPr>
                <w:rFonts w:hint="eastAsia" w:ascii="宋体" w:hAnsi="宋体" w:cs="宋体"/>
                <w:b w:val="0"/>
                <w:bCs w:val="0"/>
                <w:color w:val="auto"/>
                <w:sz w:val="24"/>
                <w:szCs w:val="24"/>
                <w:lang w:val="en-US" w:eastAsia="zh-CN"/>
              </w:rPr>
              <w:t>20</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9</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29</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eastAsia="zh-CN"/>
              </w:rPr>
              <w:t>上</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9</w:t>
            </w:r>
            <w:r>
              <w:rPr>
                <w:rFonts w:hint="eastAsia" w:ascii="宋体" w:hAnsi="宋体" w:eastAsia="宋体" w:cs="宋体"/>
                <w:b w:val="0"/>
                <w:bCs w:val="0"/>
                <w:color w:val="auto"/>
                <w:sz w:val="24"/>
                <w:szCs w:val="24"/>
              </w:rPr>
              <w:t>：00分（北京时间）</w:t>
            </w:r>
          </w:p>
          <w:p>
            <w:pPr>
              <w:spacing w:line="360" w:lineRule="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2）投标文件递交地点：</w:t>
            </w:r>
            <w:r>
              <w:rPr>
                <w:rFonts w:hint="eastAsia" w:ascii="宋体" w:hAnsi="宋体" w:cs="宋体"/>
                <w:color w:val="auto"/>
                <w:kern w:val="0"/>
                <w:sz w:val="24"/>
                <w:szCs w:val="22"/>
                <w:lang w:eastAsia="zh-CN"/>
              </w:rPr>
              <w:t>甘肃省第二人民医院1号楼10楼会议室</w:t>
            </w:r>
          </w:p>
          <w:p>
            <w:pPr>
              <w:pStyle w:val="28"/>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开标时间及开标地点</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color w:val="auto"/>
                <w:sz w:val="24"/>
              </w:rPr>
              <w:t>1）开标时间：</w:t>
            </w:r>
            <w:r>
              <w:rPr>
                <w:rFonts w:hint="eastAsia" w:ascii="宋体" w:hAnsi="宋体" w:eastAsia="宋体" w:cs="宋体"/>
                <w:b w:val="0"/>
                <w:bCs w:val="0"/>
                <w:color w:val="auto"/>
                <w:sz w:val="24"/>
                <w:szCs w:val="24"/>
              </w:rPr>
              <w:t>20</w:t>
            </w:r>
            <w:r>
              <w:rPr>
                <w:rFonts w:hint="eastAsia" w:ascii="宋体" w:hAnsi="宋体" w:cs="宋体"/>
                <w:b w:val="0"/>
                <w:bCs w:val="0"/>
                <w:color w:val="auto"/>
                <w:sz w:val="24"/>
                <w:szCs w:val="24"/>
                <w:lang w:val="en-US" w:eastAsia="zh-CN"/>
              </w:rPr>
              <w:t>20</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9</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29</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eastAsia="zh-CN"/>
              </w:rPr>
              <w:t>上</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9</w:t>
            </w:r>
            <w:r>
              <w:rPr>
                <w:rFonts w:hint="eastAsia" w:ascii="宋体" w:hAnsi="宋体" w:eastAsia="宋体" w:cs="宋体"/>
                <w:b w:val="0"/>
                <w:bCs w:val="0"/>
                <w:color w:val="auto"/>
                <w:sz w:val="24"/>
                <w:szCs w:val="24"/>
              </w:rPr>
              <w:t>：00分</w:t>
            </w:r>
            <w:r>
              <w:rPr>
                <w:rFonts w:hint="eastAsia" w:ascii="宋体" w:hAnsi="宋体" w:cs="宋体"/>
                <w:b w:val="0"/>
                <w:bCs w:val="0"/>
                <w:color w:val="auto"/>
                <w:spacing w:val="10"/>
                <w:sz w:val="24"/>
              </w:rPr>
              <w:t>（北京时间）</w:t>
            </w:r>
          </w:p>
          <w:p>
            <w:pPr>
              <w:spacing w:line="360" w:lineRule="auto"/>
              <w:rPr>
                <w:rFonts w:hint="eastAsia" w:ascii="宋体" w:hAnsi="宋体" w:eastAsia="宋体" w:cs="宋体"/>
                <w:color w:val="auto"/>
                <w:lang w:eastAsia="zh-CN"/>
              </w:rPr>
            </w:pPr>
            <w:r>
              <w:rPr>
                <w:rFonts w:hint="eastAsia" w:ascii="宋体" w:hAnsi="宋体" w:cs="宋体"/>
                <w:color w:val="auto"/>
                <w:sz w:val="24"/>
              </w:rPr>
              <w:t>2）开标地点：</w:t>
            </w:r>
            <w:r>
              <w:rPr>
                <w:rFonts w:hint="eastAsia" w:ascii="宋体" w:hAnsi="宋体" w:cs="宋体"/>
                <w:color w:val="auto"/>
                <w:kern w:val="0"/>
                <w:sz w:val="24"/>
                <w:szCs w:val="22"/>
                <w:lang w:eastAsia="zh-CN"/>
              </w:rPr>
              <w:t>甘肃省第二人民医院1号楼10楼会议室</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lang w:val="zh-CN"/>
              </w:rPr>
            </w:pPr>
            <w:r>
              <w:rPr>
                <w:rFonts w:hint="eastAsia" w:ascii="宋体" w:hAnsi="宋体" w:cs="宋体"/>
                <w:color w:val="auto"/>
                <w:sz w:val="24"/>
                <w:lang w:val="zh-CN"/>
              </w:rPr>
              <w:t>资格审查</w:t>
            </w:r>
          </w:p>
        </w:tc>
        <w:tc>
          <w:tcPr>
            <w:tcW w:w="6245" w:type="dxa"/>
            <w:tcBorders>
              <w:tl2br w:val="nil"/>
              <w:tr2bl w:val="nil"/>
            </w:tcBorders>
            <w:noWrap w:val="0"/>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lang w:val="zh-CN"/>
              </w:rPr>
              <w:t>服务时间</w:t>
            </w:r>
          </w:p>
        </w:tc>
        <w:tc>
          <w:tcPr>
            <w:tcW w:w="6245" w:type="dxa"/>
            <w:tcBorders>
              <w:tl2br w:val="nil"/>
              <w:tr2bl w:val="nil"/>
            </w:tcBorders>
            <w:noWrap w:val="0"/>
            <w:vAlign w:val="top"/>
          </w:tcPr>
          <w:p>
            <w:pPr>
              <w:pStyle w:val="28"/>
              <w:spacing w:line="360" w:lineRule="auto"/>
              <w:ind w:left="0" w:leftChars="0"/>
              <w:rPr>
                <w:rFonts w:hint="eastAsia" w:ascii="宋体" w:hAnsi="宋体" w:cs="宋体"/>
                <w:color w:val="auto"/>
                <w:sz w:val="24"/>
                <w:highlight w:val="none"/>
                <w:lang w:val="zh-CN"/>
              </w:rPr>
            </w:pPr>
            <w:r>
              <w:rPr>
                <w:rFonts w:hint="eastAsia" w:ascii="宋体" w:hAnsi="宋体" w:cs="宋体"/>
                <w:color w:val="auto"/>
                <w:sz w:val="24"/>
                <w:highlight w:val="none"/>
                <w:lang w:val="zh-CN"/>
              </w:rPr>
              <w:t>一年</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noWrap w:val="0"/>
            <w:vAlign w:val="top"/>
          </w:tcPr>
          <w:p>
            <w:pPr>
              <w:pStyle w:val="30"/>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highlight w:val="none"/>
                <w:lang w:val="zh-CN" w:eastAsia="zh-CN"/>
              </w:rPr>
            </w:pPr>
            <w:r>
              <w:rPr>
                <w:rFonts w:hint="eastAsia" w:cs="宋体"/>
                <w:color w:val="auto"/>
                <w:sz w:val="24"/>
                <w:szCs w:val="24"/>
                <w:highlight w:val="none"/>
                <w:lang w:eastAsia="zh-CN"/>
              </w:rPr>
              <w:t>代理服务费由中标公司支付，我院不在另行支付服务费用。</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z w:val="24"/>
                <w:lang w:val="zh-CN"/>
              </w:rPr>
              <w:t>备选投标方案和报价</w:t>
            </w:r>
          </w:p>
        </w:tc>
        <w:tc>
          <w:tcPr>
            <w:tcW w:w="6245" w:type="dxa"/>
            <w:tcBorders>
              <w:tl2br w:val="nil"/>
              <w:tr2bl w:val="nil"/>
            </w:tcBorders>
            <w:noWrap w:val="0"/>
            <w:vAlign w:val="center"/>
          </w:tcPr>
          <w:p>
            <w:pPr>
              <w:spacing w:line="360" w:lineRule="auto"/>
              <w:rPr>
                <w:rFonts w:ascii="宋体" w:hAnsi="宋体" w:cs="宋体"/>
                <w:color w:val="auto"/>
                <w:spacing w:val="10"/>
                <w:sz w:val="24"/>
              </w:rPr>
            </w:pPr>
            <w:r>
              <w:rPr>
                <w:rFonts w:hint="eastAsia" w:ascii="宋体" w:hAnsi="宋体" w:cs="宋体"/>
                <w:color w:val="auto"/>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评标办法</w:t>
            </w:r>
          </w:p>
        </w:tc>
        <w:tc>
          <w:tcPr>
            <w:tcW w:w="6245" w:type="dxa"/>
            <w:tcBorders>
              <w:tl2br w:val="nil"/>
              <w:tr2bl w:val="nil"/>
            </w:tcBorders>
            <w:noWrap w:val="0"/>
            <w:vAlign w:val="center"/>
          </w:tcPr>
          <w:p>
            <w:pPr>
              <w:spacing w:line="360" w:lineRule="auto"/>
              <w:rPr>
                <w:rFonts w:ascii="宋体" w:hAnsi="宋体" w:cs="宋体"/>
                <w:color w:val="auto"/>
                <w:spacing w:val="10"/>
                <w:sz w:val="24"/>
              </w:rPr>
            </w:pPr>
            <w:r>
              <w:rPr>
                <w:rFonts w:hint="eastAsia" w:ascii="宋体" w:hAnsi="宋体" w:cs="宋体"/>
                <w:color w:val="auto"/>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中标通知书领取</w:t>
            </w:r>
          </w:p>
        </w:tc>
        <w:tc>
          <w:tcPr>
            <w:tcW w:w="6245" w:type="dxa"/>
            <w:tcBorders>
              <w:tl2br w:val="nil"/>
              <w:tr2bl w:val="nil"/>
            </w:tcBorders>
            <w:noWrap w:val="0"/>
            <w:vAlign w:val="center"/>
          </w:tcPr>
          <w:p>
            <w:pPr>
              <w:spacing w:line="360" w:lineRule="auto"/>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pacing w:val="10"/>
                <w:sz w:val="24"/>
                <w:lang w:eastAsia="zh-CN"/>
              </w:rPr>
            </w:pPr>
            <w:r>
              <w:rPr>
                <w:rFonts w:hint="eastAsia" w:ascii="宋体" w:hAnsi="宋体" w:cs="宋体"/>
                <w:color w:val="auto"/>
                <w:spacing w:val="10"/>
                <w:sz w:val="24"/>
                <w:lang w:eastAsia="zh-CN"/>
              </w:rPr>
              <w:t>备注</w:t>
            </w:r>
          </w:p>
        </w:tc>
        <w:tc>
          <w:tcPr>
            <w:tcW w:w="6245" w:type="dxa"/>
            <w:tcBorders>
              <w:tl2br w:val="nil"/>
              <w:tr2bl w:val="nil"/>
            </w:tcBorders>
            <w:noWrap w:val="0"/>
            <w:vAlign w:val="center"/>
          </w:tcPr>
          <w:p>
            <w:pPr>
              <w:spacing w:line="360" w:lineRule="auto"/>
              <w:rPr>
                <w:rFonts w:hint="eastAsia" w:ascii="宋体" w:hAnsi="宋体" w:cs="宋体"/>
                <w:color w:val="auto"/>
                <w:spacing w:val="10"/>
                <w:sz w:val="24"/>
                <w:lang w:eastAsia="zh-CN"/>
              </w:rPr>
            </w:pPr>
            <w:r>
              <w:rPr>
                <w:rFonts w:hint="eastAsia" w:ascii="宋体" w:hAnsi="宋体" w:cs="宋体"/>
                <w:color w:val="auto"/>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widowControl/>
        <w:spacing w:line="360" w:lineRule="auto"/>
        <w:ind w:firstLine="480"/>
        <w:jc w:val="left"/>
        <w:rPr>
          <w:rFonts w:hint="eastAsia" w:ascii="宋体" w:hAnsi="宋体" w:eastAsia="宋体" w:cs="宋体"/>
          <w:b/>
          <w:bCs/>
          <w:color w:val="auto"/>
          <w:kern w:val="0"/>
          <w:sz w:val="24"/>
          <w:lang w:eastAsia="zh-CN"/>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3"/>
        <w:jc w:val="center"/>
        <w:rPr>
          <w:rFonts w:hint="eastAsia" w:ascii="宋体" w:hAnsi="宋体" w:cs="宋体"/>
          <w:color w:val="auto"/>
          <w:sz w:val="32"/>
          <w:szCs w:val="32"/>
        </w:rPr>
      </w:pPr>
    </w:p>
    <w:p>
      <w:pPr>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rPr>
      </w:pPr>
    </w:p>
    <w:p>
      <w:pPr>
        <w:pStyle w:val="3"/>
        <w:jc w:val="center"/>
        <w:rPr>
          <w:rFonts w:ascii="宋体" w:hAnsi="宋体" w:cs="宋体"/>
          <w:sz w:val="32"/>
          <w:szCs w:val="32"/>
        </w:rPr>
      </w:pPr>
      <w:r>
        <w:rPr>
          <w:rFonts w:hint="eastAsia" w:ascii="宋体" w:hAnsi="宋体" w:cs="宋体"/>
          <w:sz w:val="32"/>
          <w:szCs w:val="32"/>
        </w:rPr>
        <w:t>一、总则</w:t>
      </w:r>
      <w:bookmarkEnd w:id="8"/>
      <w:bookmarkEnd w:id="9"/>
      <w:bookmarkEnd w:id="10"/>
      <w:bookmarkEnd w:id="11"/>
      <w:bookmarkEnd w:id="13"/>
    </w:p>
    <w:p>
      <w:pPr>
        <w:pStyle w:val="4"/>
        <w:jc w:val="both"/>
        <w:rPr>
          <w:rFonts w:ascii="宋体" w:hAnsi="宋体" w:cs="宋体"/>
          <w:sz w:val="24"/>
          <w:lang w:val="zh-CN"/>
        </w:rPr>
      </w:pPr>
      <w:bookmarkStart w:id="14" w:name="_Toc8673"/>
      <w:bookmarkStart w:id="15" w:name="_Toc23166"/>
      <w:bookmarkStart w:id="16" w:name="_Toc327439436"/>
      <w:r>
        <w:rPr>
          <w:rFonts w:hint="eastAsia" w:ascii="宋体" w:hAnsi="宋体" w:cs="宋体"/>
          <w:sz w:val="24"/>
          <w:lang w:val="zh-CN"/>
        </w:rPr>
        <w:t>1.适用范围</w:t>
      </w:r>
      <w:bookmarkEnd w:id="14"/>
      <w:bookmarkEnd w:id="15"/>
    </w:p>
    <w:p>
      <w:pPr>
        <w:pStyle w:val="4"/>
        <w:jc w:val="both"/>
        <w:rPr>
          <w:rFonts w:ascii="宋体" w:hAnsi="宋体" w:cs="宋体"/>
          <w:b w:val="0"/>
          <w:bCs w:val="0"/>
          <w:sz w:val="24"/>
          <w:szCs w:val="24"/>
        </w:rPr>
      </w:pPr>
      <w:bookmarkStart w:id="17" w:name="_Toc25223"/>
      <w:bookmarkStart w:id="18" w:name="_Toc11984"/>
      <w:r>
        <w:rPr>
          <w:rFonts w:hint="eastAsia" w:ascii="宋体" w:hAnsi="宋体" w:cs="宋体"/>
          <w:b w:val="0"/>
          <w:bCs w:val="0"/>
          <w:sz w:val="24"/>
          <w:szCs w:val="24"/>
          <w:lang w:val="zh-CN"/>
        </w:rPr>
        <w:t>1.1本招标文件仅适用于本次招标所叙述的服务（工程或货务）采购项目。</w:t>
      </w:r>
      <w:bookmarkEnd w:id="17"/>
      <w:bookmarkEnd w:id="18"/>
    </w:p>
    <w:p>
      <w:pPr>
        <w:pStyle w:val="4"/>
        <w:jc w:val="both"/>
        <w:rPr>
          <w:rFonts w:ascii="宋体" w:hAnsi="宋体" w:cs="宋体"/>
          <w:sz w:val="24"/>
        </w:rPr>
      </w:pPr>
      <w:bookmarkStart w:id="19" w:name="_Toc9394"/>
      <w:bookmarkStart w:id="20" w:name="_Toc1806"/>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28372058"/>
      <w:bookmarkStart w:id="22" w:name="_Toc139965332"/>
      <w:bookmarkStart w:id="23" w:name="_Toc128372736"/>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8"/>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4" w:name="_Toc22890"/>
      <w:bookmarkStart w:id="25" w:name="_Toc14148"/>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8"/>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6" w:name="_Toc4654"/>
      <w:bookmarkStart w:id="27" w:name="_Toc29398"/>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183682347"/>
      <w:bookmarkStart w:id="30" w:name="_Toc217446039"/>
      <w:bookmarkStart w:id="31" w:name="_Toc183582210"/>
    </w:p>
    <w:p>
      <w:pPr>
        <w:pStyle w:val="4"/>
        <w:jc w:val="both"/>
        <w:rPr>
          <w:rFonts w:ascii="宋体" w:hAnsi="宋体" w:cs="宋体"/>
          <w:sz w:val="24"/>
          <w:lang w:val="zh-CN"/>
        </w:rPr>
      </w:pPr>
      <w:bookmarkStart w:id="32" w:name="_Toc14154"/>
      <w:bookmarkStart w:id="33" w:name="_Toc3450"/>
      <w:r>
        <w:rPr>
          <w:rFonts w:hint="eastAsia" w:ascii="宋体" w:hAnsi="宋体" w:cs="宋体"/>
          <w:sz w:val="24"/>
          <w:lang w:val="zh-CN"/>
        </w:rPr>
        <w:t>5．招标文件的构成</w:t>
      </w:r>
      <w:bookmarkEnd w:id="29"/>
      <w:bookmarkEnd w:id="30"/>
      <w:bookmarkEnd w:id="31"/>
      <w:bookmarkEnd w:id="32"/>
      <w:bookmarkEnd w:id="33"/>
    </w:p>
    <w:p>
      <w:pPr>
        <w:pStyle w:val="208"/>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8"/>
        <w:spacing w:line="360" w:lineRule="auto"/>
        <w:jc w:val="both"/>
        <w:rPr>
          <w:lang w:val="zh-CN"/>
        </w:rPr>
      </w:pPr>
      <w:r>
        <w:rPr>
          <w:rFonts w:hint="eastAsia"/>
          <w:lang w:val="zh-CN"/>
        </w:rPr>
        <w:t>5.1.1</w:t>
      </w:r>
      <w:r>
        <w:rPr>
          <w:rFonts w:hint="eastAsia"/>
          <w:color w:val="auto"/>
          <w:lang w:val="zh-CN"/>
        </w:rPr>
        <w:t>招标公告；</w:t>
      </w:r>
    </w:p>
    <w:p>
      <w:pPr>
        <w:pStyle w:val="208"/>
        <w:spacing w:line="360" w:lineRule="auto"/>
        <w:jc w:val="both"/>
        <w:rPr>
          <w:lang w:val="zh-CN"/>
        </w:rPr>
      </w:pPr>
      <w:r>
        <w:rPr>
          <w:rFonts w:hint="eastAsia"/>
          <w:lang w:val="zh-CN"/>
        </w:rPr>
        <w:t>5.1.2投标人须知；</w:t>
      </w:r>
    </w:p>
    <w:p>
      <w:pPr>
        <w:pStyle w:val="208"/>
        <w:spacing w:line="360" w:lineRule="auto"/>
        <w:jc w:val="both"/>
        <w:rPr>
          <w:lang w:val="zh-CN"/>
        </w:rPr>
      </w:pPr>
      <w:r>
        <w:rPr>
          <w:rFonts w:hint="eastAsia"/>
          <w:lang w:val="zh-CN"/>
        </w:rPr>
        <w:t>5.1.3投标文件格式；</w:t>
      </w:r>
    </w:p>
    <w:p>
      <w:pPr>
        <w:pStyle w:val="208"/>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8"/>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8"/>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8"/>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582211"/>
      <w:bookmarkStart w:id="35" w:name="_Toc183682348"/>
      <w:bookmarkStart w:id="36" w:name="_Toc217446040"/>
    </w:p>
    <w:p>
      <w:pPr>
        <w:pStyle w:val="4"/>
        <w:jc w:val="both"/>
        <w:rPr>
          <w:rFonts w:ascii="宋体" w:hAnsi="宋体" w:cs="宋体"/>
          <w:sz w:val="24"/>
          <w:lang w:val="zh-CN"/>
        </w:rPr>
      </w:pPr>
      <w:bookmarkStart w:id="37" w:name="_Toc31197"/>
      <w:bookmarkStart w:id="38" w:name="_Toc977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8"/>
        <w:spacing w:line="360" w:lineRule="auto"/>
        <w:jc w:val="both"/>
        <w:rPr>
          <w:lang w:val="zh-CN"/>
        </w:rPr>
      </w:pPr>
      <w:bookmarkStart w:id="39" w:name="_Toc183582213"/>
      <w:bookmarkStart w:id="40" w:name="_Toc208848971"/>
      <w:bookmarkStart w:id="41" w:name="_Toc183682350"/>
      <w:bookmarkStart w:id="42" w:name="_Toc217446041"/>
      <w:r>
        <w:rPr>
          <w:rFonts w:hint="eastAsia"/>
          <w:lang w:val="zh-CN"/>
        </w:rPr>
        <w:t>6.1在投标截止时间前，招标采购单位无论出于何种原因，可以对招标文件进行澄清或者修改。</w:t>
      </w:r>
    </w:p>
    <w:p>
      <w:pPr>
        <w:pStyle w:val="208"/>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8"/>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8"/>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8"/>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8"/>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8"/>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4"/>
        <w:numPr>
          <w:ilvl w:val="0"/>
          <w:numId w:val="4"/>
        </w:numPr>
        <w:jc w:val="both"/>
        <w:rPr>
          <w:rFonts w:ascii="宋体" w:hAnsi="宋体" w:cs="宋体"/>
          <w:color w:val="000000" w:themeColor="text1"/>
          <w:sz w:val="24"/>
          <w:lang w:val="zh-CN"/>
        </w:rPr>
      </w:pPr>
      <w:bookmarkStart w:id="43" w:name="_Toc30906"/>
      <w:bookmarkStart w:id="44" w:name="_Toc14435"/>
      <w:r>
        <w:rPr>
          <w:rFonts w:hint="eastAsia" w:ascii="宋体" w:hAnsi="宋体" w:cs="宋体"/>
          <w:color w:val="000000" w:themeColor="text1"/>
          <w:sz w:val="24"/>
          <w:lang w:val="zh-CN"/>
        </w:rPr>
        <w:t>现场踏勘（本项目不需要）</w:t>
      </w:r>
      <w:bookmarkEnd w:id="43"/>
      <w:bookmarkEnd w:id="44"/>
    </w:p>
    <w:p>
      <w:pPr>
        <w:pStyle w:val="5"/>
        <w:ind w:firstLine="0"/>
        <w:rPr>
          <w:rFonts w:ascii="宋体" w:hAnsi="宋体" w:cs="宋体"/>
          <w:lang w:val="zh-CN"/>
        </w:rPr>
      </w:pPr>
    </w:p>
    <w:p>
      <w:pPr>
        <w:pStyle w:val="3"/>
        <w:rPr>
          <w:rFonts w:hint="eastAsia" w:ascii="宋体" w:hAnsi="宋体" w:eastAsia="宋体" w:cs="宋体"/>
          <w:sz w:val="32"/>
          <w:szCs w:val="32"/>
          <w:lang w:eastAsia="zh-CN"/>
        </w:rPr>
      </w:pPr>
      <w:bookmarkStart w:id="45" w:name="_Toc183682351"/>
      <w:bookmarkStart w:id="46" w:name="_Toc89075876"/>
      <w:bookmarkStart w:id="47" w:name="_Toc217446042"/>
      <w:bookmarkStart w:id="48" w:name="_Toc183582214"/>
      <w:bookmarkStart w:id="49" w:name="_Toc77400780"/>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183682352"/>
      <w:bookmarkStart w:id="52" w:name="_Toc183582215"/>
      <w:bookmarkStart w:id="53" w:name="_Toc217446043"/>
      <w:r>
        <w:rPr>
          <w:rFonts w:hint="eastAsia" w:ascii="宋体" w:hAnsi="宋体" w:cs="宋体"/>
          <w:sz w:val="32"/>
          <w:szCs w:val="32"/>
          <w:lang w:eastAsia="zh-CN"/>
        </w:rPr>
        <w:t>的编制</w:t>
      </w:r>
      <w:bookmarkEnd w:id="50"/>
    </w:p>
    <w:p>
      <w:pPr>
        <w:pStyle w:val="4"/>
        <w:jc w:val="both"/>
        <w:rPr>
          <w:rFonts w:hint="eastAsia" w:ascii="宋体" w:hAnsi="宋体" w:cs="宋体"/>
          <w:sz w:val="24"/>
          <w:lang w:val="zh-CN"/>
        </w:rPr>
      </w:pPr>
      <w:bookmarkStart w:id="54" w:name="_Toc30487"/>
      <w:bookmarkStart w:id="55" w:name="_Toc21300"/>
      <w:r>
        <w:rPr>
          <w:rFonts w:hint="eastAsia" w:ascii="宋体" w:hAnsi="宋体" w:cs="宋体"/>
          <w:sz w:val="24"/>
          <w:lang w:val="zh-CN"/>
        </w:rPr>
        <w:t>8．要求</w:t>
      </w:r>
      <w:bookmarkEnd w:id="54"/>
      <w:bookmarkEnd w:id="55"/>
    </w:p>
    <w:p>
      <w:pPr>
        <w:pStyle w:val="208"/>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8"/>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8"/>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6" w:name="_Toc1665"/>
      <w:bookmarkStart w:id="57" w:name="_Toc9029"/>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8"/>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8"/>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183582216"/>
      <w:bookmarkStart w:id="59" w:name="_Toc217446044"/>
      <w:bookmarkStart w:id="60" w:name="_Toc183682353"/>
      <w:r>
        <w:rPr>
          <w:rFonts w:hint="eastAsia"/>
          <w:lang w:val="zh-CN"/>
        </w:rPr>
        <w:t>除签名、盖章、专用名称等特殊情形外，以中文以外的文字表述的投标文件，评标委员会有权拒绝其投标。</w:t>
      </w:r>
    </w:p>
    <w:bookmarkEnd w:id="58"/>
    <w:bookmarkEnd w:id="59"/>
    <w:bookmarkEnd w:id="60"/>
    <w:p>
      <w:pPr>
        <w:pStyle w:val="208"/>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4"/>
        <w:jc w:val="both"/>
        <w:rPr>
          <w:rFonts w:ascii="宋体" w:hAnsi="宋体" w:cs="宋体"/>
          <w:sz w:val="24"/>
          <w:lang w:val="zh-CN"/>
        </w:rPr>
      </w:pPr>
      <w:bookmarkStart w:id="62" w:name="_Toc14511"/>
      <w:bookmarkStart w:id="63" w:name="_Toc28136"/>
      <w:r>
        <w:rPr>
          <w:rFonts w:hint="eastAsia" w:ascii="宋体" w:hAnsi="宋体" w:cs="宋体"/>
          <w:sz w:val="24"/>
          <w:lang w:val="zh-CN"/>
        </w:rPr>
        <w:t>10.投标货币</w:t>
      </w:r>
      <w:bookmarkEnd w:id="61"/>
      <w:bookmarkEnd w:id="62"/>
      <w:bookmarkEnd w:id="63"/>
    </w:p>
    <w:p>
      <w:pPr>
        <w:pStyle w:val="208"/>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4"/>
        <w:jc w:val="both"/>
        <w:rPr>
          <w:rFonts w:ascii="宋体" w:hAnsi="宋体" w:cs="宋体"/>
          <w:sz w:val="24"/>
          <w:lang w:val="zh-CN"/>
        </w:rPr>
      </w:pPr>
      <w:bookmarkStart w:id="65" w:name="_Toc24706"/>
      <w:bookmarkStart w:id="66" w:name="_Toc4857"/>
      <w:r>
        <w:rPr>
          <w:rFonts w:hint="eastAsia" w:ascii="宋体" w:hAnsi="宋体" w:cs="宋体"/>
          <w:sz w:val="24"/>
          <w:lang w:val="zh-CN"/>
        </w:rPr>
        <w:t>11.联合投标</w:t>
      </w:r>
      <w:bookmarkEnd w:id="64"/>
      <w:bookmarkEnd w:id="65"/>
      <w:bookmarkEnd w:id="66"/>
    </w:p>
    <w:p>
      <w:pPr>
        <w:pStyle w:val="208"/>
        <w:spacing w:line="360" w:lineRule="auto"/>
        <w:jc w:val="both"/>
        <w:rPr>
          <w:lang w:val="zh-CN"/>
        </w:rPr>
      </w:pPr>
      <w:r>
        <w:rPr>
          <w:rFonts w:hint="eastAsia"/>
          <w:lang w:val="zh-CN"/>
        </w:rPr>
        <w:t>11.1本项目不接受联合体投标。</w:t>
      </w:r>
      <w:bookmarkStart w:id="67" w:name="_Toc217446047"/>
    </w:p>
    <w:p>
      <w:pPr>
        <w:pStyle w:val="4"/>
        <w:jc w:val="both"/>
        <w:rPr>
          <w:rFonts w:ascii="宋体" w:hAnsi="宋体" w:cs="宋体"/>
          <w:sz w:val="24"/>
          <w:lang w:val="zh-CN"/>
        </w:rPr>
      </w:pPr>
      <w:bookmarkStart w:id="68" w:name="_Toc20228"/>
      <w:bookmarkStart w:id="69" w:name="_Toc13413"/>
      <w:r>
        <w:rPr>
          <w:rFonts w:hint="eastAsia" w:ascii="宋体" w:hAnsi="宋体" w:cs="宋体"/>
          <w:sz w:val="24"/>
          <w:lang w:val="zh-CN"/>
        </w:rPr>
        <w:t>12.知识产权</w:t>
      </w:r>
      <w:bookmarkEnd w:id="67"/>
      <w:bookmarkEnd w:id="68"/>
      <w:bookmarkEnd w:id="69"/>
    </w:p>
    <w:p>
      <w:pPr>
        <w:pStyle w:val="208"/>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8"/>
        <w:spacing w:line="360" w:lineRule="auto"/>
        <w:jc w:val="both"/>
        <w:rPr>
          <w:lang w:val="zh-CN"/>
        </w:rPr>
      </w:pPr>
      <w:r>
        <w:rPr>
          <w:rFonts w:hint="eastAsia"/>
          <w:lang w:val="zh-CN"/>
        </w:rPr>
        <w:t>12.2采购人享有本项目实施过程中产生的知识成果及知识产权。</w:t>
      </w:r>
    </w:p>
    <w:p>
      <w:pPr>
        <w:pStyle w:val="208"/>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8"/>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183582217"/>
      <w:bookmarkStart w:id="71" w:name="_Toc183682354"/>
      <w:bookmarkStart w:id="72" w:name="_Toc217446048"/>
    </w:p>
    <w:p>
      <w:pPr>
        <w:pStyle w:val="4"/>
        <w:jc w:val="both"/>
        <w:rPr>
          <w:rFonts w:ascii="宋体" w:hAnsi="宋体" w:cs="宋体"/>
          <w:sz w:val="24"/>
          <w:lang w:val="zh-CN"/>
        </w:rPr>
      </w:pPr>
      <w:bookmarkStart w:id="73" w:name="_Toc30454"/>
      <w:bookmarkStart w:id="74" w:name="_Toc14077"/>
      <w:r>
        <w:rPr>
          <w:rFonts w:hint="eastAsia" w:ascii="宋体" w:hAnsi="宋体" w:cs="宋体"/>
          <w:sz w:val="24"/>
          <w:lang w:val="zh-CN"/>
        </w:rPr>
        <w:t>13．投标文件的组成</w:t>
      </w:r>
      <w:bookmarkEnd w:id="70"/>
      <w:bookmarkEnd w:id="71"/>
      <w:bookmarkEnd w:id="72"/>
      <w:bookmarkEnd w:id="73"/>
      <w:bookmarkEnd w:id="74"/>
    </w:p>
    <w:p>
      <w:pPr>
        <w:pStyle w:val="208"/>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8"/>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8"/>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8"/>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8"/>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8"/>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8"/>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8"/>
        <w:spacing w:line="360" w:lineRule="auto"/>
        <w:ind w:firstLine="480" w:firstLineChars="200"/>
        <w:jc w:val="both"/>
        <w:rPr>
          <w:lang w:val="zh-CN"/>
        </w:rPr>
      </w:pPr>
      <w:r>
        <w:rPr>
          <w:rFonts w:hint="eastAsia"/>
          <w:lang w:val="zh-CN"/>
        </w:rPr>
        <w:t>（1）技术方案、项目实施方案；</w:t>
      </w:r>
    </w:p>
    <w:p>
      <w:pPr>
        <w:pStyle w:val="208"/>
        <w:spacing w:line="360" w:lineRule="auto"/>
        <w:ind w:firstLine="480" w:firstLineChars="200"/>
        <w:jc w:val="both"/>
        <w:rPr>
          <w:lang w:val="zh-CN"/>
        </w:rPr>
      </w:pPr>
      <w:r>
        <w:rPr>
          <w:rFonts w:hint="eastAsia"/>
          <w:lang w:val="zh-CN"/>
        </w:rPr>
        <w:t>（</w:t>
      </w:r>
      <w:r>
        <w:rPr>
          <w:rFonts w:hint="eastAsia"/>
          <w:lang w:val="en-US" w:eastAsia="zh-CN"/>
        </w:rPr>
        <w:t>2</w:t>
      </w:r>
      <w:r>
        <w:rPr>
          <w:rFonts w:hint="eastAsia"/>
          <w:lang w:val="zh-CN"/>
        </w:rPr>
        <w:t>）技术偏离表；</w:t>
      </w:r>
    </w:p>
    <w:p>
      <w:pPr>
        <w:pStyle w:val="208"/>
        <w:spacing w:line="360" w:lineRule="auto"/>
        <w:ind w:firstLine="480" w:firstLineChars="200"/>
        <w:jc w:val="both"/>
        <w:rPr>
          <w:highlight w:val="green"/>
          <w:lang w:val="zh-CN"/>
        </w:rPr>
      </w:pPr>
      <w:r>
        <w:rPr>
          <w:rFonts w:hint="eastAsia"/>
          <w:lang w:val="zh-CN"/>
        </w:rPr>
        <w:t>（</w:t>
      </w:r>
      <w:r>
        <w:rPr>
          <w:rFonts w:hint="eastAsia"/>
          <w:lang w:val="en-US" w:eastAsia="zh-CN"/>
        </w:rPr>
        <w:t>3</w:t>
      </w:r>
      <w:r>
        <w:rPr>
          <w:rFonts w:hint="eastAsia"/>
          <w:lang w:val="zh-CN"/>
        </w:rPr>
        <w:t>）投标人认为需要提供的文件和资料。</w:t>
      </w:r>
    </w:p>
    <w:p>
      <w:pPr>
        <w:pStyle w:val="208"/>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8"/>
        <w:spacing w:line="360" w:lineRule="auto"/>
        <w:jc w:val="both"/>
        <w:rPr>
          <w:rFonts w:hint="eastAsia"/>
          <w:lang w:val="en-US" w:eastAsia="zh-CN"/>
        </w:rPr>
      </w:pPr>
      <w:r>
        <w:rPr>
          <w:rFonts w:hint="eastAsia"/>
          <w:lang w:val="en-US" w:eastAsia="zh-CN"/>
        </w:rPr>
        <w:t>13.3.1投标人资格证明文件</w:t>
      </w:r>
    </w:p>
    <w:p>
      <w:pPr>
        <w:pStyle w:val="208"/>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8"/>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8"/>
        <w:spacing w:line="360" w:lineRule="auto"/>
        <w:ind w:firstLine="480" w:firstLineChars="200"/>
        <w:jc w:val="both"/>
        <w:rPr>
          <w:rFonts w:hint="eastAsia"/>
          <w:lang w:val="en-US" w:eastAsia="zh-CN"/>
        </w:rPr>
      </w:pPr>
      <w:r>
        <w:rPr>
          <w:rFonts w:hint="eastAsia"/>
          <w:lang w:val="en-US" w:eastAsia="zh-CN"/>
        </w:rPr>
        <w:t>（1）投标函</w:t>
      </w:r>
    </w:p>
    <w:p>
      <w:pPr>
        <w:pStyle w:val="208"/>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8"/>
        <w:spacing w:line="360" w:lineRule="auto"/>
        <w:ind w:firstLine="480" w:firstLineChars="200"/>
        <w:jc w:val="both"/>
        <w:rPr>
          <w:rFonts w:hint="eastAsia"/>
          <w:lang w:val="en-US" w:eastAsia="zh-CN"/>
        </w:rPr>
      </w:pPr>
      <w:r>
        <w:rPr>
          <w:rFonts w:hint="eastAsia"/>
          <w:lang w:val="en-US" w:eastAsia="zh-CN"/>
        </w:rPr>
        <w:t>（3）商务偏离表</w:t>
      </w:r>
    </w:p>
    <w:p>
      <w:pPr>
        <w:pStyle w:val="208"/>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8"/>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8"/>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75" w:name="_Toc29764"/>
      <w:bookmarkStart w:id="76" w:name="_Toc217446049"/>
      <w:bookmarkStart w:id="77" w:name="_Toc28852"/>
      <w:bookmarkStart w:id="78" w:name="_Toc183582218"/>
      <w:bookmarkStart w:id="79" w:name="_Toc183682355"/>
      <w:r>
        <w:rPr>
          <w:rFonts w:hint="eastAsia" w:ascii="宋体" w:hAnsi="宋体" w:cs="宋体"/>
          <w:sz w:val="24"/>
          <w:lang w:val="zh-CN"/>
        </w:rPr>
        <w:t>14．投标文件格式</w:t>
      </w:r>
      <w:bookmarkEnd w:id="75"/>
      <w:bookmarkEnd w:id="76"/>
      <w:bookmarkEnd w:id="77"/>
      <w:bookmarkEnd w:id="78"/>
      <w:bookmarkEnd w:id="79"/>
    </w:p>
    <w:p>
      <w:pPr>
        <w:pStyle w:val="208"/>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8"/>
        <w:spacing w:line="360" w:lineRule="auto"/>
        <w:jc w:val="both"/>
        <w:rPr>
          <w:lang w:val="zh-CN"/>
        </w:rPr>
      </w:pPr>
      <w:r>
        <w:rPr>
          <w:rFonts w:hint="eastAsia"/>
          <w:lang w:val="zh-CN"/>
        </w:rPr>
        <w:t>14.2对于没有格式要求的投标文件由投标人自行编写。</w:t>
      </w:r>
      <w:bookmarkStart w:id="80" w:name="_Toc217446050"/>
      <w:bookmarkStart w:id="81" w:name="_Toc183582223"/>
      <w:bookmarkStart w:id="82" w:name="_Toc183682360"/>
    </w:p>
    <w:p>
      <w:pPr>
        <w:pStyle w:val="4"/>
        <w:jc w:val="both"/>
        <w:rPr>
          <w:rFonts w:ascii="宋体" w:hAnsi="宋体" w:cs="宋体"/>
          <w:sz w:val="24"/>
          <w:lang w:val="zh-CN"/>
        </w:rPr>
      </w:pPr>
      <w:bookmarkStart w:id="83" w:name="_Toc23893"/>
      <w:bookmarkStart w:id="84" w:name="_Toc28112"/>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4"/>
        <w:jc w:val="both"/>
        <w:rPr>
          <w:rFonts w:ascii="宋体" w:hAnsi="宋体" w:cs="宋体"/>
          <w:sz w:val="24"/>
          <w:lang w:val="zh-CN"/>
        </w:rPr>
      </w:pPr>
      <w:bookmarkStart w:id="85" w:name="_Toc217446051"/>
      <w:bookmarkStart w:id="86" w:name="_Toc31286"/>
      <w:bookmarkStart w:id="87" w:name="_Toc183682361"/>
      <w:bookmarkStart w:id="88" w:name="_Toc183582224"/>
      <w:bookmarkStart w:id="89" w:name="_Toc28500"/>
      <w:r>
        <w:rPr>
          <w:rFonts w:hint="eastAsia" w:ascii="宋体" w:hAnsi="宋体" w:cs="宋体"/>
          <w:sz w:val="24"/>
          <w:lang w:val="zh-CN"/>
        </w:rPr>
        <w:t>16．投标有效期</w:t>
      </w:r>
      <w:bookmarkEnd w:id="85"/>
      <w:bookmarkEnd w:id="86"/>
      <w:bookmarkEnd w:id="87"/>
      <w:bookmarkEnd w:id="88"/>
      <w:bookmarkEnd w:id="89"/>
    </w:p>
    <w:p>
      <w:pPr>
        <w:pStyle w:val="208"/>
        <w:spacing w:line="360" w:lineRule="auto"/>
        <w:jc w:val="both"/>
        <w:rPr>
          <w:lang w:val="zh-CN"/>
        </w:rPr>
      </w:pPr>
      <w:r>
        <w:rPr>
          <w:rFonts w:hint="eastAsia"/>
          <w:lang w:val="zh-CN"/>
        </w:rPr>
        <w:t>16.1投标有效期见投标人须知前附表。投标有效期短于此规定期限的投标，将被拒绝。</w:t>
      </w:r>
    </w:p>
    <w:p>
      <w:pPr>
        <w:pStyle w:val="208"/>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682362"/>
      <w:bookmarkStart w:id="91" w:name="_Toc217446052"/>
      <w:bookmarkStart w:id="92" w:name="_Toc183582225"/>
    </w:p>
    <w:p>
      <w:pPr>
        <w:pStyle w:val="4"/>
        <w:jc w:val="both"/>
        <w:rPr>
          <w:rFonts w:ascii="宋体" w:hAnsi="宋体" w:cs="宋体"/>
          <w:sz w:val="24"/>
          <w:lang w:val="zh-CN"/>
        </w:rPr>
      </w:pPr>
      <w:bookmarkStart w:id="93" w:name="_Toc596"/>
      <w:bookmarkStart w:id="94" w:name="_Toc16741"/>
      <w:r>
        <w:rPr>
          <w:rFonts w:hint="eastAsia" w:ascii="宋体" w:hAnsi="宋体" w:cs="宋体"/>
          <w:sz w:val="24"/>
          <w:lang w:val="zh-CN"/>
        </w:rPr>
        <w:t>17．投标文件的印制和签署</w:t>
      </w:r>
      <w:bookmarkEnd w:id="90"/>
      <w:bookmarkEnd w:id="91"/>
      <w:bookmarkEnd w:id="92"/>
      <w:bookmarkEnd w:id="93"/>
      <w:bookmarkEnd w:id="94"/>
    </w:p>
    <w:p>
      <w:pPr>
        <w:pStyle w:val="208"/>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8"/>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8"/>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8"/>
        <w:spacing w:line="360" w:lineRule="auto"/>
        <w:jc w:val="both"/>
        <w:rPr>
          <w:lang w:val="zh-CN"/>
        </w:rPr>
      </w:pPr>
      <w:r>
        <w:rPr>
          <w:rFonts w:hint="eastAsia"/>
          <w:lang w:val="zh-CN"/>
        </w:rPr>
        <w:t>17.4投标文件正本和副本必须装订成册并逐页编目编码且使用无线胶装。</w:t>
      </w:r>
    </w:p>
    <w:p>
      <w:pPr>
        <w:pStyle w:val="208"/>
        <w:spacing w:line="360" w:lineRule="auto"/>
        <w:jc w:val="both"/>
        <w:rPr>
          <w:lang w:val="zh-CN"/>
        </w:rPr>
      </w:pPr>
      <w:r>
        <w:rPr>
          <w:rFonts w:hint="eastAsia"/>
          <w:lang w:val="zh-CN"/>
        </w:rPr>
        <w:t>17.5投标文件应根据招标文件的要求制作，签署、盖章和内容应完整，如有遗漏，将被视为无效投标。</w:t>
      </w:r>
    </w:p>
    <w:p>
      <w:pPr>
        <w:pStyle w:val="208"/>
        <w:spacing w:line="360" w:lineRule="auto"/>
        <w:jc w:val="both"/>
        <w:rPr>
          <w:lang w:val="zh-CN"/>
        </w:rPr>
      </w:pPr>
      <w:r>
        <w:rPr>
          <w:rFonts w:hint="eastAsia"/>
          <w:lang w:val="zh-CN"/>
        </w:rPr>
        <w:t>17.6投标文件统一用A4幅面纸印制。</w:t>
      </w:r>
    </w:p>
    <w:p>
      <w:pPr>
        <w:pStyle w:val="208"/>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183682363"/>
      <w:bookmarkStart w:id="96" w:name="_Toc77400781"/>
      <w:bookmarkStart w:id="97" w:name="_Toc183582226"/>
      <w:bookmarkStart w:id="98" w:name="_Toc89075877"/>
      <w:bookmarkStart w:id="99" w:name="_Toc217446053"/>
    </w:p>
    <w:p>
      <w:pPr>
        <w:pStyle w:val="4"/>
        <w:jc w:val="both"/>
        <w:rPr>
          <w:rFonts w:ascii="宋体" w:hAnsi="宋体" w:cs="宋体"/>
          <w:sz w:val="24"/>
          <w:lang w:val="zh-CN"/>
        </w:rPr>
      </w:pPr>
      <w:bookmarkStart w:id="100" w:name="_Toc17395"/>
      <w:bookmarkStart w:id="101" w:name="_Toc22719"/>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582227"/>
      <w:bookmarkStart w:id="103" w:name="_Toc183682364"/>
      <w:bookmarkStart w:id="104" w:name="_Toc217446054"/>
    </w:p>
    <w:p>
      <w:pPr>
        <w:pStyle w:val="208"/>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8"/>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8"/>
        <w:spacing w:line="360" w:lineRule="auto"/>
        <w:jc w:val="both"/>
        <w:rPr>
          <w:rFonts w:hint="eastAsia"/>
          <w:lang w:val="zh-CN"/>
        </w:rPr>
      </w:pPr>
      <w:r>
        <w:rPr>
          <w:rFonts w:hint="eastAsia"/>
          <w:lang w:val="zh-CN"/>
        </w:rPr>
        <w:t>采购人：</w:t>
      </w:r>
      <w:r>
        <w:rPr>
          <w:rFonts w:hint="eastAsia"/>
          <w:lang w:val="zh-CN"/>
        </w:rPr>
        <w:tab/>
      </w:r>
    </w:p>
    <w:p>
      <w:pPr>
        <w:pStyle w:val="208"/>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招标文件编号：</w:t>
      </w:r>
      <w:r>
        <w:rPr>
          <w:rFonts w:hint="eastAsia"/>
          <w:lang w:val="zh-CN"/>
        </w:rPr>
        <w:tab/>
      </w:r>
    </w:p>
    <w:p>
      <w:pPr>
        <w:pStyle w:val="208"/>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详细地址：</w:t>
      </w:r>
      <w:r>
        <w:rPr>
          <w:rFonts w:hint="eastAsia"/>
          <w:lang w:val="zh-CN"/>
        </w:rPr>
        <w:tab/>
      </w:r>
    </w:p>
    <w:p>
      <w:pPr>
        <w:pStyle w:val="208"/>
        <w:spacing w:line="360" w:lineRule="auto"/>
        <w:jc w:val="both"/>
        <w:rPr>
          <w:rFonts w:hint="eastAsia"/>
          <w:lang w:val="zh-CN"/>
        </w:rPr>
      </w:pPr>
      <w:r>
        <w:rPr>
          <w:rFonts w:hint="eastAsia"/>
          <w:lang w:val="zh-CN"/>
        </w:rPr>
        <w:t>日期：</w:t>
      </w:r>
    </w:p>
    <w:p>
      <w:pPr>
        <w:pStyle w:val="208"/>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5" w:name="_Toc25881"/>
      <w:bookmarkStart w:id="106" w:name="_Toc24373"/>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8"/>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8"/>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8"/>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10" w:name="_Toc15716"/>
      <w:bookmarkStart w:id="111" w:name="_Toc15644"/>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8"/>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8"/>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8"/>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183682369"/>
      <w:bookmarkStart w:id="114" w:name="_Toc183582232"/>
      <w:bookmarkStart w:id="115" w:name="_Toc217446057"/>
    </w:p>
    <w:p>
      <w:pPr>
        <w:pStyle w:val="4"/>
        <w:jc w:val="both"/>
        <w:rPr>
          <w:rFonts w:ascii="宋体" w:hAnsi="宋体" w:cs="宋体"/>
          <w:sz w:val="24"/>
          <w:lang w:val="zh-CN"/>
        </w:rPr>
      </w:pPr>
      <w:bookmarkStart w:id="116" w:name="_Toc3020"/>
      <w:bookmarkStart w:id="117" w:name="_Toc17974"/>
      <w:r>
        <w:rPr>
          <w:rFonts w:hint="eastAsia" w:ascii="宋体" w:hAnsi="宋体" w:cs="宋体"/>
          <w:sz w:val="24"/>
          <w:lang w:val="zh-CN"/>
        </w:rPr>
        <w:t>21．开标</w:t>
      </w:r>
      <w:bookmarkEnd w:id="113"/>
      <w:bookmarkEnd w:id="114"/>
      <w:bookmarkEnd w:id="115"/>
      <w:bookmarkEnd w:id="116"/>
      <w:bookmarkEnd w:id="117"/>
    </w:p>
    <w:p>
      <w:pPr>
        <w:pStyle w:val="208"/>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8"/>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8"/>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8"/>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18" w:name="_Toc217446059"/>
      <w:bookmarkStart w:id="119" w:name="_Toc7344"/>
      <w:bookmarkStart w:id="120" w:name="_Toc20981"/>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8"/>
      <w:r>
        <w:rPr>
          <w:rFonts w:hint="eastAsia" w:ascii="宋体" w:hAnsi="宋体" w:cs="宋体"/>
          <w:sz w:val="24"/>
          <w:lang w:val="zh-CN"/>
        </w:rPr>
        <w:t>委员会</w:t>
      </w:r>
      <w:bookmarkEnd w:id="119"/>
      <w:bookmarkEnd w:id="120"/>
    </w:p>
    <w:p>
      <w:pPr>
        <w:pStyle w:val="208"/>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8"/>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8"/>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8"/>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8"/>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8"/>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8"/>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8"/>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8"/>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8"/>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8"/>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8"/>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8"/>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8"/>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8"/>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8"/>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8"/>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8"/>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8"/>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8"/>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8"/>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8"/>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8"/>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8"/>
        <w:spacing w:line="360" w:lineRule="auto"/>
        <w:jc w:val="both"/>
        <w:rPr>
          <w:rFonts w:hint="eastAsia"/>
          <w:b/>
          <w:bCs/>
          <w:lang w:val="en-US" w:eastAsia="zh-CN"/>
        </w:rPr>
      </w:pPr>
      <w:r>
        <w:rPr>
          <w:rFonts w:hint="eastAsia"/>
          <w:b/>
          <w:bCs/>
          <w:lang w:val="en-US" w:eastAsia="zh-CN"/>
        </w:rPr>
        <w:t>25.投标的评估和比较</w:t>
      </w:r>
    </w:p>
    <w:p>
      <w:pPr>
        <w:pStyle w:val="208"/>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8"/>
        <w:spacing w:line="360" w:lineRule="auto"/>
        <w:jc w:val="both"/>
        <w:rPr>
          <w:rFonts w:hint="eastAsia"/>
          <w:b/>
          <w:bCs/>
          <w:lang w:val="en-US" w:eastAsia="zh-CN"/>
        </w:rPr>
      </w:pPr>
      <w:r>
        <w:rPr>
          <w:rFonts w:hint="eastAsia"/>
          <w:b/>
          <w:bCs/>
          <w:lang w:val="en-US" w:eastAsia="zh-CN"/>
        </w:rPr>
        <w:t>26.评标原则和评标方法</w:t>
      </w:r>
    </w:p>
    <w:p>
      <w:pPr>
        <w:pStyle w:val="208"/>
        <w:spacing w:line="360" w:lineRule="auto"/>
        <w:jc w:val="both"/>
        <w:rPr>
          <w:rFonts w:hint="eastAsia"/>
          <w:lang w:val="en-US" w:eastAsia="zh-CN"/>
        </w:rPr>
      </w:pPr>
      <w:r>
        <w:rPr>
          <w:rFonts w:hint="eastAsia"/>
          <w:lang w:val="en-US" w:eastAsia="zh-CN"/>
        </w:rPr>
        <w:t>26.1评标原则</w:t>
      </w:r>
    </w:p>
    <w:p>
      <w:pPr>
        <w:pStyle w:val="208"/>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8"/>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8"/>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8"/>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8"/>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8"/>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8"/>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8"/>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8"/>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8"/>
        <w:spacing w:line="360" w:lineRule="auto"/>
        <w:jc w:val="both"/>
        <w:rPr>
          <w:rFonts w:hint="eastAsia"/>
          <w:lang w:val="en-US" w:eastAsia="zh-CN"/>
        </w:rPr>
      </w:pPr>
      <w:r>
        <w:rPr>
          <w:rFonts w:hint="eastAsia"/>
          <w:lang w:val="en-US" w:eastAsia="zh-CN"/>
        </w:rPr>
        <w:t>26.2.2最低评标价法</w:t>
      </w:r>
    </w:p>
    <w:p>
      <w:pPr>
        <w:pStyle w:val="208"/>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8"/>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8"/>
        <w:spacing w:line="360" w:lineRule="auto"/>
        <w:jc w:val="both"/>
        <w:rPr>
          <w:rFonts w:hint="eastAsia"/>
          <w:b/>
          <w:bCs/>
          <w:lang w:val="en-US" w:eastAsia="zh-CN"/>
        </w:rPr>
      </w:pPr>
      <w:r>
        <w:rPr>
          <w:rFonts w:hint="eastAsia"/>
          <w:b/>
          <w:bCs/>
          <w:lang w:val="en-US" w:eastAsia="zh-CN"/>
        </w:rPr>
        <w:t>27.其他注意事项</w:t>
      </w:r>
    </w:p>
    <w:p>
      <w:pPr>
        <w:pStyle w:val="208"/>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8"/>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8"/>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1"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4"/>
        <w:jc w:val="both"/>
        <w:rPr>
          <w:rFonts w:ascii="宋体" w:hAnsi="宋体" w:cs="宋体"/>
          <w:sz w:val="24"/>
          <w:lang w:val="zh-CN"/>
        </w:rPr>
      </w:pPr>
      <w:bookmarkStart w:id="123" w:name="_Toc25683"/>
      <w:bookmarkStart w:id="124" w:name="_Toc4921"/>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8"/>
        <w:spacing w:line="360" w:lineRule="auto"/>
        <w:jc w:val="both"/>
        <w:rPr>
          <w:color w:val="FF0000"/>
          <w:lang w:val="zh-CN"/>
        </w:rPr>
      </w:pPr>
      <w:r>
        <w:rPr>
          <w:rFonts w:hint="eastAsia"/>
        </w:rPr>
        <w:t>2</w:t>
      </w:r>
      <w:r>
        <w:rPr>
          <w:rFonts w:hint="eastAsia"/>
          <w:lang w:val="en-US" w:eastAsia="zh-CN"/>
        </w:rPr>
        <w:t>8</w:t>
      </w:r>
      <w:r>
        <w:rPr>
          <w:rFonts w:hint="eastAsia"/>
        </w:rPr>
        <w:t>.1</w:t>
      </w:r>
      <w:bookmarkStart w:id="125"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5"/>
    <w:p>
      <w:pPr>
        <w:pStyle w:val="208"/>
        <w:spacing w:line="360" w:lineRule="auto"/>
        <w:jc w:val="both"/>
        <w:rPr>
          <w:lang w:val="zh-CN"/>
        </w:rPr>
      </w:pPr>
      <w:bookmarkStart w:id="126" w:name="_Toc183582238"/>
      <w:bookmarkStart w:id="127" w:name="_Toc183682375"/>
      <w:bookmarkStart w:id="128"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9" w:name="_Toc241"/>
      <w:bookmarkStart w:id="130" w:name="_Toc25170"/>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582240"/>
      <w:bookmarkStart w:id="133" w:name="_Toc183682377"/>
    </w:p>
    <w:p>
      <w:pPr>
        <w:pStyle w:val="3"/>
        <w:rPr>
          <w:rFonts w:hint="eastAsia" w:ascii="宋体" w:hAnsi="宋体" w:cs="宋体"/>
          <w:sz w:val="32"/>
          <w:szCs w:val="32"/>
        </w:rPr>
      </w:pPr>
      <w:bookmarkStart w:id="134" w:name="_Toc9774"/>
    </w:p>
    <w:p>
      <w:pPr>
        <w:pStyle w:val="3"/>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4"/>
        <w:jc w:val="both"/>
        <w:rPr>
          <w:rFonts w:ascii="宋体" w:hAnsi="宋体" w:cs="宋体"/>
          <w:sz w:val="24"/>
          <w:lang w:val="zh-CN"/>
        </w:rPr>
      </w:pPr>
      <w:bookmarkStart w:id="136" w:name="_Toc26668"/>
      <w:bookmarkStart w:id="137" w:name="_Toc6977"/>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8"/>
        <w:spacing w:line="360" w:lineRule="auto"/>
        <w:jc w:val="both"/>
        <w:rPr>
          <w:lang w:val="zh-CN"/>
        </w:rPr>
      </w:pPr>
      <w:r>
        <w:rPr>
          <w:rFonts w:hint="eastAsia"/>
          <w:lang w:val="en-US" w:eastAsia="zh-CN"/>
        </w:rPr>
        <w:t>30</w:t>
      </w:r>
      <w:r>
        <w:rPr>
          <w:rFonts w:hint="eastAsia"/>
          <w:lang w:val="zh-CN"/>
        </w:rPr>
        <w:t>.1中标人在收到采购人发出的《中标通知书》后，应在</w:t>
      </w:r>
      <w:r>
        <w:rPr>
          <w:rFonts w:hint="eastAsia"/>
          <w:color w:val="FF0000"/>
          <w:lang w:val="en-US" w:eastAsia="zh-CN"/>
        </w:rPr>
        <w:t>5个工作日</w:t>
      </w:r>
      <w:r>
        <w:rPr>
          <w:rFonts w:hint="eastAsia"/>
          <w:lang w:val="zh-CN"/>
        </w:rPr>
        <w:t>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8"/>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8"/>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8" w:name="_Toc19334"/>
      <w:bookmarkStart w:id="139" w:name="_Toc217446066"/>
      <w:bookmarkStart w:id="140" w:name="_Toc19056"/>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8"/>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8"/>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8"/>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sz w:val="24"/>
          <w:lang w:val="zh-CN"/>
        </w:rPr>
      </w:pPr>
      <w:bookmarkStart w:id="142" w:name="_Toc13021"/>
      <w:bookmarkStart w:id="143" w:name="_Toc22507"/>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8"/>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sz w:val="24"/>
          <w:lang w:val="zh-CN"/>
        </w:rPr>
      </w:pPr>
      <w:bookmarkStart w:id="145" w:name="_Toc17948"/>
      <w:bookmarkStart w:id="146" w:name="_Toc14355"/>
      <w:bookmarkStart w:id="147" w:name="_Toc217446069"/>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8"/>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8"/>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4"/>
        <w:jc w:val="both"/>
        <w:rPr>
          <w:rFonts w:ascii="宋体" w:hAnsi="宋体" w:cs="宋体"/>
          <w:sz w:val="24"/>
          <w:lang w:val="zh-CN"/>
        </w:rPr>
      </w:pPr>
      <w:bookmarkStart w:id="153" w:name="_Toc16307"/>
      <w:bookmarkStart w:id="154"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8"/>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8"/>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8"/>
        <w:spacing w:line="360" w:lineRule="auto"/>
        <w:ind w:firstLine="480" w:firstLineChars="200"/>
        <w:jc w:val="both"/>
        <w:rPr>
          <w:lang w:val="zh-CN"/>
        </w:rPr>
      </w:pPr>
      <w:r>
        <w:rPr>
          <w:rFonts w:hint="eastAsia"/>
          <w:lang w:val="zh-CN"/>
        </w:rPr>
        <w:t>（2）出现影响采购公正的违法、违规行为的；</w:t>
      </w:r>
    </w:p>
    <w:p>
      <w:pPr>
        <w:pStyle w:val="208"/>
        <w:spacing w:line="360" w:lineRule="auto"/>
        <w:ind w:firstLine="480" w:firstLineChars="200"/>
        <w:jc w:val="both"/>
        <w:rPr>
          <w:lang w:val="zh-CN"/>
        </w:rPr>
      </w:pPr>
      <w:r>
        <w:rPr>
          <w:rFonts w:hint="eastAsia"/>
          <w:lang w:val="zh-CN"/>
        </w:rPr>
        <w:t>（3）投标人的报价均超过了采购预算，采购人不能支付的；</w:t>
      </w:r>
    </w:p>
    <w:p>
      <w:pPr>
        <w:pStyle w:val="208"/>
        <w:spacing w:line="360" w:lineRule="auto"/>
        <w:ind w:firstLine="480" w:firstLineChars="200"/>
        <w:jc w:val="both"/>
        <w:rPr>
          <w:lang w:val="zh-CN"/>
        </w:rPr>
      </w:pPr>
      <w:r>
        <w:rPr>
          <w:rFonts w:hint="eastAsia"/>
          <w:lang w:val="zh-CN"/>
        </w:rPr>
        <w:t>（4）因重大变故，采购任务取消的。</w:t>
      </w:r>
    </w:p>
    <w:p>
      <w:pPr>
        <w:pStyle w:val="208"/>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8"/>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8"/>
        <w:spacing w:line="360" w:lineRule="auto"/>
        <w:jc w:val="both"/>
        <w:rPr>
          <w:rFonts w:hint="eastAsia"/>
          <w:lang w:val="en-US" w:eastAsia="zh-CN"/>
        </w:rPr>
      </w:pPr>
      <w:r>
        <w:rPr>
          <w:rFonts w:hint="eastAsia"/>
          <w:lang w:val="en-US" w:eastAsia="zh-CN"/>
        </w:rPr>
        <w:t>（一）不同投标人的投标文件由同一单位或者个人编制；</w:t>
      </w:r>
    </w:p>
    <w:p>
      <w:pPr>
        <w:pStyle w:val="208"/>
        <w:spacing w:line="360" w:lineRule="auto"/>
        <w:jc w:val="both"/>
        <w:rPr>
          <w:rFonts w:hint="eastAsia"/>
          <w:lang w:val="en-US" w:eastAsia="zh-CN"/>
        </w:rPr>
      </w:pPr>
      <w:r>
        <w:rPr>
          <w:rFonts w:hint="eastAsia"/>
          <w:lang w:val="en-US" w:eastAsia="zh-CN"/>
        </w:rPr>
        <w:t>（二）不同投标人委托同一单位或者个人办理投标事宜；</w:t>
      </w:r>
    </w:p>
    <w:p>
      <w:pPr>
        <w:pStyle w:val="208"/>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8"/>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8"/>
        <w:spacing w:line="360" w:lineRule="auto"/>
        <w:jc w:val="both"/>
        <w:rPr>
          <w:rFonts w:hint="eastAsia"/>
          <w:lang w:val="en-US" w:eastAsia="zh-CN"/>
        </w:rPr>
      </w:pPr>
      <w:r>
        <w:rPr>
          <w:rFonts w:hint="eastAsia"/>
          <w:lang w:val="en-US" w:eastAsia="zh-CN"/>
        </w:rPr>
        <w:t>（五）不同投标人的投标文件相互混装；</w:t>
      </w:r>
    </w:p>
    <w:p>
      <w:pPr>
        <w:pStyle w:val="208"/>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4"/>
        <w:jc w:val="both"/>
        <w:rPr>
          <w:rFonts w:ascii="宋体" w:hAnsi="宋体" w:cs="宋体"/>
          <w:sz w:val="24"/>
          <w:lang w:val="zh-CN"/>
        </w:rPr>
      </w:pPr>
      <w:bookmarkStart w:id="158" w:name="_Toc22938"/>
      <w:bookmarkStart w:id="159" w:name="_Toc23216"/>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8"/>
        <w:spacing w:line="360" w:lineRule="auto"/>
        <w:ind w:firstLine="480" w:firstLineChars="200"/>
        <w:jc w:val="both"/>
        <w:rPr>
          <w:lang w:val="zh-CN"/>
        </w:rPr>
      </w:pPr>
      <w:r>
        <w:rPr>
          <w:rFonts w:hint="eastAsia"/>
          <w:lang w:val="zh-CN"/>
        </w:rPr>
        <w:t>投标人参加投标不得有下列情形：</w:t>
      </w:r>
    </w:p>
    <w:p>
      <w:pPr>
        <w:pStyle w:val="208"/>
        <w:spacing w:line="360" w:lineRule="auto"/>
        <w:ind w:firstLine="480" w:firstLineChars="200"/>
        <w:jc w:val="both"/>
        <w:rPr>
          <w:lang w:val="zh-CN"/>
        </w:rPr>
      </w:pPr>
      <w:r>
        <w:rPr>
          <w:rFonts w:hint="eastAsia"/>
          <w:lang w:val="zh-CN"/>
        </w:rPr>
        <w:t>（1）提供虚假材料谋取中标；</w:t>
      </w:r>
    </w:p>
    <w:p>
      <w:pPr>
        <w:pStyle w:val="208"/>
        <w:spacing w:line="360" w:lineRule="auto"/>
        <w:ind w:firstLine="480" w:firstLineChars="200"/>
        <w:jc w:val="both"/>
        <w:rPr>
          <w:lang w:val="zh-CN"/>
        </w:rPr>
      </w:pPr>
      <w:r>
        <w:rPr>
          <w:rFonts w:hint="eastAsia"/>
          <w:lang w:val="zh-CN"/>
        </w:rPr>
        <w:t>（2）采取不正当手段诋毁、排挤其他投标人；</w:t>
      </w:r>
    </w:p>
    <w:p>
      <w:pPr>
        <w:pStyle w:val="208"/>
        <w:spacing w:line="360" w:lineRule="auto"/>
        <w:ind w:firstLine="480" w:firstLineChars="200"/>
        <w:jc w:val="both"/>
        <w:rPr>
          <w:lang w:val="zh-CN"/>
        </w:rPr>
      </w:pPr>
      <w:r>
        <w:rPr>
          <w:rFonts w:hint="eastAsia"/>
          <w:lang w:val="zh-CN"/>
        </w:rPr>
        <w:t>（3）与招标采购单位、其他投标人恶意串通；</w:t>
      </w:r>
    </w:p>
    <w:p>
      <w:pPr>
        <w:pStyle w:val="208"/>
        <w:spacing w:line="360" w:lineRule="auto"/>
        <w:ind w:firstLine="480" w:firstLineChars="200"/>
        <w:jc w:val="both"/>
        <w:rPr>
          <w:lang w:val="zh-CN"/>
        </w:rPr>
      </w:pPr>
      <w:r>
        <w:rPr>
          <w:rFonts w:hint="eastAsia"/>
          <w:lang w:val="zh-CN"/>
        </w:rPr>
        <w:t>（4）向招标采购单位、评标委员会成员行贿或者提供其他不正当利益；</w:t>
      </w:r>
    </w:p>
    <w:p>
      <w:pPr>
        <w:pStyle w:val="208"/>
        <w:spacing w:line="360" w:lineRule="auto"/>
        <w:ind w:firstLine="480" w:firstLineChars="200"/>
        <w:jc w:val="both"/>
        <w:rPr>
          <w:lang w:val="zh-CN"/>
        </w:rPr>
      </w:pPr>
      <w:r>
        <w:rPr>
          <w:rFonts w:hint="eastAsia"/>
          <w:lang w:val="zh-CN"/>
        </w:rPr>
        <w:t>（5）在招标过程中与招标采购单位进行协商谈判；</w:t>
      </w:r>
    </w:p>
    <w:p>
      <w:pPr>
        <w:pStyle w:val="208"/>
        <w:spacing w:line="360" w:lineRule="auto"/>
        <w:ind w:firstLine="480" w:firstLineChars="200"/>
        <w:jc w:val="both"/>
        <w:rPr>
          <w:lang w:val="zh-CN"/>
        </w:rPr>
      </w:pPr>
      <w:r>
        <w:rPr>
          <w:rFonts w:hint="eastAsia"/>
          <w:lang w:val="zh-CN"/>
        </w:rPr>
        <w:t>（6）拒绝有关部门的监督检查或者向监督检查部门提供虚假情况。</w:t>
      </w:r>
    </w:p>
    <w:p>
      <w:pPr>
        <w:pStyle w:val="208"/>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3"/>
        <w:rPr>
          <w:rFonts w:ascii="宋体" w:hAnsi="宋体" w:cs="宋体"/>
        </w:rPr>
      </w:pPr>
    </w:p>
    <w:p>
      <w:pPr>
        <w:pStyle w:val="3"/>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8"/>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1"/>
        <w:spacing w:line="360" w:lineRule="auto"/>
        <w:ind w:firstLine="0"/>
        <w:jc w:val="center"/>
        <w:rPr>
          <w:rFonts w:ascii="宋体" w:hAnsi="宋体" w:cs="宋体"/>
          <w:b/>
          <w:bCs/>
          <w:szCs w:val="28"/>
        </w:rPr>
      </w:pPr>
    </w:p>
    <w:p>
      <w:pPr>
        <w:pStyle w:val="3"/>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4"/>
        <w:jc w:val="both"/>
        <w:rPr>
          <w:rFonts w:ascii="宋体" w:hAnsi="宋体" w:cs="宋体"/>
          <w:sz w:val="24"/>
        </w:rPr>
      </w:pPr>
      <w:bookmarkStart w:id="163" w:name="_Toc32433"/>
      <w:bookmarkStart w:id="164" w:name="_Toc8012"/>
      <w:bookmarkStart w:id="165" w:name="_Toc25131"/>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6" w:name="_Toc32409"/>
      <w:bookmarkStart w:id="167" w:name="_Toc1308"/>
      <w:bookmarkStart w:id="168" w:name="_Toc23620"/>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1"/>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9" w:name="_Toc3368"/>
      <w:bookmarkStart w:id="170" w:name="_Toc4489"/>
      <w:bookmarkStart w:id="171" w:name="_Toc20085"/>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1"/>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2" w:name="_Toc15623"/>
      <w:bookmarkStart w:id="173" w:name="_Toc9205"/>
      <w:bookmarkStart w:id="174" w:name="_Toc6168"/>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1"/>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1"/>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1"/>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1"/>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5" w:name="_Toc16202"/>
      <w:bookmarkStart w:id="176" w:name="_Toc8333"/>
      <w:bookmarkStart w:id="177" w:name="_Toc28450"/>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1"/>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1"/>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1"/>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1"/>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6"/>
        </w:numPr>
        <w:rPr>
          <w:rFonts w:hint="eastAsia" w:ascii="宋体" w:hAnsi="宋体" w:cs="宋体"/>
          <w:color w:val="000000" w:themeColor="text1"/>
          <w:sz w:val="28"/>
          <w:szCs w:val="28"/>
          <w:highlight w:val="none"/>
          <w:lang w:val="en-US" w:eastAsia="zh-CN"/>
          <w14:textFill>
            <w14:solidFill>
              <w14:schemeClr w14:val="tx1"/>
            </w14:solidFill>
          </w14:textFill>
        </w:rPr>
      </w:pPr>
      <w:bookmarkStart w:id="179" w:name="_Toc20581"/>
      <w:r>
        <w:rPr>
          <w:rFonts w:hint="eastAsia" w:ascii="宋体" w:hAnsi="宋体" w:cs="宋体"/>
          <w:color w:val="000000" w:themeColor="text1"/>
          <w:sz w:val="32"/>
          <w:szCs w:val="32"/>
          <w:lang w:val="en-US" w:eastAsia="zh-CN"/>
          <w14:textFill>
            <w14:solidFill>
              <w14:schemeClr w14:val="tx1"/>
            </w14:solidFill>
          </w14:textFill>
        </w:rPr>
        <w:t xml:space="preserve"> </w:t>
      </w:r>
      <w:r>
        <w:rPr>
          <w:rFonts w:hint="eastAsia" w:ascii="宋体" w:hAnsi="宋体" w:cs="宋体"/>
          <w:color w:val="000000" w:themeColor="text1"/>
          <w:sz w:val="32"/>
          <w:szCs w:val="32"/>
          <w14:textFill>
            <w14:solidFill>
              <w14:schemeClr w14:val="tx1"/>
            </w14:solidFill>
          </w14:textFill>
        </w:rPr>
        <w:t>采购需求及技术要求</w:t>
      </w:r>
      <w:bookmarkEnd w:id="179"/>
      <w:bookmarkStart w:id="180" w:name="_Toc20396"/>
    </w:p>
    <w:p>
      <w:pPr>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第一包：工程造价服务</w:t>
      </w:r>
    </w:p>
    <w:p>
      <w:pPr>
        <w:numPr>
          <w:ilvl w:val="0"/>
          <w:numId w:val="0"/>
        </w:numPr>
        <w:rPr>
          <w:rFonts w:hint="eastAsia" w:ascii="宋体" w:hAnsi="宋体" w:eastAsia="宋体" w:cs="宋体"/>
          <w:kern w:val="0"/>
          <w:sz w:val="24"/>
          <w:szCs w:val="24"/>
          <w:lang w:val="zh-CN" w:eastAsia="zh-CN" w:bidi="ar-SA"/>
        </w:rPr>
      </w:pPr>
      <w:r>
        <w:rPr>
          <w:rFonts w:hint="eastAsia" w:ascii="宋体" w:hAnsi="宋体" w:cs="宋体"/>
          <w:color w:val="auto"/>
          <w:sz w:val="24"/>
          <w:szCs w:val="24"/>
          <w:highlight w:val="none"/>
          <w:lang w:val="en-US" w:eastAsia="zh-CN"/>
        </w:rPr>
        <w:t>★</w:t>
      </w:r>
      <w:r>
        <w:rPr>
          <w:rFonts w:hint="eastAsia" w:ascii="宋体" w:hAnsi="宋体" w:cs="宋体"/>
          <w:kern w:val="0"/>
          <w:sz w:val="24"/>
          <w:szCs w:val="24"/>
          <w:lang w:val="en-US" w:eastAsia="zh-CN" w:bidi="ar-SA"/>
        </w:rPr>
        <w:t>1、</w:t>
      </w:r>
      <w:r>
        <w:rPr>
          <w:rFonts w:hint="eastAsia" w:ascii="宋体" w:hAnsi="宋体" w:eastAsia="宋体" w:cs="宋体"/>
          <w:kern w:val="0"/>
          <w:sz w:val="24"/>
          <w:szCs w:val="24"/>
          <w:lang w:val="en-US" w:eastAsia="zh-CN" w:bidi="ar-SA"/>
        </w:rPr>
        <w:t>工程预算造价的编制</w:t>
      </w:r>
      <w:r>
        <w:rPr>
          <w:rFonts w:hint="eastAsia" w:ascii="宋体" w:hAnsi="宋体" w:eastAsia="宋体" w:cs="宋体"/>
          <w:kern w:val="0"/>
          <w:sz w:val="24"/>
          <w:szCs w:val="24"/>
          <w:lang w:val="zh-CN" w:eastAsia="zh-CN" w:bidi="ar-SA"/>
        </w:rPr>
        <w:t>：根据设计方案及使用科室的要求，依据工程造价的相关法律法规，编制项目预算，最终完成工程项目预算书。</w:t>
      </w:r>
      <w:r>
        <w:rPr>
          <w:rFonts w:hint="eastAsia" w:ascii="宋体" w:hAnsi="宋体" w:eastAsia="宋体" w:cs="宋体"/>
          <w:kern w:val="0"/>
          <w:sz w:val="24"/>
          <w:szCs w:val="24"/>
          <w:lang w:val="en-US" w:eastAsia="zh-CN" w:bidi="ar-SA"/>
        </w:rPr>
        <w:t>在预算编制中根据设计要求标注主要材料的品牌3种以上。</w:t>
      </w:r>
      <w:r>
        <w:rPr>
          <w:rFonts w:hint="eastAsia" w:ascii="宋体" w:hAnsi="宋体" w:eastAsia="宋体" w:cs="宋体"/>
          <w:kern w:val="0"/>
          <w:sz w:val="24"/>
          <w:szCs w:val="24"/>
          <w:lang w:val="zh-CN" w:eastAsia="zh-CN" w:bidi="ar-SA"/>
        </w:rPr>
        <w:t xml:space="preserve"> </w:t>
      </w:r>
      <w:r>
        <w:rPr>
          <w:rFonts w:hint="eastAsia" w:ascii="宋体" w:hAnsi="宋体" w:cs="宋体"/>
          <w:kern w:val="0"/>
          <w:sz w:val="24"/>
          <w:szCs w:val="24"/>
          <w:lang w:val="zh-CN" w:eastAsia="zh-CN" w:bidi="ar-SA"/>
        </w:rPr>
        <w:t>编制招标工程量清单。</w:t>
      </w:r>
    </w:p>
    <w:p>
      <w:pPr>
        <w:numPr>
          <w:ilvl w:val="0"/>
          <w:numId w:val="0"/>
        </w:numPr>
        <w:rPr>
          <w:rFonts w:hint="eastAsia" w:ascii="宋体" w:hAnsi="宋体" w:eastAsia="宋体" w:cs="宋体"/>
          <w:kern w:val="0"/>
          <w:sz w:val="24"/>
          <w:szCs w:val="24"/>
          <w:lang w:val="en-US" w:eastAsia="zh-CN" w:bidi="ar-SA"/>
        </w:rPr>
      </w:pPr>
      <w:r>
        <w:rPr>
          <w:rFonts w:hint="eastAsia" w:ascii="宋体" w:hAnsi="宋体" w:cs="宋体"/>
          <w:color w:val="auto"/>
          <w:sz w:val="24"/>
          <w:szCs w:val="24"/>
          <w:highlight w:val="none"/>
          <w:lang w:val="en-US" w:eastAsia="zh-CN"/>
        </w:rPr>
        <w:t>★</w:t>
      </w:r>
      <w:r>
        <w:rPr>
          <w:rFonts w:hint="eastAsia" w:ascii="宋体" w:hAnsi="宋体" w:eastAsia="宋体" w:cs="宋体"/>
          <w:kern w:val="0"/>
          <w:sz w:val="24"/>
          <w:szCs w:val="24"/>
          <w:lang w:val="en-US" w:eastAsia="zh-CN" w:bidi="ar-SA"/>
        </w:rPr>
        <w:t>2、在工程预算中提出建设性意见，在预算编制过程中提出设计中</w:t>
      </w:r>
      <w:r>
        <w:rPr>
          <w:rFonts w:hint="eastAsia" w:ascii="宋体" w:hAnsi="宋体" w:cs="宋体"/>
          <w:kern w:val="0"/>
          <w:sz w:val="24"/>
          <w:szCs w:val="24"/>
          <w:lang w:val="en-US" w:eastAsia="zh-CN" w:bidi="ar-SA"/>
        </w:rPr>
        <w:t>存</w:t>
      </w:r>
      <w:r>
        <w:rPr>
          <w:rFonts w:hint="eastAsia" w:ascii="宋体" w:hAnsi="宋体" w:eastAsia="宋体" w:cs="宋体"/>
          <w:kern w:val="0"/>
          <w:sz w:val="24"/>
          <w:szCs w:val="24"/>
          <w:lang w:val="en-US" w:eastAsia="zh-CN" w:bidi="ar-SA"/>
        </w:rPr>
        <w:t>在的问题。</w:t>
      </w:r>
    </w:p>
    <w:p>
      <w:pPr>
        <w:numPr>
          <w:ilvl w:val="0"/>
          <w:numId w:val="0"/>
        </w:numPr>
        <w:rPr>
          <w:rFonts w:hint="eastAsia" w:ascii="宋体" w:hAnsi="宋体" w:eastAsia="宋体" w:cs="宋体"/>
          <w:kern w:val="0"/>
          <w:sz w:val="24"/>
          <w:szCs w:val="24"/>
          <w:lang w:val="en-US" w:eastAsia="zh-CN" w:bidi="ar-SA"/>
        </w:rPr>
      </w:pPr>
      <w:r>
        <w:rPr>
          <w:rFonts w:hint="eastAsia" w:ascii="宋体" w:hAnsi="宋体" w:cs="宋体"/>
          <w:color w:val="auto"/>
          <w:sz w:val="24"/>
          <w:szCs w:val="24"/>
          <w:highlight w:val="none"/>
          <w:lang w:val="en-US" w:eastAsia="zh-CN"/>
        </w:rPr>
        <w:t>★</w:t>
      </w:r>
      <w:r>
        <w:rPr>
          <w:rFonts w:hint="eastAsia" w:ascii="宋体" w:hAnsi="宋体" w:eastAsia="宋体" w:cs="宋体"/>
          <w:kern w:val="0"/>
          <w:sz w:val="24"/>
          <w:szCs w:val="24"/>
          <w:lang w:val="en-US" w:eastAsia="zh-CN" w:bidi="ar-SA"/>
        </w:rPr>
        <w:t>3、提供免费的工程造价类咨询服务。</w:t>
      </w:r>
    </w:p>
    <w:p>
      <w:pPr>
        <w:pStyle w:val="2"/>
        <w:rPr>
          <w:rFonts w:hint="eastAsia"/>
          <w:lang w:val="zh-CN" w:eastAsia="zh-CN"/>
        </w:rPr>
      </w:pPr>
    </w:p>
    <w:p>
      <w:pPr>
        <w:pStyle w:val="2"/>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第二包：工程审计服务</w:t>
      </w:r>
    </w:p>
    <w:p>
      <w:pPr>
        <w:numPr>
          <w:ilvl w:val="0"/>
          <w:numId w:val="0"/>
        </w:numPr>
        <w:rPr>
          <w:rFonts w:hint="eastAsia" w:ascii="宋体" w:hAnsi="宋体" w:eastAsia="宋体" w:cs="宋体"/>
          <w:kern w:val="0"/>
          <w:sz w:val="24"/>
          <w:szCs w:val="24"/>
          <w:lang w:val="zh-CN" w:eastAsia="zh-CN" w:bidi="ar-SA"/>
        </w:rPr>
      </w:pPr>
      <w:r>
        <w:rPr>
          <w:rFonts w:hint="eastAsia" w:ascii="宋体" w:hAnsi="宋体" w:cs="宋体"/>
          <w:color w:val="auto"/>
          <w:sz w:val="24"/>
          <w:szCs w:val="24"/>
          <w:highlight w:val="none"/>
          <w:lang w:val="en-US" w:eastAsia="zh-CN"/>
        </w:rPr>
        <w:t>★</w:t>
      </w:r>
      <w:r>
        <w:rPr>
          <w:rFonts w:hint="eastAsia" w:ascii="宋体" w:hAnsi="宋体" w:eastAsia="宋体" w:cs="宋体"/>
          <w:kern w:val="0"/>
          <w:sz w:val="24"/>
          <w:szCs w:val="24"/>
          <w:lang w:val="en-US" w:eastAsia="zh-CN" w:bidi="ar-SA"/>
        </w:rPr>
        <w:t>1、</w:t>
      </w:r>
      <w:r>
        <w:rPr>
          <w:rFonts w:hint="eastAsia" w:ascii="宋体" w:hAnsi="宋体" w:eastAsia="宋体" w:cs="宋体"/>
          <w:kern w:val="0"/>
          <w:sz w:val="24"/>
          <w:szCs w:val="24"/>
          <w:lang w:val="zh-CN" w:eastAsia="zh-CN" w:bidi="ar-SA"/>
        </w:rPr>
        <w:t xml:space="preserve">招标控制价（投标价）审核：根据招标文件及招标人提供的工程量清单等，依据《甘肃省建设工程工程量清单计价规则》等计价依据，计算综合单价和总价，按工程量清单计价格式出具相应成果文件。                    </w:t>
      </w:r>
    </w:p>
    <w:p>
      <w:pPr>
        <w:numPr>
          <w:ilvl w:val="0"/>
          <w:numId w:val="0"/>
        </w:numPr>
        <w:rPr>
          <w:rFonts w:hint="eastAsia" w:ascii="宋体" w:hAnsi="宋体" w:eastAsia="宋体" w:cs="宋体"/>
          <w:kern w:val="0"/>
          <w:sz w:val="24"/>
          <w:szCs w:val="24"/>
          <w:lang w:val="zh-CN" w:eastAsia="zh-CN" w:bidi="ar-SA"/>
        </w:rPr>
      </w:pPr>
      <w:r>
        <w:rPr>
          <w:rFonts w:hint="eastAsia" w:ascii="宋体" w:hAnsi="宋体" w:cs="宋体"/>
          <w:color w:val="auto"/>
          <w:sz w:val="24"/>
          <w:szCs w:val="24"/>
          <w:highlight w:val="none"/>
          <w:lang w:val="en-US" w:eastAsia="zh-CN"/>
        </w:rPr>
        <w:t>★</w:t>
      </w:r>
      <w:r>
        <w:rPr>
          <w:rFonts w:hint="eastAsia" w:ascii="宋体" w:hAnsi="宋体" w:eastAsia="宋体" w:cs="宋体"/>
          <w:kern w:val="0"/>
          <w:sz w:val="24"/>
          <w:szCs w:val="24"/>
          <w:lang w:val="en-US" w:eastAsia="zh-CN" w:bidi="ar-SA"/>
        </w:rPr>
        <w:t>2、</w:t>
      </w:r>
      <w:r>
        <w:rPr>
          <w:rFonts w:hint="eastAsia" w:ascii="宋体" w:hAnsi="宋体" w:eastAsia="宋体" w:cs="宋体"/>
          <w:kern w:val="0"/>
          <w:sz w:val="24"/>
          <w:szCs w:val="24"/>
          <w:lang w:val="zh-CN" w:eastAsia="zh-CN" w:bidi="ar-SA"/>
        </w:rPr>
        <w:t>工程结算审核：根据有关规定，对工程量、材料（设备）价格、计价方法、计价过程进行全面审查、复核，按工程量清单计价格式出具相应成果文件。</w:t>
      </w:r>
    </w:p>
    <w:p>
      <w:pPr>
        <w:numPr>
          <w:ilvl w:val="0"/>
          <w:numId w:val="0"/>
        </w:numPr>
        <w:rPr>
          <w:rFonts w:hint="eastAsia" w:ascii="宋体" w:hAnsi="宋体" w:eastAsia="宋体" w:cs="宋体"/>
          <w:kern w:val="0"/>
          <w:sz w:val="24"/>
          <w:szCs w:val="24"/>
          <w:lang w:val="en-US" w:eastAsia="zh-CN" w:bidi="ar-SA"/>
        </w:rPr>
      </w:pPr>
      <w:r>
        <w:rPr>
          <w:rFonts w:hint="eastAsia" w:ascii="宋体" w:hAnsi="宋体" w:cs="宋体"/>
          <w:color w:val="auto"/>
          <w:sz w:val="24"/>
          <w:szCs w:val="24"/>
          <w:highlight w:val="none"/>
          <w:lang w:val="en-US" w:eastAsia="zh-CN"/>
        </w:rPr>
        <w:t>★</w:t>
      </w:r>
      <w:r>
        <w:rPr>
          <w:rFonts w:hint="eastAsia" w:ascii="宋体" w:hAnsi="宋体" w:eastAsia="宋体" w:cs="宋体"/>
          <w:kern w:val="0"/>
          <w:sz w:val="24"/>
          <w:szCs w:val="24"/>
          <w:lang w:val="en-US" w:eastAsia="zh-CN" w:bidi="ar-SA"/>
        </w:rPr>
        <w:t>3、提供免费的工程类审计咨询服务。</w:t>
      </w:r>
    </w:p>
    <w:p>
      <w:pPr>
        <w:pStyle w:val="2"/>
        <w:rPr>
          <w:rFonts w:hint="eastAsia" w:ascii="宋体" w:hAnsi="宋体" w:cs="宋体"/>
          <w:kern w:val="0"/>
          <w:sz w:val="24"/>
          <w:szCs w:val="24"/>
          <w:lang w:val="en-US" w:eastAsia="zh-CN" w:bidi="ar-SA"/>
        </w:rPr>
      </w:pPr>
      <w:bookmarkStart w:id="278" w:name="_GoBack"/>
      <w:bookmarkEnd w:id="278"/>
    </w:p>
    <w:p>
      <w:pPr>
        <w:pStyle w:val="2"/>
        <w:rPr>
          <w:rFonts w:hint="eastAsia" w:ascii="宋体" w:hAnsi="宋体" w:cs="宋体"/>
          <w:kern w:val="0"/>
          <w:sz w:val="24"/>
          <w:szCs w:val="24"/>
          <w:lang w:val="en-US" w:eastAsia="zh-CN" w:bidi="ar-SA"/>
        </w:rPr>
      </w:pPr>
    </w:p>
    <w:p>
      <w:pPr>
        <w:pStyle w:val="2"/>
        <w:rPr>
          <w:rFonts w:hint="default" w:ascii="宋体" w:hAnsi="宋体" w:cs="宋体"/>
          <w:color w:val="FF0000"/>
          <w:kern w:val="0"/>
          <w:sz w:val="24"/>
          <w:szCs w:val="24"/>
          <w:lang w:val="en-US" w:eastAsia="zh-CN" w:bidi="ar-SA"/>
        </w:rPr>
      </w:pPr>
      <w:r>
        <w:rPr>
          <w:rFonts w:hint="eastAsia" w:ascii="宋体" w:hAnsi="宋体" w:cs="宋体"/>
          <w:color w:val="FF0000"/>
          <w:kern w:val="0"/>
          <w:sz w:val="24"/>
          <w:szCs w:val="24"/>
          <w:lang w:val="en-US" w:eastAsia="zh-CN" w:bidi="ar-SA"/>
        </w:rPr>
        <w:t>注：工程造价咨询及工程审计服务不能为同一家公司</w:t>
      </w:r>
    </w:p>
    <w:p>
      <w:pPr>
        <w:pStyle w:val="2"/>
        <w:rPr>
          <w:rFonts w:hint="default" w:ascii="宋体" w:hAnsi="宋体" w:eastAsia="宋体" w:cs="宋体"/>
          <w:kern w:val="0"/>
          <w:sz w:val="24"/>
          <w:szCs w:val="24"/>
          <w:lang w:val="en-US" w:eastAsia="zh-CN" w:bidi="ar-SA"/>
        </w:rPr>
      </w:pPr>
    </w:p>
    <w:p>
      <w:pPr>
        <w:pStyle w:val="3"/>
        <w:rPr>
          <w:rFonts w:hint="eastAsia" w:ascii="宋体" w:hAnsi="宋体" w:cs="宋体"/>
          <w:sz w:val="28"/>
          <w:szCs w:val="28"/>
          <w:highlight w:val="none"/>
          <w:lang w:val="en-US" w:eastAsia="zh-CN"/>
        </w:rPr>
      </w:pPr>
    </w:p>
    <w:p>
      <w:pPr>
        <w:pStyle w:val="3"/>
        <w:rPr>
          <w:rFonts w:hint="eastAsia" w:ascii="宋体" w:hAnsi="宋体" w:cs="宋体"/>
          <w:sz w:val="28"/>
          <w:szCs w:val="28"/>
          <w:highlight w:val="none"/>
          <w:lang w:val="en-US" w:eastAsia="zh-CN"/>
        </w:rPr>
      </w:pPr>
    </w:p>
    <w:p>
      <w:pPr>
        <w:pStyle w:val="3"/>
        <w:rPr>
          <w:rFonts w:hint="eastAsia" w:ascii="宋体" w:hAnsi="宋体" w:cs="宋体"/>
          <w:sz w:val="28"/>
          <w:szCs w:val="28"/>
          <w:highlight w:val="none"/>
          <w:lang w:val="en-US" w:eastAsia="zh-CN"/>
        </w:rPr>
      </w:pPr>
    </w:p>
    <w:p>
      <w:pPr>
        <w:pStyle w:val="3"/>
        <w:rPr>
          <w:rFonts w:hint="eastAsia" w:ascii="宋体" w:hAnsi="宋体" w:cs="宋体"/>
          <w:sz w:val="28"/>
          <w:szCs w:val="28"/>
          <w:highlight w:val="none"/>
          <w:lang w:val="en-US" w:eastAsia="zh-CN"/>
        </w:rPr>
      </w:pPr>
    </w:p>
    <w:p>
      <w:pPr>
        <w:pStyle w:val="3"/>
        <w:rPr>
          <w:rFonts w:hint="eastAsia" w:ascii="宋体" w:hAnsi="宋体" w:cs="宋体"/>
          <w:sz w:val="28"/>
          <w:szCs w:val="28"/>
          <w:highlight w:val="none"/>
          <w:lang w:val="en-US" w:eastAsia="zh-CN"/>
        </w:rPr>
      </w:pPr>
    </w:p>
    <w:p>
      <w:pPr>
        <w:pStyle w:val="3"/>
        <w:rPr>
          <w:rFonts w:hint="eastAsia" w:ascii="宋体" w:hAnsi="宋体" w:cs="宋体"/>
          <w:sz w:val="28"/>
          <w:szCs w:val="28"/>
          <w:highlight w:val="none"/>
          <w:lang w:val="en-US" w:eastAsia="zh-CN"/>
        </w:rPr>
      </w:pPr>
    </w:p>
    <w:p>
      <w:pPr>
        <w:pStyle w:val="3"/>
        <w:rPr>
          <w:rFonts w:hint="eastAsia" w:ascii="宋体" w:hAnsi="宋体" w:cs="宋体"/>
          <w:sz w:val="28"/>
          <w:szCs w:val="28"/>
          <w:highlight w:val="none"/>
          <w:lang w:val="en-US" w:eastAsia="zh-CN"/>
        </w:rPr>
      </w:pPr>
    </w:p>
    <w:p>
      <w:pPr>
        <w:pStyle w:val="3"/>
        <w:rPr>
          <w:rFonts w:hint="eastAsia" w:ascii="宋体" w:hAnsi="宋体" w:cs="宋体"/>
          <w:sz w:val="28"/>
          <w:szCs w:val="28"/>
          <w:highlight w:val="none"/>
          <w:lang w:val="en-US" w:eastAsia="zh-CN"/>
        </w:rPr>
      </w:pPr>
    </w:p>
    <w:p>
      <w:pPr>
        <w:pStyle w:val="3"/>
        <w:rPr>
          <w:rFonts w:hint="eastAsia" w:ascii="宋体" w:hAnsi="宋体" w:cs="宋体"/>
          <w:sz w:val="28"/>
          <w:szCs w:val="28"/>
          <w:highlight w:val="none"/>
          <w:lang w:val="en-US" w:eastAsia="zh-CN"/>
        </w:rPr>
      </w:pPr>
    </w:p>
    <w:p>
      <w:pPr>
        <w:pStyle w:val="3"/>
        <w:rPr>
          <w:rFonts w:hint="eastAsia" w:ascii="宋体" w:hAnsi="宋体" w:cs="宋体"/>
          <w:sz w:val="28"/>
          <w:szCs w:val="28"/>
          <w:highlight w:val="none"/>
          <w:lang w:val="en-US" w:eastAsia="zh-CN"/>
        </w:rPr>
      </w:pPr>
    </w:p>
    <w:p>
      <w:pPr>
        <w:pStyle w:val="3"/>
        <w:rPr>
          <w:rFonts w:hint="eastAsia" w:ascii="宋体" w:hAnsi="宋体" w:cs="宋体"/>
          <w:sz w:val="28"/>
          <w:szCs w:val="28"/>
          <w:highlight w:val="none"/>
          <w:lang w:val="en-US" w:eastAsia="zh-CN"/>
        </w:rPr>
      </w:pPr>
    </w:p>
    <w:p>
      <w:pPr>
        <w:pStyle w:val="3"/>
        <w:rPr>
          <w:rFonts w:hint="eastAsia" w:ascii="宋体" w:hAnsi="宋体" w:cs="宋体"/>
          <w:sz w:val="28"/>
          <w:szCs w:val="28"/>
          <w:highlight w:val="none"/>
          <w:lang w:val="en-US" w:eastAsia="zh-CN"/>
        </w:rPr>
      </w:pPr>
    </w:p>
    <w:p>
      <w:pPr>
        <w:pStyle w:val="3"/>
        <w:rPr>
          <w:rFonts w:hint="eastAsia" w:ascii="宋体" w:hAnsi="宋体" w:cs="宋体"/>
          <w:sz w:val="28"/>
          <w:szCs w:val="28"/>
          <w:highlight w:val="none"/>
          <w:lang w:val="en-US" w:eastAsia="zh-CN"/>
        </w:rPr>
      </w:pPr>
    </w:p>
    <w:p>
      <w:pPr>
        <w:pStyle w:val="3"/>
        <w:jc w:val="both"/>
        <w:rPr>
          <w:rFonts w:hint="eastAsia" w:ascii="宋体" w:hAnsi="宋体" w:cs="宋体"/>
          <w:sz w:val="28"/>
          <w:szCs w:val="28"/>
          <w:highlight w:val="none"/>
          <w:lang w:val="en-US" w:eastAsia="zh-CN"/>
        </w:rPr>
      </w:pPr>
    </w:p>
    <w:p>
      <w:pPr>
        <w:pStyle w:val="3"/>
        <w:rPr>
          <w:rFonts w:hint="eastAsia" w:ascii="宋体" w:hAnsi="宋体" w:cs="宋体"/>
          <w:color w:val="auto"/>
          <w:sz w:val="32"/>
          <w:szCs w:val="32"/>
          <w:lang w:val="en-US" w:eastAsia="zh-CN"/>
        </w:rPr>
      </w:pPr>
      <w:r>
        <w:rPr>
          <w:rFonts w:hint="eastAsia" w:ascii="宋体" w:hAnsi="宋体" w:cs="宋体"/>
          <w:sz w:val="32"/>
          <w:szCs w:val="32"/>
          <w:lang w:eastAsia="zh-CN"/>
        </w:rPr>
        <w:t>第四章</w:t>
      </w:r>
      <w:r>
        <w:rPr>
          <w:rFonts w:hint="eastAsia" w:ascii="宋体" w:hAnsi="宋体" w:cs="宋体"/>
          <w:sz w:val="32"/>
          <w:szCs w:val="32"/>
          <w:lang w:val="en-US" w:eastAsia="zh-CN"/>
        </w:rPr>
        <w:t xml:space="preserve">  </w:t>
      </w:r>
      <w:r>
        <w:rPr>
          <w:rFonts w:hint="eastAsia" w:ascii="宋体" w:hAnsi="宋体" w:cs="宋体"/>
          <w:color w:val="auto"/>
          <w:sz w:val="32"/>
          <w:szCs w:val="32"/>
          <w:lang w:val="en-US" w:eastAsia="zh-CN"/>
        </w:rPr>
        <w:t>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pStyle w:val="2"/>
        <w:rPr>
          <w:rFonts w:hint="eastAsia" w:eastAsia="宋体"/>
          <w:lang w:eastAsia="zh-CN"/>
        </w:rPr>
      </w:pPr>
      <w:r>
        <w:rPr>
          <w:rFonts w:hint="eastAsia" w:ascii="宋体" w:hAnsi="宋体" w:cs="宋体"/>
          <w:b w:val="0"/>
          <w:bCs w:val="0"/>
          <w:spacing w:val="4"/>
          <w:sz w:val="24"/>
          <w:szCs w:val="24"/>
          <w:lang w:eastAsia="zh-CN"/>
        </w:rPr>
        <w:t>五、</w:t>
      </w:r>
      <w:r>
        <w:rPr>
          <w:rFonts w:hint="eastAsia" w:ascii="宋体" w:hAnsi="宋体" w:cs="宋体"/>
          <w:color w:val="auto"/>
          <w:kern w:val="2"/>
          <w:sz w:val="24"/>
          <w:szCs w:val="24"/>
          <w:highlight w:val="none"/>
          <w:lang w:val="en-US" w:eastAsia="zh-CN" w:bidi="ar-SA"/>
        </w:rPr>
        <w:t>工程造价咨询甲级资质</w:t>
      </w:r>
      <w:r>
        <w:rPr>
          <w:rFonts w:hint="eastAsia" w:ascii="宋体" w:hAnsi="宋体" w:eastAsia="宋体" w:cs="宋体"/>
          <w:b w:val="0"/>
          <w:bCs w:val="0"/>
          <w:spacing w:val="4"/>
          <w:sz w:val="24"/>
          <w:szCs w:val="24"/>
        </w:rPr>
        <w:t>（复印件加盖公章）；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六、近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8"/>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8"/>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8"/>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8"/>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20553"/>
      <w:bookmarkStart w:id="182" w:name="_Toc9747"/>
      <w:bookmarkStart w:id="183" w:name="_Toc25803"/>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8"/>
        <w:rPr>
          <w:rFonts w:hint="eastAsia"/>
        </w:rPr>
      </w:pPr>
    </w:p>
    <w:p>
      <w:pPr>
        <w:pStyle w:val="3"/>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4"/>
        <w:jc w:val="left"/>
        <w:rPr>
          <w:rFonts w:ascii="宋体" w:hAnsi="宋体" w:cs="宋体"/>
          <w:sz w:val="24"/>
          <w:szCs w:val="24"/>
        </w:rPr>
      </w:pPr>
      <w:bookmarkStart w:id="185" w:name="_Toc10288"/>
      <w:bookmarkStart w:id="186" w:name="_Toc7841"/>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8"/>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87" w:name="_Toc31035"/>
      <w:bookmarkStart w:id="188" w:name="_Toc217446098"/>
      <w:bookmarkStart w:id="189" w:name="_Toc11058"/>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8"/>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1"/>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1"/>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1"/>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1"/>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1"/>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1"/>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1"/>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1"/>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1"/>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1"/>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tbl>
      <w:tblPr>
        <w:tblStyle w:val="35"/>
        <w:tblW w:w="91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455"/>
        <w:gridCol w:w="6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0分)</w:t>
            </w:r>
          </w:p>
        </w:tc>
        <w:tc>
          <w:tcPr>
            <w:tcW w:w="6748"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w:t>
            </w:r>
            <w:r>
              <w:rPr>
                <w:rFonts w:hint="eastAsia" w:ascii="宋体" w:hAnsi="宋体" w:cs="宋体"/>
                <w:color w:val="auto"/>
                <w:kern w:val="0"/>
                <w:sz w:val="24"/>
                <w:szCs w:val="24"/>
                <w:highlight w:val="none"/>
                <w:lang w:val="en-US" w:eastAsia="zh-CN"/>
              </w:rPr>
              <w:t>准</w:t>
            </w:r>
            <w:r>
              <w:rPr>
                <w:rFonts w:hint="eastAsia" w:ascii="宋体" w:hAnsi="宋体" w:eastAsia="宋体" w:cs="宋体"/>
                <w:color w:val="auto"/>
                <w:kern w:val="0"/>
                <w:sz w:val="24"/>
                <w:szCs w:val="24"/>
                <w:highlight w:val="none"/>
                <w:lang w:val="en-US" w:eastAsia="zh-CN"/>
              </w:rPr>
              <w:t>价</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投标报价得分=（评标基准价/投标报价）×</w:t>
            </w:r>
            <w:r>
              <w:rPr>
                <w:rFonts w:hint="eastAsia" w:ascii="宋体" w:hAnsi="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0×100%</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w:t>
            </w:r>
            <w:r>
              <w:rPr>
                <w:rFonts w:hint="eastAsia" w:ascii="宋体" w:hAnsi="宋体" w:cs="宋体"/>
                <w:color w:val="auto"/>
                <w:sz w:val="24"/>
                <w:szCs w:val="24"/>
                <w:highlight w:val="none"/>
                <w:lang w:val="en-US" w:eastAsia="zh-CN"/>
              </w:rPr>
              <w:t>55</w:t>
            </w:r>
            <w:r>
              <w:rPr>
                <w:rFonts w:hint="eastAsia" w:ascii="宋体" w:hAnsi="宋体" w:eastAsia="宋体" w:cs="宋体"/>
                <w:color w:val="auto"/>
                <w:sz w:val="24"/>
                <w:szCs w:val="24"/>
                <w:highlight w:val="none"/>
              </w:rPr>
              <w:t>）</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技术参数（</w:t>
            </w:r>
            <w:r>
              <w:rPr>
                <w:rFonts w:hint="eastAsia" w:ascii="宋体" w:hAnsi="宋体" w:eastAsia="宋体" w:cs="宋体"/>
                <w:sz w:val="24"/>
                <w:szCs w:val="24"/>
                <w:highlight w:val="none"/>
                <w:lang w:eastAsia="zh-CN"/>
              </w:rPr>
              <w:t>满分</w:t>
            </w:r>
            <w:r>
              <w:rPr>
                <w:rFonts w:hint="eastAsia" w:ascii="宋体" w:hAnsi="宋体" w:cs="宋体"/>
                <w:sz w:val="24"/>
                <w:szCs w:val="24"/>
                <w:highlight w:val="none"/>
                <w:lang w:val="en-US" w:eastAsia="zh-CN"/>
              </w:rPr>
              <w:t>20</w:t>
            </w:r>
            <w:r>
              <w:rPr>
                <w:rFonts w:hint="eastAsia" w:ascii="宋体" w:hAnsi="宋体" w:eastAsia="宋体" w:cs="宋体"/>
                <w:sz w:val="24"/>
                <w:szCs w:val="24"/>
                <w:highlight w:val="none"/>
              </w:rPr>
              <w:t>分）：</w:t>
            </w:r>
          </w:p>
          <w:p>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满足招标文件所有技术指标、参数要求的得</w:t>
            </w:r>
            <w:r>
              <w:rPr>
                <w:rFonts w:hint="eastAsia" w:ascii="宋体" w:hAnsi="宋体" w:cs="宋体"/>
                <w:sz w:val="24"/>
                <w:szCs w:val="24"/>
                <w:highlight w:val="none"/>
                <w:lang w:val="en-US" w:eastAsia="zh-CN"/>
              </w:rPr>
              <w:t>20</w:t>
            </w:r>
            <w:r>
              <w:rPr>
                <w:rFonts w:hint="eastAsia" w:ascii="宋体" w:hAnsi="宋体" w:eastAsia="宋体" w:cs="宋体"/>
                <w:sz w:val="24"/>
                <w:szCs w:val="24"/>
                <w:highlight w:val="none"/>
              </w:rPr>
              <w:t>分。带“★”的为主要技术要求，有一项负偏离扣</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分，扣完为止；</w:t>
            </w:r>
            <w:r>
              <w:rPr>
                <w:rFonts w:hint="eastAsia" w:ascii="宋体" w:hAnsi="宋体" w:eastAsia="宋体" w:cs="宋体"/>
                <w:sz w:val="24"/>
                <w:szCs w:val="24"/>
                <w:highlight w:val="none"/>
                <w:lang w:val="zh-CN"/>
              </w:rPr>
              <w:t>一般技术要求出现负偏离，每项扣</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zh-CN"/>
              </w:rPr>
              <w:t>分，扣完为止</w:t>
            </w:r>
            <w:r>
              <w:rPr>
                <w:rFonts w:hint="eastAsia" w:ascii="宋体" w:hAnsi="宋体" w:eastAsia="宋体" w:cs="宋体"/>
                <w:sz w:val="24"/>
                <w:szCs w:val="24"/>
                <w:highlight w:val="none"/>
              </w:rPr>
              <w:t>。</w:t>
            </w:r>
          </w:p>
          <w:p>
            <w:pPr>
              <w:pStyle w:val="5"/>
              <w:rPr>
                <w:rFonts w:hint="eastAsia"/>
              </w:rPr>
            </w:pPr>
            <w:r>
              <w:rPr>
                <w:rFonts w:hint="eastAsia" w:ascii="宋体" w:hAnsi="宋体" w:cs="宋体"/>
                <w:color w:val="auto"/>
                <w:sz w:val="24"/>
                <w:szCs w:val="24"/>
                <w:highlight w:val="none"/>
                <w:lang w:val="en-US" w:eastAsia="zh-CN"/>
              </w:rPr>
              <w:t>注：每条（带“★”参数和一般参数）技术参数的响应须提供相关证明材料，包括但不限于彩页、官方截图、技术白皮书或第三方权威机构出具的检测报告，若未提供，则扣除跟负偏离同样的分数。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sz w:val="24"/>
                <w:szCs w:val="32"/>
              </w:rPr>
            </w:pPr>
            <w:r>
              <w:rPr>
                <w:rFonts w:hint="eastAsia"/>
                <w:sz w:val="24"/>
                <w:szCs w:val="32"/>
              </w:rPr>
              <w:t>根据供应商提供针对本项目组建固定的服务团队计划是否组织机构明确，分工合理由评标委员会横向比较进行打分1-</w:t>
            </w:r>
            <w:r>
              <w:rPr>
                <w:rFonts w:hint="eastAsia"/>
                <w:sz w:val="24"/>
                <w:szCs w:val="32"/>
                <w:lang w:val="en-US" w:eastAsia="zh-CN"/>
              </w:rPr>
              <w:t>10分</w:t>
            </w:r>
            <w:r>
              <w:rPr>
                <w:rFonts w:hint="eastAsia"/>
                <w:sz w:val="24"/>
                <w:szCs w:val="32"/>
              </w:rPr>
              <w:t xml:space="preserve">； </w:t>
            </w:r>
          </w:p>
          <w:p>
            <w:pPr>
              <w:spacing w:line="360" w:lineRule="auto"/>
              <w:jc w:val="left"/>
              <w:rPr>
                <w:rFonts w:hint="eastAsia" w:ascii="宋体" w:hAnsi="宋体" w:eastAsia="宋体" w:cs="宋体"/>
                <w:color w:val="auto"/>
                <w:sz w:val="24"/>
                <w:szCs w:val="24"/>
                <w:highlight w:val="none"/>
                <w:lang w:eastAsia="zh-CN"/>
              </w:rPr>
            </w:pPr>
            <w:r>
              <w:rPr>
                <w:rFonts w:hint="eastAsia"/>
                <w:sz w:val="24"/>
                <w:szCs w:val="32"/>
              </w:rPr>
              <w:t>根据供应商提供项目负责人的文</w:t>
            </w:r>
            <w:r>
              <w:rPr>
                <w:rFonts w:hint="eastAsia"/>
                <w:sz w:val="24"/>
                <w:szCs w:val="32"/>
                <w:lang w:eastAsia="zh-CN"/>
              </w:rPr>
              <w:t>化</w:t>
            </w:r>
            <w:r>
              <w:rPr>
                <w:rFonts w:hint="eastAsia"/>
                <w:sz w:val="24"/>
                <w:szCs w:val="32"/>
              </w:rPr>
              <w:t>程度、从业年限、行业经验，技术人员专业素质、服务人数以及专业配备情况由评标委员会横向比较进行打分1-</w:t>
            </w:r>
            <w:r>
              <w:rPr>
                <w:rFonts w:hint="eastAsia"/>
                <w:sz w:val="24"/>
                <w:szCs w:val="32"/>
                <w:lang w:val="en-US" w:eastAsia="zh-CN"/>
              </w:rPr>
              <w:t>10分</w:t>
            </w:r>
            <w:r>
              <w:rPr>
                <w:rFonts w:hint="eastAsia"/>
                <w:sz w:val="24"/>
                <w:szCs w:val="32"/>
              </w:rPr>
              <w:t>；（小计</w:t>
            </w:r>
            <w:r>
              <w:rPr>
                <w:rFonts w:hint="eastAsia"/>
                <w:sz w:val="24"/>
                <w:szCs w:val="32"/>
                <w:lang w:val="en-US" w:eastAsia="zh-CN"/>
              </w:rPr>
              <w:t>20</w:t>
            </w:r>
            <w:r>
              <w:rPr>
                <w:rFonts w:hint="eastAsia"/>
                <w:sz w:val="24"/>
                <w:szCs w:val="3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sz w:val="24"/>
                <w:szCs w:val="32"/>
              </w:rPr>
            </w:pPr>
            <w:r>
              <w:rPr>
                <w:rFonts w:hint="eastAsia"/>
                <w:sz w:val="24"/>
                <w:szCs w:val="32"/>
              </w:rPr>
              <w:t>根据供应商</w:t>
            </w:r>
            <w:r>
              <w:rPr>
                <w:rFonts w:hint="eastAsia"/>
                <w:sz w:val="24"/>
                <w:szCs w:val="32"/>
                <w:lang w:eastAsia="zh-CN"/>
              </w:rPr>
              <w:t>服务</w:t>
            </w:r>
            <w:r>
              <w:rPr>
                <w:rFonts w:hint="eastAsia"/>
                <w:sz w:val="24"/>
                <w:szCs w:val="32"/>
              </w:rPr>
              <w:t>方案的完整性，由评标委员会横向比较进行打分</w:t>
            </w:r>
            <w:r>
              <w:rPr>
                <w:rFonts w:hint="eastAsia"/>
                <w:sz w:val="24"/>
                <w:szCs w:val="32"/>
                <w:lang w:val="en-US" w:eastAsia="zh-CN"/>
              </w:rPr>
              <w:t>1-5分</w:t>
            </w:r>
            <w:r>
              <w:rPr>
                <w:rFonts w:hint="eastAsia"/>
                <w:sz w:val="24"/>
                <w:szCs w:val="32"/>
              </w:rPr>
              <w:t>；</w:t>
            </w:r>
          </w:p>
          <w:p>
            <w:pPr>
              <w:spacing w:line="360" w:lineRule="auto"/>
              <w:rPr>
                <w:rFonts w:hint="eastAsia"/>
                <w:sz w:val="24"/>
                <w:szCs w:val="32"/>
              </w:rPr>
            </w:pPr>
            <w:r>
              <w:rPr>
                <w:rFonts w:hint="eastAsia"/>
                <w:sz w:val="24"/>
                <w:szCs w:val="32"/>
              </w:rPr>
              <w:t>根据供应商</w:t>
            </w:r>
            <w:r>
              <w:rPr>
                <w:rFonts w:hint="eastAsia"/>
                <w:sz w:val="24"/>
                <w:szCs w:val="32"/>
                <w:lang w:eastAsia="zh-CN"/>
              </w:rPr>
              <w:t>服务</w:t>
            </w:r>
            <w:r>
              <w:rPr>
                <w:rFonts w:hint="eastAsia"/>
                <w:sz w:val="24"/>
                <w:szCs w:val="32"/>
              </w:rPr>
              <w:t>方案的合理性，由评标委员会横向比较进行打分</w:t>
            </w:r>
            <w:r>
              <w:rPr>
                <w:rFonts w:hint="eastAsia"/>
                <w:sz w:val="24"/>
                <w:szCs w:val="32"/>
                <w:lang w:val="en-US" w:eastAsia="zh-CN"/>
              </w:rPr>
              <w:t>1-5分</w:t>
            </w:r>
            <w:r>
              <w:rPr>
                <w:rFonts w:hint="eastAsia"/>
                <w:sz w:val="24"/>
                <w:szCs w:val="32"/>
              </w:rPr>
              <w:t>；</w:t>
            </w:r>
          </w:p>
          <w:p>
            <w:pPr>
              <w:spacing w:line="360" w:lineRule="auto"/>
              <w:jc w:val="left"/>
              <w:rPr>
                <w:rFonts w:hint="eastAsia" w:ascii="宋体" w:hAnsi="宋体" w:eastAsia="宋体" w:cs="宋体"/>
                <w:color w:val="auto"/>
                <w:sz w:val="24"/>
                <w:szCs w:val="24"/>
                <w:highlight w:val="none"/>
              </w:rPr>
            </w:pPr>
            <w:r>
              <w:rPr>
                <w:rFonts w:hint="eastAsia"/>
                <w:sz w:val="24"/>
                <w:szCs w:val="32"/>
              </w:rPr>
              <w:t>根据供应商</w:t>
            </w:r>
            <w:r>
              <w:rPr>
                <w:rFonts w:hint="eastAsia"/>
                <w:sz w:val="24"/>
                <w:szCs w:val="32"/>
                <w:lang w:eastAsia="zh-CN"/>
              </w:rPr>
              <w:t>服务</w:t>
            </w:r>
            <w:r>
              <w:rPr>
                <w:rFonts w:hint="eastAsia"/>
                <w:sz w:val="24"/>
                <w:szCs w:val="32"/>
              </w:rPr>
              <w:t>方案的可行性，由评标委员会横向比较进行打分</w:t>
            </w:r>
            <w:r>
              <w:rPr>
                <w:rFonts w:hint="eastAsia"/>
                <w:sz w:val="24"/>
                <w:szCs w:val="32"/>
                <w:lang w:val="en-US" w:eastAsia="zh-CN"/>
              </w:rPr>
              <w:t>1-5分</w:t>
            </w:r>
            <w:r>
              <w:rPr>
                <w:rFonts w:hint="eastAsia"/>
                <w:sz w:val="24"/>
                <w:szCs w:val="32"/>
              </w:rPr>
              <w:t>；（小计</w:t>
            </w:r>
            <w:r>
              <w:rPr>
                <w:rFonts w:hint="eastAsia"/>
                <w:sz w:val="24"/>
                <w:szCs w:val="32"/>
                <w:lang w:val="en-US" w:eastAsia="zh-CN"/>
              </w:rPr>
              <w:t>15</w:t>
            </w:r>
            <w:r>
              <w:rPr>
                <w:rFonts w:hint="eastAsia"/>
                <w:sz w:val="24"/>
                <w:szCs w:val="3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w:t>
            </w:r>
            <w:r>
              <w:rPr>
                <w:rFonts w:hint="eastAsia" w:ascii="宋体" w:hAnsi="宋体" w:cs="宋体"/>
                <w:color w:val="auto"/>
                <w:sz w:val="24"/>
                <w:szCs w:val="24"/>
                <w:highlight w:val="none"/>
                <w:lang w:val="en-US" w:eastAsia="zh-CN"/>
              </w:rPr>
              <w:t>25</w:t>
            </w:r>
            <w:r>
              <w:rPr>
                <w:rFonts w:hint="eastAsia" w:ascii="宋体" w:hAnsi="宋体" w:eastAsia="宋体" w:cs="宋体"/>
                <w:color w:val="auto"/>
                <w:sz w:val="24"/>
                <w:szCs w:val="24"/>
                <w:highlight w:val="none"/>
              </w:rPr>
              <w:t>分）</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1.投标文件完全响应招标要求，投标文件装订整洁，完好得</w:t>
            </w:r>
            <w:r>
              <w:rPr>
                <w:rFonts w:hint="eastAsia" w:ascii="宋体" w:hAnsi="宋体" w:cs="宋体"/>
                <w:color w:val="auto"/>
                <w:sz w:val="24"/>
                <w:szCs w:val="24"/>
                <w:highlight w:val="none"/>
                <w:lang w:val="en-US" w:eastAsia="zh-CN"/>
              </w:rPr>
              <w:t>0-3</w:t>
            </w:r>
            <w:r>
              <w:rPr>
                <w:rFonts w:hint="eastAsia" w:ascii="宋体" w:hAnsi="宋体" w:eastAsia="宋体" w:cs="宋体"/>
                <w:color w:val="auto"/>
                <w:sz w:val="24"/>
                <w:szCs w:val="24"/>
                <w:highlight w:val="none"/>
              </w:rPr>
              <w:t>分。（满分</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2.销售业绩（提供近三年</w:t>
            </w:r>
            <w:r>
              <w:rPr>
                <w:rFonts w:hint="eastAsia" w:ascii="宋体" w:hAnsi="宋体" w:cs="宋体"/>
                <w:color w:val="auto"/>
                <w:sz w:val="24"/>
                <w:szCs w:val="24"/>
                <w:highlight w:val="none"/>
                <w:lang w:eastAsia="zh-CN"/>
              </w:rPr>
              <w:t>相同服务</w:t>
            </w:r>
            <w:r>
              <w:rPr>
                <w:rFonts w:hint="eastAsia" w:ascii="宋体" w:hAnsi="宋体" w:eastAsia="宋体" w:cs="宋体"/>
                <w:color w:val="auto"/>
                <w:sz w:val="24"/>
                <w:szCs w:val="24"/>
                <w:highlight w:val="none"/>
              </w:rPr>
              <w:t>业绩，附合同复印件</w:t>
            </w:r>
            <w:r>
              <w:rPr>
                <w:rFonts w:hint="eastAsia" w:ascii="宋体" w:hAnsi="宋体" w:cs="宋体"/>
                <w:color w:val="auto"/>
                <w:sz w:val="24"/>
                <w:szCs w:val="24"/>
                <w:highlight w:val="none"/>
                <w:lang w:eastAsia="zh-CN"/>
              </w:rPr>
              <w:t>或</w:t>
            </w:r>
            <w:r>
              <w:rPr>
                <w:rFonts w:hint="eastAsia" w:ascii="宋体" w:hAnsi="宋体" w:eastAsia="宋体" w:cs="宋体"/>
                <w:color w:val="auto"/>
                <w:sz w:val="24"/>
                <w:szCs w:val="24"/>
                <w:highlight w:val="none"/>
              </w:rPr>
              <w:t>中标通知书）</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每提供一例得2分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3.在兰州本地有服务团队的得8分（提供相关证明材料）；（满分8分）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服务承诺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服务承诺</w:t>
            </w:r>
            <w:r>
              <w:rPr>
                <w:rFonts w:hint="eastAsia" w:ascii="宋体" w:hAnsi="宋体" w:eastAsia="宋体" w:cs="宋体"/>
                <w:color w:val="auto"/>
                <w:sz w:val="24"/>
                <w:szCs w:val="24"/>
                <w:highlight w:val="none"/>
                <w:lang w:eastAsia="zh-CN"/>
              </w:rPr>
              <w:t>完全满足招标文件需求</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服务响应时间快，处理</w:t>
            </w:r>
            <w:r>
              <w:rPr>
                <w:rFonts w:hint="eastAsia" w:ascii="宋体" w:hAnsi="宋体" w:cs="宋体"/>
                <w:color w:val="auto"/>
                <w:sz w:val="24"/>
                <w:szCs w:val="24"/>
                <w:highlight w:val="none"/>
                <w:lang w:eastAsia="zh-CN"/>
              </w:rPr>
              <w:t>问题</w:t>
            </w:r>
            <w:r>
              <w:rPr>
                <w:rFonts w:hint="eastAsia" w:ascii="宋体" w:hAnsi="宋体" w:eastAsia="宋体" w:cs="宋体"/>
                <w:color w:val="auto"/>
                <w:sz w:val="24"/>
                <w:szCs w:val="24"/>
                <w:highlight w:val="none"/>
                <w:lang w:eastAsia="zh-CN"/>
              </w:rPr>
              <w:t>及时，应急方案完善，服务</w:t>
            </w:r>
            <w:r>
              <w:rPr>
                <w:rFonts w:hint="eastAsia" w:ascii="宋体" w:hAnsi="宋体" w:cs="宋体"/>
                <w:color w:val="auto"/>
                <w:sz w:val="24"/>
                <w:szCs w:val="24"/>
                <w:highlight w:val="none"/>
                <w:lang w:eastAsia="zh-CN"/>
              </w:rPr>
              <w:t>团队</w:t>
            </w:r>
            <w:r>
              <w:rPr>
                <w:rFonts w:hint="eastAsia" w:ascii="宋体" w:hAnsi="宋体" w:eastAsia="宋体" w:cs="宋体"/>
                <w:color w:val="auto"/>
                <w:sz w:val="24"/>
                <w:szCs w:val="24"/>
                <w:highlight w:val="none"/>
                <w:lang w:eastAsia="zh-CN"/>
              </w:rPr>
              <w:t>配备完善的</w:t>
            </w:r>
            <w:r>
              <w:rPr>
                <w:rFonts w:hint="eastAsia" w:ascii="宋体" w:hAnsi="宋体" w:cs="宋体"/>
                <w:color w:val="auto"/>
                <w:sz w:val="24"/>
                <w:szCs w:val="24"/>
                <w:highlight w:val="none"/>
                <w:lang w:val="en-US" w:eastAsia="zh-CN"/>
              </w:rPr>
              <w:t>,</w:t>
            </w:r>
            <w:r>
              <w:rPr>
                <w:rFonts w:hint="eastAsia"/>
                <w:sz w:val="24"/>
                <w:szCs w:val="32"/>
              </w:rPr>
              <w:t>由评标委员会横向比较进行打分1-</w:t>
            </w:r>
            <w:r>
              <w:rPr>
                <w:rFonts w:hint="eastAsia"/>
                <w:sz w:val="24"/>
                <w:szCs w:val="32"/>
                <w:lang w:val="en-US" w:eastAsia="zh-CN"/>
              </w:rPr>
              <w:t>6分</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（满分</w:t>
            </w:r>
            <w:r>
              <w:rPr>
                <w:rFonts w:hint="eastAsia" w:ascii="宋体" w:hAnsi="宋体" w:cs="宋体"/>
                <w:color w:val="auto"/>
                <w:sz w:val="24"/>
                <w:szCs w:val="24"/>
                <w:highlight w:val="none"/>
                <w:lang w:val="en-US" w:eastAsia="zh-CN"/>
              </w:rPr>
              <w:t>6分</w:t>
            </w:r>
            <w:r>
              <w:rPr>
                <w:rFonts w:hint="eastAsia" w:ascii="宋体" w:hAnsi="宋体" w:cs="宋体"/>
                <w:color w:val="auto"/>
                <w:sz w:val="24"/>
                <w:szCs w:val="24"/>
                <w:highlight w:val="none"/>
                <w:lang w:eastAsia="zh-CN"/>
              </w:rPr>
              <w:t>）</w:t>
            </w:r>
          </w:p>
        </w:tc>
      </w:tr>
    </w:tbl>
    <w:p>
      <w:pPr>
        <w:spacing w:line="360" w:lineRule="auto"/>
        <w:ind w:firstLine="480" w:firstLineChars="200"/>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190" w:name="_Toc183582297"/>
      <w:bookmarkStart w:id="191" w:name="_Toc208849022"/>
      <w:bookmarkStart w:id="192" w:name="_Toc183682432"/>
      <w:bookmarkStart w:id="193" w:name="_Toc217446105"/>
      <w:bookmarkStart w:id="194" w:name="_Toc26707"/>
      <w:bookmarkStart w:id="195" w:name="_Toc30936"/>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196" w:name="_Toc25902"/>
      <w:bookmarkStart w:id="197" w:name="_Toc7845"/>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198" w:name="_Toc23996"/>
      <w:bookmarkStart w:id="199" w:name="_Toc12937"/>
      <w:bookmarkStart w:id="200" w:name="_Toc11807"/>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pStyle w:val="28"/>
        <w:ind w:left="0" w:leftChars="0" w:firstLine="0" w:firstLineChars="0"/>
        <w:rPr>
          <w:rFonts w:hint="eastAsia"/>
        </w:rPr>
      </w:pPr>
    </w:p>
    <w:p>
      <w:pPr>
        <w:pStyle w:val="28"/>
        <w:ind w:left="0" w:leftChars="0" w:firstLine="0" w:firstLineChars="0"/>
        <w:rPr>
          <w:rFonts w:hint="eastAsia"/>
        </w:rPr>
      </w:pPr>
    </w:p>
    <w:bookmarkEnd w:id="178"/>
    <w:p>
      <w:pPr>
        <w:pStyle w:val="3"/>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3" w:name="_Toc23429"/>
      <w:bookmarkStart w:id="204" w:name="_Toc22178"/>
      <w:bookmarkStart w:id="205" w:name="_Toc13676"/>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139965361"/>
      <w:bookmarkStart w:id="207" w:name="_Toc327439490"/>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8"/>
        <w:spacing w:line="360" w:lineRule="auto"/>
        <w:ind w:left="0" w:leftChars="0" w:firstLine="240" w:firstLineChars="100"/>
        <w:rPr>
          <w:rFonts w:hint="eastAsia"/>
          <w:b/>
          <w:bCs/>
          <w:sz w:val="24"/>
          <w:szCs w:val="32"/>
        </w:rPr>
        <w:sectPr>
          <w:headerReference r:id="rId10"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4"/>
        <w:numPr>
          <w:ilvl w:val="0"/>
          <w:numId w:val="0"/>
        </w:numPr>
        <w:spacing w:before="0" w:after="0"/>
        <w:ind w:firstLine="3092" w:firstLineChars="1100"/>
        <w:jc w:val="left"/>
        <w:rPr>
          <w:rFonts w:hint="eastAsia" w:ascii="宋体" w:hAnsi="宋体" w:cs="宋体"/>
          <w:sz w:val="28"/>
          <w:szCs w:val="28"/>
        </w:rPr>
      </w:pPr>
      <w:bookmarkStart w:id="208" w:name="_Toc16816"/>
      <w:bookmarkStart w:id="209" w:name="_Toc10904"/>
      <w:bookmarkStart w:id="210" w:name="_Toc3146"/>
      <w:bookmarkStart w:id="211"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19360"/>
      <w:bookmarkStart w:id="213" w:name="_Toc3177"/>
      <w:bookmarkStart w:id="214" w:name="_Toc10366"/>
      <w:bookmarkStart w:id="215" w:name="_Toc19965"/>
      <w:bookmarkStart w:id="216" w:name="_Toc15783"/>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4"/>
        <w:spacing w:before="0" w:after="0"/>
        <w:jc w:val="left"/>
        <w:rPr>
          <w:rFonts w:ascii="宋体" w:hAnsi="宋体" w:cs="宋体"/>
          <w:b w:val="0"/>
          <w:sz w:val="24"/>
          <w:szCs w:val="24"/>
        </w:rPr>
      </w:pPr>
      <w:bookmarkStart w:id="217" w:name="_Toc19163"/>
      <w:bookmarkStart w:id="218" w:name="_Toc6475"/>
      <w:bookmarkStart w:id="219" w:name="_Toc12383"/>
      <w:bookmarkStart w:id="220" w:name="_Toc22060"/>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5"/>
        <w:rPr>
          <w:rFonts w:ascii="宋体" w:hAnsi="宋体" w:cs="宋体"/>
          <w:szCs w:val="24"/>
        </w:rPr>
      </w:pPr>
    </w:p>
    <w:p>
      <w:pPr>
        <w:pStyle w:val="5"/>
        <w:ind w:firstLine="0"/>
        <w:rPr>
          <w:rFonts w:ascii="宋体" w:hAnsi="宋体" w:cs="宋体"/>
          <w:szCs w:val="24"/>
        </w:rPr>
      </w:pPr>
    </w:p>
    <w:p>
      <w:pPr>
        <w:pStyle w:val="5"/>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1" w:name="_Toc1230"/>
    </w:p>
    <w:p>
      <w:pPr>
        <w:rPr>
          <w:rFonts w:ascii="宋体" w:hAnsi="宋体" w:cs="宋体"/>
          <w:sz w:val="28"/>
          <w:szCs w:val="28"/>
        </w:rPr>
      </w:pPr>
    </w:p>
    <w:p>
      <w:pPr>
        <w:pStyle w:val="5"/>
      </w:pPr>
    </w:p>
    <w:p>
      <w:pPr>
        <w:pStyle w:val="28"/>
        <w:rPr>
          <w:rFonts w:ascii="宋体" w:hAnsi="宋体" w:cs="宋体"/>
        </w:rPr>
      </w:pPr>
    </w:p>
    <w:p>
      <w:pPr>
        <w:pStyle w:val="4"/>
        <w:numPr>
          <w:ilvl w:val="0"/>
          <w:numId w:val="0"/>
        </w:numPr>
        <w:spacing w:before="0" w:after="0"/>
        <w:ind w:firstLine="3654" w:firstLineChars="1300"/>
        <w:jc w:val="left"/>
        <w:rPr>
          <w:rFonts w:hint="eastAsia" w:ascii="宋体" w:hAnsi="宋体" w:cs="宋体"/>
          <w:sz w:val="28"/>
          <w:szCs w:val="28"/>
        </w:rPr>
      </w:pPr>
      <w:bookmarkStart w:id="222" w:name="_Toc16103"/>
      <w:bookmarkStart w:id="223" w:name="_Toc20910"/>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21"/>
      <w:bookmarkEnd w:id="222"/>
      <w:bookmarkEnd w:id="223"/>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4" w:name="_Toc8565"/>
      <w:bookmarkStart w:id="225" w:name="_Toc20796"/>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2"/>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1"/>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1"/>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2"/>
        <w:spacing w:before="0" w:line="241" w:lineRule="exact"/>
        <w:ind w:left="137" w:right="0"/>
        <w:jc w:val="left"/>
      </w:pPr>
    </w:p>
    <w:p>
      <w:pPr>
        <w:pStyle w:val="2"/>
        <w:spacing w:before="0" w:line="360" w:lineRule="auto"/>
        <w:ind w:right="0"/>
        <w:jc w:val="left"/>
      </w:pPr>
      <w:r>
        <w:t>投标人（签字、盖章）：</w:t>
      </w:r>
    </w:p>
    <w:p>
      <w:pPr>
        <w:pStyle w:val="2"/>
        <w:spacing w:before="0" w:line="360" w:lineRule="auto"/>
        <w:ind w:right="0"/>
        <w:jc w:val="left"/>
        <w:rPr>
          <w:rFonts w:hint="eastAsia"/>
          <w:u w:val="single"/>
          <w:lang w:val="en-US" w:eastAsia="zh-CN"/>
        </w:rPr>
      </w:pPr>
      <w:r>
        <w:t>日期：</w:t>
      </w:r>
    </w:p>
    <w:p>
      <w:pPr>
        <w:pStyle w:val="2"/>
        <w:spacing w:before="0" w:line="360" w:lineRule="auto"/>
        <w:ind w:left="137" w:right="0" w:firstLine="480" w:firstLineChars="200"/>
        <w:jc w:val="left"/>
        <w:rPr>
          <w:rFonts w:hint="eastAsia"/>
          <w:u w:val="single"/>
          <w:lang w:val="en-US" w:eastAsia="zh-CN"/>
        </w:rPr>
      </w:pPr>
    </w:p>
    <w:p>
      <w:pPr>
        <w:pStyle w:val="2"/>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26" w:name="_Toc17348"/>
      <w:bookmarkStart w:id="227" w:name="_Toc17704"/>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8"/>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8"/>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8"/>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28" w:name="_Toc20679"/>
      <w:bookmarkStart w:id="229" w:name="_Toc21291"/>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8"/>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10"/>
        <w:spacing w:line="360" w:lineRule="auto"/>
        <w:rPr>
          <w:rFonts w:ascii="宋体" w:hAnsi="宋体" w:cs="宋体"/>
          <w:b/>
          <w:sz w:val="22"/>
          <w:szCs w:val="22"/>
        </w:rPr>
      </w:pPr>
    </w:p>
    <w:p>
      <w:pPr>
        <w:pStyle w:val="210"/>
        <w:spacing w:line="360" w:lineRule="auto"/>
        <w:rPr>
          <w:rFonts w:ascii="宋体" w:hAnsi="宋体" w:cs="宋体"/>
          <w:b/>
          <w:sz w:val="22"/>
          <w:szCs w:val="22"/>
        </w:rPr>
      </w:pPr>
    </w:p>
    <w:p>
      <w:pPr>
        <w:pStyle w:val="210"/>
        <w:spacing w:line="360" w:lineRule="auto"/>
        <w:jc w:val="center"/>
        <w:rPr>
          <w:rFonts w:ascii="宋体" w:hAnsi="宋体" w:cs="宋体"/>
          <w:b/>
          <w:szCs w:val="28"/>
        </w:rPr>
      </w:pPr>
      <w:bookmarkStart w:id="230" w:name="_Toc12836"/>
      <w:bookmarkStart w:id="231" w:name="_Toc26303"/>
      <w:bookmarkStart w:id="232" w:name="_Toc16887"/>
      <w:bookmarkStart w:id="233" w:name="_Toc3392"/>
      <w:bookmarkStart w:id="234" w:name="_Toc10205"/>
      <w:bookmarkStart w:id="235" w:name="_Toc26432"/>
      <w:bookmarkStart w:id="236" w:name="_Toc4270"/>
      <w:bookmarkStart w:id="237" w:name="_Toc8733"/>
      <w:bookmarkStart w:id="238" w:name="_Toc27827"/>
      <w:bookmarkStart w:id="239" w:name="_Toc6233"/>
      <w:bookmarkStart w:id="240" w:name="_Toc7146"/>
      <w:bookmarkStart w:id="241" w:name="_Toc27676"/>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spacing w:val="10"/>
          <w:sz w:val="36"/>
          <w:szCs w:val="36"/>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2" w:name="_Toc24708"/>
      <w:bookmarkStart w:id="243" w:name="_Toc258923307"/>
      <w:bookmarkStart w:id="244" w:name="_Toc13401"/>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3996"/>
        <w:gridCol w:w="3476"/>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272"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3996"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项目</w:t>
            </w:r>
            <w:r>
              <w:rPr>
                <w:rFonts w:hint="eastAsia" w:ascii="宋体" w:hAnsi="宋体"/>
                <w:sz w:val="24"/>
              </w:rPr>
              <w:t>名称</w:t>
            </w:r>
          </w:p>
        </w:tc>
        <w:tc>
          <w:tcPr>
            <w:tcW w:w="3476"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w:t>
            </w:r>
            <w:r>
              <w:rPr>
                <w:rFonts w:hint="eastAsia" w:ascii="宋体" w:hAnsi="宋体"/>
                <w:sz w:val="24"/>
                <w:lang w:eastAsia="zh-CN"/>
              </w:rPr>
              <w:t>下浮率</w:t>
            </w:r>
            <w:r>
              <w:rPr>
                <w:rFonts w:hint="eastAsia" w:ascii="宋体" w:hAnsi="宋体"/>
                <w:sz w:val="24"/>
              </w:rPr>
              <w:t>）</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272" w:type="dxa"/>
            <w:noWrap w:val="0"/>
            <w:vAlign w:val="center"/>
          </w:tcPr>
          <w:p>
            <w:pPr>
              <w:spacing w:line="360" w:lineRule="auto"/>
              <w:jc w:val="center"/>
              <w:rPr>
                <w:rFonts w:hint="eastAsia" w:ascii="宋体" w:hAnsi="宋体" w:eastAsia="宋体"/>
                <w:sz w:val="24"/>
                <w:lang w:val="en-US" w:eastAsia="zh-CN"/>
              </w:rPr>
            </w:pPr>
            <w:r>
              <w:rPr>
                <w:rFonts w:hint="eastAsia" w:ascii="宋体" w:hAnsi="宋体"/>
                <w:sz w:val="24"/>
                <w:lang w:val="en-US" w:eastAsia="zh-CN"/>
              </w:rPr>
              <w:t>1</w:t>
            </w:r>
          </w:p>
        </w:tc>
        <w:tc>
          <w:tcPr>
            <w:tcW w:w="3996" w:type="dxa"/>
            <w:noWrap w:val="0"/>
            <w:vAlign w:val="center"/>
          </w:tcPr>
          <w:p>
            <w:pPr>
              <w:spacing w:line="360" w:lineRule="auto"/>
              <w:jc w:val="center"/>
              <w:rPr>
                <w:rFonts w:hint="eastAsia" w:ascii="宋体" w:hAnsi="宋体" w:eastAsia="宋体"/>
                <w:sz w:val="24"/>
                <w:lang w:eastAsia="zh-CN"/>
              </w:rPr>
            </w:pPr>
          </w:p>
        </w:tc>
        <w:tc>
          <w:tcPr>
            <w:tcW w:w="3476" w:type="dxa"/>
            <w:noWrap w:val="0"/>
            <w:vAlign w:val="center"/>
          </w:tcPr>
          <w:p>
            <w:pPr>
              <w:spacing w:line="360" w:lineRule="auto"/>
              <w:jc w:val="center"/>
              <w:rPr>
                <w:rFonts w:hint="eastAsia" w:ascii="宋体" w:hAnsi="宋体" w:eastAsia="宋体"/>
                <w:sz w:val="24"/>
                <w:lang w:val="en-US" w:eastAsia="zh-CN"/>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4"/>
            <w:noWrap w:val="0"/>
            <w:vAlign w:val="center"/>
          </w:tcPr>
          <w:p>
            <w:pPr>
              <w:spacing w:line="360" w:lineRule="auto"/>
              <w:jc w:val="both"/>
              <w:rPr>
                <w:rFonts w:hint="eastAsia" w:ascii="宋体" w:hAnsi="宋体"/>
                <w:sz w:val="24"/>
              </w:rPr>
            </w:pPr>
            <w:r>
              <w:rPr>
                <w:rFonts w:hint="eastAsia" w:ascii="宋体" w:hAnsi="宋体"/>
                <w:sz w:val="24"/>
              </w:rPr>
              <w:t>投标总价（</w:t>
            </w:r>
            <w:r>
              <w:rPr>
                <w:rFonts w:hint="eastAsia" w:ascii="宋体" w:hAnsi="宋体"/>
                <w:sz w:val="24"/>
                <w:lang w:eastAsia="zh-CN"/>
              </w:rPr>
              <w:t>下浮率</w:t>
            </w:r>
            <w:r>
              <w:rPr>
                <w:rFonts w:hint="eastAsia" w:ascii="宋体" w:hAnsi="宋体"/>
                <w:sz w:val="24"/>
              </w:rPr>
              <w:t>）：</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8"/>
        <w:ind w:left="0" w:leftChars="0" w:firstLine="0" w:firstLineChars="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注：1.</w:t>
      </w:r>
      <w:r>
        <w:rPr>
          <w:rFonts w:hint="eastAsia" w:ascii="宋体" w:hAnsi="宋体" w:cs="宋体"/>
          <w:color w:val="FF0000"/>
          <w:spacing w:val="10"/>
          <w:kern w:val="2"/>
          <w:sz w:val="24"/>
          <w:szCs w:val="24"/>
          <w:u w:val="none"/>
          <w:lang w:val="en-US" w:eastAsia="zh-CN" w:bidi="ar-SA"/>
        </w:rPr>
        <w:t>投标报价根据国家计委《工程造价及工程审计服务收费管理暂行办法》（计价格[2002]1980号）和国家发改委《国家发展改革委办公厅关于工程造价及工程审计服务费有关问题的通知》（发改办价格[2003]857号）文件的有关规定报下浮率</w:t>
      </w:r>
      <w:r>
        <w:rPr>
          <w:rFonts w:hint="eastAsia" w:ascii="宋体" w:hAnsi="宋体" w:cs="宋体"/>
          <w:spacing w:val="10"/>
          <w:kern w:val="2"/>
          <w:sz w:val="24"/>
          <w:szCs w:val="24"/>
          <w:u w:val="none"/>
          <w:lang w:val="en-US" w:eastAsia="zh-CN" w:bidi="ar-SA"/>
        </w:rPr>
        <w:t>。</w:t>
      </w:r>
      <w:r>
        <w:rPr>
          <w:rFonts w:hint="eastAsia" w:ascii="宋体" w:hAnsi="宋体" w:eastAsia="宋体" w:cs="宋体"/>
          <w:spacing w:val="10"/>
          <w:kern w:val="2"/>
          <w:sz w:val="24"/>
          <w:szCs w:val="24"/>
          <w:u w:val="none"/>
          <w:lang w:val="en-US" w:eastAsia="zh-CN" w:bidi="ar-SA"/>
        </w:rPr>
        <w:t>报价应是最终用户验收合格后的总价，包括招标文件规定、要求和涵盖的全部费用。</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8"/>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8"/>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2"/>
      </w:pPr>
    </w:p>
    <w:p>
      <w:pPr>
        <w:pStyle w:val="4"/>
        <w:spacing w:before="0" w:after="100" w:afterAutospacing="1"/>
        <w:rPr>
          <w:rFonts w:ascii="宋体" w:hAnsi="宋体" w:cs="宋体"/>
          <w:spacing w:val="10"/>
        </w:rPr>
      </w:pPr>
      <w:bookmarkStart w:id="245" w:name="_Toc11092"/>
      <w:bookmarkStart w:id="246" w:name="_Toc9716"/>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593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lang w:eastAsia="zh-CN"/>
              </w:rPr>
              <w:t>项目</w:t>
            </w:r>
            <w:r>
              <w:rPr>
                <w:rFonts w:hint="eastAsia" w:ascii="宋体" w:hAnsi="宋体"/>
                <w:sz w:val="24"/>
              </w:rPr>
              <w:t>名称</w:t>
            </w:r>
          </w:p>
        </w:tc>
        <w:tc>
          <w:tcPr>
            <w:tcW w:w="5936" w:type="dxa"/>
            <w:noWrap w:val="0"/>
            <w:vAlign w:val="center"/>
          </w:tcPr>
          <w:p>
            <w:pPr>
              <w:jc w:val="center"/>
              <w:rPr>
                <w:rFonts w:hint="eastAsia" w:ascii="宋体" w:hAnsi="Times New Roman" w:eastAsia="宋体"/>
                <w:sz w:val="24"/>
                <w:lang w:eastAsia="zh-CN"/>
              </w:rPr>
            </w:pPr>
            <w:r>
              <w:rPr>
                <w:rFonts w:hint="eastAsia" w:ascii="宋体"/>
                <w:sz w:val="24"/>
                <w:lang w:eastAsia="zh-CN"/>
              </w:rPr>
              <w:t>下浮率</w:t>
            </w:r>
          </w:p>
        </w:tc>
        <w:tc>
          <w:tcPr>
            <w:tcW w:w="843" w:type="dxa"/>
            <w:noWrap w:val="0"/>
            <w:vAlign w:val="center"/>
          </w:tcPr>
          <w:p>
            <w:pPr>
              <w:jc w:val="center"/>
              <w:rPr>
                <w:rFonts w:ascii="宋体" w:hAnsi="Times New Roman"/>
                <w:sz w:val="24"/>
              </w:rPr>
            </w:pP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593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593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3"/>
            <w:noWrap w:val="0"/>
            <w:vAlign w:val="center"/>
          </w:tcPr>
          <w:p>
            <w:pPr>
              <w:jc w:val="left"/>
              <w:rPr>
                <w:rFonts w:hint="eastAsia" w:ascii="宋体" w:hAnsi="Times New Roman"/>
                <w:sz w:val="24"/>
              </w:rPr>
            </w:pP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4" w:type="first"/>
          <w:headerReference r:id="rId13"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47" w:name="_Toc15259"/>
      <w:bookmarkStart w:id="248" w:name="_Toc1549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49" w:name="_Toc13727"/>
      <w:bookmarkStart w:id="250" w:name="_Toc8038"/>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1"/>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1" w:name="_Toc258923313"/>
      <w:bookmarkStart w:id="252" w:name="_Toc5303"/>
      <w:bookmarkStart w:id="253" w:name="_Toc25387"/>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4" w:name="_Toc258923314"/>
      <w:bookmarkStart w:id="255" w:name="_Toc4829"/>
      <w:bookmarkStart w:id="256" w:name="_Toc2440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19"/>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color w:val="FF0000"/>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color w:val="FF0000"/>
          <w:sz w:val="24"/>
          <w:szCs w:val="32"/>
          <w:shd w:val="clear" w:color="auto" w:fill="FFFFFF"/>
        </w:rPr>
        <w:t>：</w:t>
      </w:r>
      <w:r>
        <w:rPr>
          <w:rFonts w:hint="eastAsia" w:ascii="宋体" w:hAnsi="宋体" w:cs="宋体"/>
          <w:color w:val="FF0000"/>
          <w:sz w:val="24"/>
          <w:szCs w:val="32"/>
          <w:shd w:val="clear" w:color="auto" w:fill="FFFFFF"/>
          <w:lang w:val="en-US" w:eastAsia="zh-CN"/>
        </w:rPr>
        <w:t>1.</w:t>
      </w:r>
      <w:r>
        <w:rPr>
          <w:rFonts w:hint="eastAsia" w:ascii="宋体" w:hAnsi="宋体" w:cs="宋体"/>
          <w:color w:val="FF0000"/>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color w:val="FF0000"/>
          <w:sz w:val="24"/>
          <w:szCs w:val="32"/>
          <w:shd w:val="clear" w:color="auto" w:fill="FFFFFF"/>
        </w:rPr>
      </w:pPr>
      <w:r>
        <w:rPr>
          <w:rFonts w:hint="eastAsia" w:ascii="宋体" w:hAnsi="宋体" w:cs="宋体"/>
          <w:color w:val="FF0000"/>
          <w:sz w:val="24"/>
          <w:szCs w:val="32"/>
          <w:shd w:val="clear" w:color="auto" w:fill="FFFFFF"/>
        </w:rPr>
        <w:t>料。</w:t>
      </w:r>
    </w:p>
    <w:p>
      <w:pPr>
        <w:pStyle w:val="28"/>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8"/>
        <w:rPr>
          <w:rFonts w:hint="eastAsia" w:eastAsia="宋体"/>
          <w:lang w:val="en-US" w:eastAsia="zh-CN"/>
        </w:rPr>
      </w:pPr>
    </w:p>
    <w:p>
      <w:pPr>
        <w:pStyle w:val="19"/>
        <w:spacing w:line="360" w:lineRule="auto"/>
        <w:ind w:firstLine="480"/>
        <w:rPr>
          <w:rFonts w:hAnsi="宋体" w:cs="宋体"/>
          <w:sz w:val="24"/>
          <w:szCs w:val="24"/>
          <w:shd w:val="clear" w:color="auto" w:fill="FFFFFF"/>
        </w:rPr>
      </w:pPr>
    </w:p>
    <w:p>
      <w:pPr>
        <w:pStyle w:val="19"/>
        <w:spacing w:line="360" w:lineRule="auto"/>
        <w:ind w:firstLine="480"/>
        <w:rPr>
          <w:rFonts w:hAnsi="宋体" w:cs="宋体"/>
          <w:sz w:val="24"/>
          <w:szCs w:val="24"/>
          <w:shd w:val="clear" w:color="auto" w:fill="FFFFFF"/>
        </w:rPr>
      </w:pPr>
    </w:p>
    <w:p>
      <w:pPr>
        <w:pStyle w:val="19"/>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58" w:name="_Toc456166280"/>
      <w:bookmarkStart w:id="259" w:name="_Toc433806381"/>
      <w:bookmarkStart w:id="260" w:name="_Toc32144"/>
      <w:bookmarkStart w:id="261" w:name="_Toc11978"/>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16308"/>
      <w:bookmarkStart w:id="263" w:name="_Toc20408"/>
      <w:bookmarkStart w:id="264" w:name="_Toc15673"/>
      <w:bookmarkStart w:id="265" w:name="_Toc15095"/>
      <w:bookmarkStart w:id="266" w:name="_Toc9735"/>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sz w:val="24"/>
          <w:szCs w:val="24"/>
          <w:lang w:eastAsia="zh-CN"/>
        </w:rPr>
      </w:pPr>
      <w:bookmarkStart w:id="267" w:name="_Toc19846"/>
      <w:bookmarkStart w:id="268" w:name="_Toc9385"/>
      <w:bookmarkStart w:id="269" w:name="_Toc408"/>
      <w:bookmarkStart w:id="270" w:name="_Toc7530"/>
      <w:bookmarkStart w:id="271" w:name="_Toc1997"/>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sz w:val="24"/>
          <w:szCs w:val="24"/>
        </w:rPr>
      </w:pPr>
    </w:p>
    <w:p>
      <w:pPr>
        <w:pStyle w:val="19"/>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5"/>
          <w:rFonts w:hint="eastAsia" w:ascii="宋体" w:hAnsi="宋体" w:eastAsia="宋体" w:cs="宋体"/>
          <w:color w:val="auto"/>
          <w:sz w:val="24"/>
          <w:szCs w:val="24"/>
        </w:rPr>
        <w:br w:type="textWrapping"/>
      </w:r>
      <w:r>
        <w:rPr>
          <w:rStyle w:val="215"/>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2"/>
      </w:pPr>
    </w:p>
    <w:p>
      <w:pPr>
        <w:pStyle w:val="3"/>
        <w:numPr>
          <w:ilvl w:val="0"/>
          <w:numId w:val="0"/>
        </w:numPr>
        <w:jc w:val="both"/>
        <w:rPr>
          <w:rFonts w:hint="eastAsia" w:ascii="宋体" w:hAnsi="宋体" w:cs="宋体"/>
          <w:sz w:val="32"/>
          <w:szCs w:val="32"/>
          <w:lang w:val="en-US" w:eastAsia="zh-CN"/>
        </w:rPr>
      </w:pPr>
      <w:bookmarkStart w:id="273" w:name="_Toc14086"/>
      <w:bookmarkStart w:id="274" w:name="_Toc29602"/>
      <w:r>
        <w:rPr>
          <w:rFonts w:hint="eastAsia" w:ascii="宋体" w:hAnsi="宋体" w:cs="宋体"/>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75" w:name="_Toc13452"/>
      <w:bookmarkStart w:id="276" w:name="_Toc30081"/>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.服务</w:t>
      </w:r>
      <w:r>
        <w:rPr>
          <w:rFonts w:hint="eastAsia" w:ascii="宋体" w:hAnsi="宋体" w:cs="宋体"/>
          <w:sz w:val="32"/>
          <w:szCs w:val="32"/>
          <w:lang w:val="en-US" w:eastAsia="zh-CN"/>
        </w:rPr>
        <w:t>方案</w:t>
      </w:r>
      <w:r>
        <w:rPr>
          <w:rFonts w:hint="eastAsia" w:ascii="宋体" w:hAnsi="宋体" w:eastAsia="宋体" w:cs="宋体"/>
          <w:sz w:val="32"/>
          <w:szCs w:val="32"/>
          <w:lang w:val="en-US" w:eastAsia="zh-CN"/>
        </w:rPr>
        <w:t>（格式自拟）</w:t>
      </w:r>
      <w:bookmarkEnd w:id="275"/>
      <w:bookmarkEnd w:id="276"/>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pStyle w:val="28"/>
        <w:ind w:left="0" w:leftChars="0" w:firstLine="0" w:firstLineChars="0"/>
        <w:rPr>
          <w:rFonts w:hint="eastAsia"/>
        </w:rPr>
      </w:pPr>
      <w:bookmarkStart w:id="277" w:name="_Toc26527"/>
    </w:p>
    <w:p>
      <w:pPr>
        <w:rPr>
          <w:rFonts w:hint="eastAsia"/>
        </w:rPr>
      </w:pPr>
    </w:p>
    <w:p>
      <w:pPr>
        <w:pStyle w:val="3"/>
        <w:rPr>
          <w:rFonts w:hint="eastAsia" w:ascii="宋体" w:hAnsi="宋体" w:eastAsia="宋体" w:cs="宋体"/>
          <w:b/>
          <w:bCs/>
          <w:sz w:val="48"/>
          <w:szCs w:val="48"/>
          <w:lang w:val="en-US" w:eastAsia="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277"/>
      <w:r>
        <w:rPr>
          <w:rFonts w:hint="eastAsia" w:ascii="宋体" w:hAnsi="宋体" w:cs="宋体"/>
          <w:sz w:val="32"/>
          <w:szCs w:val="32"/>
          <w:lang w:val="en-US" w:eastAsia="zh-CN"/>
        </w:rPr>
        <w:t>(中标后双方协商拟定）</w:t>
      </w:r>
    </w:p>
    <w:p>
      <w:pPr>
        <w:jc w:val="center"/>
        <w:rPr>
          <w:rFonts w:hint="eastAsia" w:ascii="宋体" w:hAnsi="宋体"/>
          <w:b/>
          <w:color w:val="000000"/>
          <w:sz w:val="84"/>
          <w:szCs w:val="84"/>
        </w:rPr>
      </w:pPr>
    </w:p>
    <w:p>
      <w:pPr>
        <w:jc w:val="center"/>
        <w:rPr>
          <w:rFonts w:hint="eastAsia" w:ascii="宋体" w:hAnsi="宋体"/>
          <w:b/>
          <w:color w:val="000000"/>
          <w:sz w:val="84"/>
          <w:szCs w:val="84"/>
        </w:rPr>
      </w:pPr>
    </w:p>
    <w:p>
      <w:pPr>
        <w:jc w:val="center"/>
        <w:rPr>
          <w:rFonts w:ascii="宋体" w:hAnsi="宋体"/>
          <w:b/>
          <w:color w:val="000000"/>
          <w:sz w:val="84"/>
          <w:szCs w:val="84"/>
        </w:rPr>
      </w:pPr>
      <w:r>
        <w:rPr>
          <w:rFonts w:hint="eastAsia" w:ascii="宋体" w:hAnsi="宋体"/>
          <w:b/>
          <w:color w:val="000000"/>
          <w:sz w:val="84"/>
          <w:szCs w:val="84"/>
          <w:lang w:eastAsia="zh-CN"/>
        </w:rPr>
        <w:t>工程造价及工程审计</w:t>
      </w:r>
      <w:r>
        <w:rPr>
          <w:rFonts w:hint="eastAsia" w:ascii="宋体" w:hAnsi="宋体"/>
          <w:b/>
          <w:color w:val="000000"/>
          <w:sz w:val="84"/>
          <w:szCs w:val="84"/>
        </w:rPr>
        <w:t>合同</w:t>
      </w: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ind w:firstLine="1494" w:firstLineChars="496"/>
        <w:rPr>
          <w:rFonts w:ascii="宋体" w:hAnsi="宋体"/>
          <w:b/>
          <w:color w:val="000000"/>
          <w:sz w:val="30"/>
          <w:szCs w:val="30"/>
        </w:rPr>
      </w:pPr>
    </w:p>
    <w:p>
      <w:pPr>
        <w:rPr>
          <w:rFonts w:ascii="宋体" w:hAnsi="宋体"/>
          <w:color w:val="000000"/>
        </w:rPr>
      </w:pP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480" w:lineRule="auto"/>
        <w:textAlignment w:val="auto"/>
        <w:outlineLvl w:val="9"/>
        <w:rPr>
          <w:rFonts w:ascii="宋体" w:hAnsi="宋体"/>
          <w:b/>
          <w:color w:val="000000"/>
          <w:sz w:val="30"/>
          <w:szCs w:val="30"/>
        </w:rPr>
      </w:pPr>
    </w:p>
    <w:p>
      <w:pPr>
        <w:keepNext w:val="0"/>
        <w:keepLines w:val="0"/>
        <w:pageBreakBefore w:val="0"/>
        <w:widowControl w:val="0"/>
        <w:kinsoku/>
        <w:wordWrap/>
        <w:overflowPunct/>
        <w:topLinePunct w:val="0"/>
        <w:autoSpaceDE/>
        <w:autoSpaceDN/>
        <w:bidi w:val="0"/>
        <w:adjustRightInd/>
        <w:snapToGrid/>
        <w:spacing w:before="313" w:beforeLines="100" w:beforeAutospacing="0" w:after="100" w:afterAutospacing="1" w:line="480" w:lineRule="auto"/>
        <w:ind w:firstLine="1042" w:firstLineChars="346"/>
        <w:textAlignment w:val="auto"/>
        <w:outlineLvl w:val="9"/>
        <w:rPr>
          <w:rFonts w:hint="eastAsia" w:ascii="宋体" w:hAnsi="宋体"/>
          <w:sz w:val="30"/>
          <w:szCs w:val="30"/>
          <w:u w:val="single"/>
          <w:lang w:eastAsia="zh-CN"/>
        </w:rPr>
      </w:pPr>
      <w:r>
        <w:rPr>
          <w:rFonts w:hint="eastAsia" w:ascii="宋体" w:hAnsi="宋体"/>
          <w:b/>
          <w:color w:val="000000"/>
          <w:sz w:val="30"/>
          <w:szCs w:val="30"/>
        </w:rPr>
        <w:t>委托单位：</w:t>
      </w:r>
      <w:r>
        <w:rPr>
          <w:rFonts w:hint="eastAsia" w:ascii="宋体" w:hAnsi="宋体"/>
          <w:sz w:val="30"/>
          <w:szCs w:val="30"/>
          <w:u w:val="single"/>
          <w:lang w:eastAsia="zh-CN"/>
        </w:rPr>
        <w:t>甘肃省第二人民医院</w:t>
      </w:r>
    </w:p>
    <w:p>
      <w:pPr>
        <w:keepNext w:val="0"/>
        <w:keepLines w:val="0"/>
        <w:pageBreakBefore w:val="0"/>
        <w:widowControl w:val="0"/>
        <w:kinsoku/>
        <w:wordWrap/>
        <w:overflowPunct/>
        <w:topLinePunct w:val="0"/>
        <w:autoSpaceDE/>
        <w:autoSpaceDN/>
        <w:bidi w:val="0"/>
        <w:adjustRightInd/>
        <w:snapToGrid/>
        <w:spacing w:before="313" w:beforeLines="100" w:beforeAutospacing="0" w:after="100" w:afterAutospacing="1" w:line="480" w:lineRule="auto"/>
        <w:textAlignment w:val="auto"/>
        <w:outlineLvl w:val="9"/>
        <w:rPr>
          <w:rFonts w:hint="eastAsia" w:ascii="宋体" w:hAnsi="宋体"/>
          <w:b/>
          <w:color w:val="000000"/>
          <w:sz w:val="30"/>
          <w:szCs w:val="30"/>
        </w:rPr>
      </w:pPr>
      <w:r>
        <w:rPr>
          <w:rFonts w:hint="eastAsia" w:ascii="宋体" w:hAnsi="宋体"/>
          <w:b/>
          <w:color w:val="000000"/>
          <w:sz w:val="30"/>
          <w:szCs w:val="30"/>
        </w:rPr>
        <w:t xml:space="preserve">       代理机构：</w:t>
      </w:r>
    </w:p>
    <w:p>
      <w:pPr>
        <w:pStyle w:val="2"/>
        <w:rPr>
          <w:rFonts w:hint="eastAsia"/>
          <w:lang w:eastAsia="zh-CN"/>
        </w:rPr>
      </w:pPr>
    </w:p>
    <w:p>
      <w:pPr>
        <w:jc w:val="center"/>
        <w:rPr>
          <w:rFonts w:hint="eastAsia" w:ascii="宋体" w:hAnsi="宋体"/>
          <w:b/>
          <w:sz w:val="30"/>
          <w:szCs w:val="30"/>
        </w:rPr>
      </w:pPr>
    </w:p>
    <w:p>
      <w:pPr>
        <w:jc w:val="center"/>
        <w:rPr>
          <w:rFonts w:ascii="宋体" w:hAnsi="宋体"/>
          <w:b/>
          <w:sz w:val="30"/>
          <w:szCs w:val="30"/>
        </w:rPr>
      </w:pPr>
      <w:r>
        <w:rPr>
          <w:rFonts w:hint="eastAsia" w:ascii="宋体" w:hAnsi="宋体"/>
          <w:b/>
          <w:sz w:val="30"/>
          <w:szCs w:val="30"/>
        </w:rPr>
        <w:t>二</w:t>
      </w:r>
      <w:r>
        <w:rPr>
          <w:rFonts w:hint="eastAsia" w:ascii="宋体" w:hAnsi="宋体"/>
          <w:b/>
          <w:sz w:val="30"/>
          <w:szCs w:val="30"/>
          <w:lang w:eastAsia="zh-CN"/>
        </w:rPr>
        <w:t>〇二〇</w:t>
      </w:r>
      <w:r>
        <w:rPr>
          <w:rFonts w:hint="eastAsia" w:ascii="宋体" w:hAnsi="宋体"/>
          <w:b/>
          <w:sz w:val="30"/>
          <w:szCs w:val="30"/>
        </w:rPr>
        <w:t>年</w:t>
      </w:r>
      <w:r>
        <w:rPr>
          <w:rFonts w:hint="eastAsia" w:ascii="宋体" w:hAnsi="宋体"/>
          <w:b/>
          <w:sz w:val="30"/>
          <w:szCs w:val="30"/>
          <w:lang w:eastAsia="zh-CN"/>
        </w:rPr>
        <w:t>九</w:t>
      </w:r>
      <w:r>
        <w:rPr>
          <w:rFonts w:hint="eastAsia" w:ascii="宋体" w:hAnsi="宋体"/>
          <w:b/>
          <w:sz w:val="30"/>
          <w:szCs w:val="30"/>
        </w:rPr>
        <w:t>月</w:t>
      </w:r>
    </w:p>
    <w:p>
      <w:pPr>
        <w:jc w:val="center"/>
        <w:rPr>
          <w:rFonts w:ascii="宋体" w:hAnsi="宋体"/>
          <w:b/>
          <w:sz w:val="30"/>
          <w:szCs w:val="30"/>
        </w:rPr>
      </w:pPr>
    </w:p>
    <w:p>
      <w:pPr>
        <w:widowControl/>
        <w:jc w:val="left"/>
        <w:rPr>
          <w:rFonts w:ascii="宋体" w:hAnsi="宋体"/>
          <w:color w:val="000000"/>
        </w:rPr>
      </w:pPr>
    </w:p>
    <w:p>
      <w:pPr>
        <w:jc w:val="both"/>
        <w:rPr>
          <w:rFonts w:hint="eastAsia" w:ascii="宋体" w:hAnsi="宋体" w:cs="方正小标宋简体"/>
          <w:sz w:val="44"/>
          <w:szCs w:val="44"/>
        </w:rPr>
        <w:sectPr>
          <w:headerReference r:id="rId15" w:type="default"/>
          <w:footerReference r:id="rId16" w:type="even"/>
          <w:pgSz w:w="11906" w:h="16838"/>
          <w:pgMar w:top="1304" w:right="1440" w:bottom="1247" w:left="1417" w:header="851" w:footer="992" w:gutter="0"/>
          <w:pgNumType w:fmt="decimal"/>
          <w:cols w:space="720" w:num="1"/>
          <w:rtlGutter w:val="0"/>
          <w:docGrid w:type="lines" w:linePitch="312" w:charSpace="0"/>
        </w:sectPr>
      </w:pPr>
    </w:p>
    <w:p>
      <w:pPr>
        <w:jc w:val="center"/>
        <w:rPr>
          <w:rFonts w:hint="eastAsia" w:ascii="宋体" w:hAnsi="宋体" w:eastAsia="宋体" w:cs="宋体"/>
          <w:b/>
          <w:bCs/>
          <w:sz w:val="28"/>
          <w:szCs w:val="28"/>
        </w:rPr>
      </w:pPr>
      <w:r>
        <w:rPr>
          <w:rFonts w:hint="eastAsia" w:ascii="宋体" w:hAnsi="宋体" w:cs="宋体"/>
          <w:b/>
          <w:bCs/>
          <w:sz w:val="28"/>
          <w:szCs w:val="28"/>
          <w:lang w:eastAsia="zh-CN"/>
        </w:rPr>
        <w:t>工程造价及工程审计</w:t>
      </w:r>
      <w:r>
        <w:rPr>
          <w:rFonts w:hint="eastAsia" w:ascii="宋体" w:hAnsi="宋体" w:eastAsia="宋体" w:cs="宋体"/>
          <w:b/>
          <w:bCs/>
          <w:sz w:val="28"/>
          <w:szCs w:val="28"/>
        </w:rPr>
        <w:t>委托协议</w:t>
      </w:r>
    </w:p>
    <w:p>
      <w:pPr>
        <w:jc w:val="center"/>
        <w:rPr>
          <w:rFonts w:hint="eastAsia" w:ascii="宋体" w:hAnsi="宋体" w:eastAsia="宋体" w:cs="宋体"/>
          <w:sz w:val="28"/>
          <w:szCs w:val="28"/>
        </w:rPr>
      </w:pPr>
    </w:p>
    <w:p>
      <w:pPr>
        <w:rPr>
          <w:rFonts w:hint="eastAsia" w:ascii="宋体" w:hAnsi="宋体" w:eastAsia="宋体" w:cs="宋体"/>
          <w:b/>
          <w:bCs/>
          <w:sz w:val="28"/>
          <w:szCs w:val="28"/>
        </w:rPr>
      </w:pPr>
      <w:r>
        <w:rPr>
          <w:rFonts w:hint="eastAsia" w:ascii="宋体" w:hAnsi="宋体" w:eastAsia="宋体" w:cs="宋体"/>
          <w:b/>
          <w:bCs/>
          <w:sz w:val="28"/>
          <w:szCs w:val="28"/>
        </w:rPr>
        <w:t>甲方：</w:t>
      </w:r>
      <w:r>
        <w:rPr>
          <w:rFonts w:hint="eastAsia" w:ascii="宋体" w:hAnsi="宋体" w:eastAsia="宋体" w:cs="宋体"/>
          <w:sz w:val="28"/>
          <w:szCs w:val="28"/>
          <w:u w:val="single"/>
          <w:lang w:eastAsia="zh-CN"/>
        </w:rPr>
        <w:t>甘肃省第二人民医院</w:t>
      </w:r>
      <w:r>
        <w:rPr>
          <w:rFonts w:hint="eastAsia" w:ascii="宋体" w:hAnsi="宋体" w:eastAsia="宋体" w:cs="宋体"/>
          <w:b/>
          <w:bCs/>
          <w:sz w:val="28"/>
          <w:szCs w:val="28"/>
        </w:rPr>
        <w:t xml:space="preserve">  </w:t>
      </w:r>
    </w:p>
    <w:p>
      <w:pPr>
        <w:rPr>
          <w:rFonts w:hint="eastAsia" w:ascii="宋体" w:hAnsi="宋体" w:eastAsia="宋体" w:cs="宋体"/>
          <w:b/>
          <w:bCs/>
          <w:sz w:val="28"/>
          <w:szCs w:val="28"/>
        </w:rPr>
      </w:pPr>
      <w:r>
        <w:rPr>
          <w:rFonts w:hint="eastAsia" w:ascii="宋体" w:hAnsi="宋体" w:eastAsia="宋体" w:cs="宋体"/>
          <w:b/>
          <w:bCs/>
          <w:sz w:val="28"/>
          <w:szCs w:val="28"/>
        </w:rPr>
        <w:t>乙方：</w:t>
      </w:r>
      <w:r>
        <w:rPr>
          <w:rFonts w:hint="eastAsia" w:ascii="宋体" w:hAnsi="宋体" w:eastAsia="宋体" w:cs="宋体"/>
          <w:sz w:val="28"/>
          <w:szCs w:val="28"/>
          <w:u w:val="single"/>
        </w:rPr>
        <w:t xml:space="preserve"> </w:t>
      </w:r>
      <w:r>
        <w:rPr>
          <w:rFonts w:hint="eastAsia" w:ascii="宋体" w:hAnsi="宋体" w:cs="宋体"/>
          <w:sz w:val="28"/>
          <w:szCs w:val="28"/>
          <w:u w:val="single"/>
          <w:lang w:val="en-US" w:eastAsia="zh-CN"/>
        </w:rPr>
        <w:t xml:space="preserve">                   </w:t>
      </w:r>
      <w:r>
        <w:rPr>
          <w:rFonts w:hint="eastAsia" w:ascii="宋体" w:hAnsi="宋体" w:eastAsia="宋体" w:cs="宋体"/>
          <w:b/>
          <w:bCs/>
          <w:sz w:val="28"/>
          <w:szCs w:val="28"/>
        </w:rPr>
        <w:t xml:space="preserve">  </w:t>
      </w:r>
    </w:p>
    <w:p>
      <w:pPr>
        <w:rPr>
          <w:rFonts w:hint="eastAsia" w:ascii="宋体" w:hAnsi="宋体" w:eastAsia="宋体" w:cs="宋体"/>
          <w:sz w:val="28"/>
          <w:szCs w:val="28"/>
        </w:rPr>
      </w:pPr>
      <w:r>
        <w:rPr>
          <w:rFonts w:hint="eastAsia" w:ascii="宋体" w:hAnsi="宋体" w:eastAsia="宋体" w:cs="宋体"/>
          <w:sz w:val="28"/>
          <w:szCs w:val="28"/>
        </w:rPr>
        <w:t>（以下简称甲方和乙方）</w:t>
      </w:r>
    </w:p>
    <w:p>
      <w:pPr>
        <w:ind w:firstLine="600"/>
        <w:rPr>
          <w:rFonts w:hint="eastAsia" w:ascii="宋体" w:hAnsi="宋体" w:eastAsia="宋体" w:cs="宋体"/>
          <w:sz w:val="28"/>
          <w:szCs w:val="28"/>
        </w:rPr>
      </w:pPr>
      <w:r>
        <w:rPr>
          <w:rFonts w:hint="eastAsia" w:ascii="宋体" w:hAnsi="宋体" w:eastAsia="宋体" w:cs="宋体"/>
          <w:sz w:val="28"/>
          <w:szCs w:val="28"/>
        </w:rPr>
        <w:t>依据《中华人民共和国政府采购法》，甲乙双方本着互惠互利的原则，就项目的</w:t>
      </w:r>
      <w:r>
        <w:rPr>
          <w:rFonts w:hint="eastAsia" w:ascii="宋体" w:hAnsi="宋体" w:cs="宋体"/>
          <w:sz w:val="28"/>
          <w:szCs w:val="28"/>
          <w:lang w:eastAsia="zh-CN"/>
        </w:rPr>
        <w:t>工程造价及工程审计</w:t>
      </w:r>
      <w:r>
        <w:rPr>
          <w:rFonts w:hint="eastAsia" w:ascii="宋体" w:hAnsi="宋体" w:eastAsia="宋体" w:cs="宋体"/>
          <w:sz w:val="28"/>
          <w:szCs w:val="28"/>
        </w:rPr>
        <w:t>事宜达成如下协议：</w:t>
      </w:r>
    </w:p>
    <w:p>
      <w:pPr>
        <w:rPr>
          <w:rFonts w:hint="eastAsia" w:ascii="宋体" w:hAnsi="宋体" w:eastAsia="宋体" w:cs="宋体"/>
          <w:b/>
          <w:bCs/>
          <w:color w:val="auto"/>
          <w:sz w:val="28"/>
          <w:szCs w:val="28"/>
          <w:highlight w:val="none"/>
          <w:lang w:val="en-US" w:eastAsia="zh-CN"/>
        </w:rPr>
      </w:pPr>
      <w:r>
        <w:rPr>
          <w:rFonts w:hint="eastAsia" w:ascii="宋体" w:hAnsi="宋体" w:eastAsia="宋体" w:cs="宋体"/>
          <w:sz w:val="28"/>
          <w:szCs w:val="28"/>
        </w:rPr>
        <w:t xml:space="preserve"> </w:t>
      </w:r>
      <w:r>
        <w:rPr>
          <w:rFonts w:hint="eastAsia" w:ascii="宋体" w:hAnsi="宋体" w:cs="宋体"/>
          <w:sz w:val="28"/>
          <w:szCs w:val="28"/>
          <w:lang w:val="en-US" w:eastAsia="zh-CN"/>
        </w:rPr>
        <w:t xml:space="preserve">   </w:t>
      </w:r>
      <w:r>
        <w:rPr>
          <w:rFonts w:hint="eastAsia" w:ascii="宋体" w:hAnsi="宋体" w:eastAsia="宋体" w:cs="宋体"/>
          <w:b/>
          <w:bCs/>
          <w:color w:val="auto"/>
          <w:sz w:val="28"/>
          <w:szCs w:val="28"/>
          <w:highlight w:val="none"/>
          <w:lang w:val="en-US" w:eastAsia="zh-CN"/>
        </w:rPr>
        <w:t>一、委托项目基本情况</w:t>
      </w:r>
    </w:p>
    <w:p>
      <w:pPr>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rPr>
        <w:t>项目</w:t>
      </w:r>
      <w:r>
        <w:rPr>
          <w:rFonts w:hint="eastAsia" w:ascii="宋体" w:hAnsi="宋体" w:eastAsia="宋体" w:cs="宋体"/>
          <w:color w:val="auto"/>
          <w:sz w:val="28"/>
          <w:szCs w:val="28"/>
          <w:highlight w:val="none"/>
          <w:lang w:eastAsia="zh-CN"/>
        </w:rPr>
        <w:t>名称</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lang w:eastAsia="zh-CN"/>
        </w:rPr>
        <w:t>甘肃省第二人民医院</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eastAsia="zh-CN"/>
        </w:rPr>
        <w:t>项目</w:t>
      </w:r>
      <w:r>
        <w:rPr>
          <w:rFonts w:hint="eastAsia" w:ascii="宋体" w:hAnsi="宋体" w:eastAsia="宋体" w:cs="宋体"/>
          <w:color w:val="auto"/>
          <w:sz w:val="28"/>
          <w:szCs w:val="28"/>
          <w:highlight w:val="none"/>
        </w:rPr>
        <w:t xml:space="preserve"> </w:t>
      </w:r>
    </w:p>
    <w:p>
      <w:pPr>
        <w:ind w:firstLine="560" w:firstLineChars="200"/>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招标形式</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pPr>
        <w:ind w:firstLine="560" w:firstLineChars="200"/>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项目完成周期：</w:t>
      </w:r>
      <w:r>
        <w:rPr>
          <w:rFonts w:hint="eastAsia" w:ascii="宋体" w:hAnsi="宋体" w:eastAsia="宋体" w:cs="宋体"/>
          <w:color w:val="auto"/>
          <w:sz w:val="28"/>
          <w:szCs w:val="28"/>
          <w:highlight w:val="none"/>
          <w:lang w:eastAsia="zh-CN"/>
        </w:rPr>
        <w:t>自本合同签订后</w:t>
      </w:r>
      <w:r>
        <w:rPr>
          <w:rFonts w:hint="eastAsia" w:ascii="宋体" w:hAnsi="宋体" w:eastAsia="宋体" w:cs="宋体"/>
          <w:color w:val="auto"/>
          <w:sz w:val="28"/>
          <w:szCs w:val="28"/>
          <w:highlight w:val="none"/>
          <w:u w:val="single"/>
          <w:lang w:val="en-US" w:eastAsia="zh-CN"/>
        </w:rPr>
        <w:t>30日</w:t>
      </w:r>
      <w:r>
        <w:rPr>
          <w:rFonts w:hint="eastAsia" w:ascii="宋体" w:hAnsi="宋体" w:eastAsia="宋体" w:cs="宋体"/>
          <w:color w:val="auto"/>
          <w:sz w:val="28"/>
          <w:szCs w:val="28"/>
          <w:highlight w:val="none"/>
          <w:lang w:val="en-US" w:eastAsia="zh-CN"/>
        </w:rPr>
        <w:t>内完成</w:t>
      </w:r>
    </w:p>
    <w:p>
      <w:pPr>
        <w:numPr>
          <w:ilvl w:val="0"/>
          <w:numId w:val="0"/>
        </w:num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en-US" w:eastAsia="zh-CN"/>
        </w:rPr>
        <w:t xml:space="preserve"> 二、甲方委托乙方的具体事项</w:t>
      </w:r>
    </w:p>
    <w:p>
      <w:pPr>
        <w:numPr>
          <w:ilvl w:val="0"/>
          <w:numId w:val="0"/>
        </w:num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1.起草政府采购公告；</w:t>
      </w:r>
    </w:p>
    <w:p>
      <w:pPr>
        <w:numPr>
          <w:ilvl w:val="0"/>
          <w:numId w:val="0"/>
        </w:num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2.编制和发售招标文件；</w:t>
      </w:r>
    </w:p>
    <w:p>
      <w:pPr>
        <w:numPr>
          <w:ilvl w:val="0"/>
          <w:numId w:val="0"/>
        </w:num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3.组织投标商现场踏勘、答疑、草拟答疑纪要；</w:t>
      </w:r>
    </w:p>
    <w:p>
      <w:pPr>
        <w:numPr>
          <w:ilvl w:val="0"/>
          <w:numId w:val="0"/>
        </w:num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4.依法组建评标委员会；</w:t>
      </w:r>
    </w:p>
    <w:p>
      <w:pPr>
        <w:numPr>
          <w:ilvl w:val="0"/>
          <w:numId w:val="0"/>
        </w:num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5.落实评审地点，主持评审活动，并做好评审记录；</w:t>
      </w:r>
    </w:p>
    <w:p>
      <w:pPr>
        <w:numPr>
          <w:ilvl w:val="0"/>
          <w:numId w:val="0"/>
        </w:num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6.组织开标、评标、定标会；</w:t>
      </w:r>
    </w:p>
    <w:p>
      <w:pPr>
        <w:numPr>
          <w:ilvl w:val="0"/>
          <w:numId w:val="0"/>
        </w:num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7.答复投标商的询问和质疑；</w:t>
      </w:r>
    </w:p>
    <w:p>
      <w:pPr>
        <w:numPr>
          <w:ilvl w:val="0"/>
          <w:numId w:val="0"/>
        </w:num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7.向中标商发中标通知书；</w:t>
      </w:r>
    </w:p>
    <w:p>
      <w:pPr>
        <w:numPr>
          <w:ilvl w:val="0"/>
          <w:numId w:val="0"/>
        </w:num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8.办理招标的备案手续和有关事项的公示手续等。</w:t>
      </w:r>
    </w:p>
    <w:p>
      <w:pPr>
        <w:numPr>
          <w:ilvl w:val="0"/>
          <w:numId w:val="0"/>
        </w:numPr>
        <w:ind w:firstLine="562" w:firstLineChars="20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三、代理服务费的收取与支付方式</w:t>
      </w:r>
    </w:p>
    <w:p>
      <w:pPr>
        <w:ind w:firstLine="64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乙方参照国家计委颁发的《</w:t>
      </w:r>
      <w:r>
        <w:rPr>
          <w:rFonts w:hint="eastAsia" w:ascii="宋体" w:hAnsi="宋体" w:cs="宋体"/>
          <w:color w:val="auto"/>
          <w:sz w:val="28"/>
          <w:szCs w:val="28"/>
          <w:highlight w:val="none"/>
          <w:lang w:eastAsia="zh-CN"/>
        </w:rPr>
        <w:t>工程造价及工程审计</w:t>
      </w:r>
      <w:r>
        <w:rPr>
          <w:rFonts w:hint="eastAsia" w:ascii="宋体" w:hAnsi="宋体" w:eastAsia="宋体" w:cs="宋体"/>
          <w:color w:val="auto"/>
          <w:sz w:val="28"/>
          <w:szCs w:val="28"/>
          <w:highlight w:val="none"/>
        </w:rPr>
        <w:t>服务收费管理暂行办法》（计价格[2002]1980号）和国家发改委《国家发展改革委办公厅关于</w:t>
      </w:r>
      <w:r>
        <w:rPr>
          <w:rFonts w:hint="eastAsia" w:ascii="宋体" w:hAnsi="宋体" w:cs="宋体"/>
          <w:color w:val="auto"/>
          <w:sz w:val="28"/>
          <w:szCs w:val="28"/>
          <w:highlight w:val="none"/>
          <w:lang w:eastAsia="zh-CN"/>
        </w:rPr>
        <w:t>工程造价及工程审计</w:t>
      </w:r>
      <w:r>
        <w:rPr>
          <w:rFonts w:hint="eastAsia" w:ascii="宋体" w:hAnsi="宋体" w:eastAsia="宋体" w:cs="宋体"/>
          <w:color w:val="auto"/>
          <w:sz w:val="28"/>
          <w:szCs w:val="28"/>
          <w:highlight w:val="none"/>
        </w:rPr>
        <w:t>服务费有关问题的通知》（发改办价格[2003]857号）文件的有关规定</w:t>
      </w:r>
      <w:r>
        <w:rPr>
          <w:rFonts w:hint="eastAsia" w:ascii="宋体" w:hAnsi="宋体" w:eastAsia="宋体" w:cs="宋体"/>
          <w:color w:val="auto"/>
          <w:sz w:val="28"/>
          <w:szCs w:val="28"/>
          <w:highlight w:val="none"/>
          <w:u w:val="single"/>
          <w:lang w:eastAsia="zh-CN"/>
        </w:rPr>
        <w:t>下浮</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w:t>
      </w:r>
      <w:r>
        <w:rPr>
          <w:rFonts w:hint="eastAsia" w:ascii="宋体" w:hAnsi="宋体" w:eastAsia="宋体" w:cs="宋体"/>
          <w:color w:val="auto"/>
          <w:sz w:val="28"/>
          <w:szCs w:val="28"/>
          <w:highlight w:val="none"/>
        </w:rPr>
        <w:t>向中标商收取</w:t>
      </w:r>
      <w:r>
        <w:rPr>
          <w:rFonts w:hint="eastAsia" w:ascii="宋体" w:hAnsi="宋体" w:cs="宋体"/>
          <w:color w:val="auto"/>
          <w:sz w:val="28"/>
          <w:szCs w:val="28"/>
          <w:highlight w:val="none"/>
          <w:lang w:eastAsia="zh-CN"/>
        </w:rPr>
        <w:t>工程造价及工程审计</w:t>
      </w:r>
      <w:r>
        <w:rPr>
          <w:rFonts w:hint="eastAsia" w:ascii="宋体" w:hAnsi="宋体" w:eastAsia="宋体" w:cs="宋体"/>
          <w:color w:val="auto"/>
          <w:sz w:val="28"/>
          <w:szCs w:val="28"/>
          <w:highlight w:val="none"/>
        </w:rPr>
        <w:t>服务费</w:t>
      </w:r>
      <w:r>
        <w:rPr>
          <w:rFonts w:hint="eastAsia" w:ascii="宋体" w:hAnsi="宋体" w:eastAsia="宋体" w:cs="宋体"/>
          <w:color w:val="auto"/>
          <w:sz w:val="28"/>
          <w:szCs w:val="28"/>
          <w:highlight w:val="none"/>
          <w:lang w:eastAsia="zh-CN"/>
        </w:rPr>
        <w:t>，收取方式由乙方和中标商协商确定。</w:t>
      </w:r>
    </w:p>
    <w:p>
      <w:pPr>
        <w:numPr>
          <w:ilvl w:val="0"/>
          <w:numId w:val="0"/>
        </w:numPr>
        <w:ind w:firstLine="562" w:firstLineChars="20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四、甲方的权利与义务</w:t>
      </w:r>
    </w:p>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1.甲方自愿委托乙方组织实施</w:t>
      </w:r>
      <w:r>
        <w:rPr>
          <w:rFonts w:hint="eastAsia" w:ascii="宋体" w:hAnsi="宋体" w:eastAsia="宋体" w:cs="宋体"/>
          <w:color w:val="auto"/>
          <w:sz w:val="28"/>
          <w:szCs w:val="28"/>
          <w:highlight w:val="none"/>
          <w:u w:val="single"/>
          <w:lang w:eastAsia="zh-CN"/>
        </w:rPr>
        <w:t>甘肃省第二人民医院新冠病区弱电信息化改造项目</w:t>
      </w:r>
      <w:r>
        <w:rPr>
          <w:rFonts w:hint="eastAsia" w:ascii="宋体" w:hAnsi="宋体" w:eastAsia="宋体" w:cs="宋体"/>
          <w:color w:val="auto"/>
          <w:sz w:val="28"/>
          <w:szCs w:val="28"/>
          <w:highlight w:val="none"/>
        </w:rPr>
        <w:t>的招标事宜，并应保证采购资金已落实到位；</w:t>
      </w:r>
    </w:p>
    <w:p>
      <w:pPr>
        <w:numPr>
          <w:ilvl w:val="0"/>
          <w:numId w:val="0"/>
        </w:numPr>
        <w:ind w:left="600" w:leftChars="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2.甲方有权审查乙方的各种资质证书；</w:t>
      </w:r>
    </w:p>
    <w:p>
      <w:pPr>
        <w:ind w:firstLine="600"/>
        <w:rPr>
          <w:rFonts w:hint="eastAsia" w:ascii="宋体" w:hAnsi="宋体" w:eastAsia="宋体" w:cs="宋体"/>
          <w:sz w:val="28"/>
          <w:szCs w:val="28"/>
        </w:rPr>
      </w:pP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甲方应配合乙方做好招标文件的编制及审定</w:t>
      </w:r>
      <w:r>
        <w:rPr>
          <w:rFonts w:hint="eastAsia" w:ascii="宋体" w:hAnsi="宋体" w:eastAsia="宋体" w:cs="宋体"/>
          <w:sz w:val="28"/>
          <w:szCs w:val="28"/>
        </w:rPr>
        <w:t>工作，并向乙方提供该项目招标文件编制时所需的技术参数、要求以及合同特殊条款等资料；</w:t>
      </w:r>
    </w:p>
    <w:p>
      <w:pPr>
        <w:ind w:firstLine="6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4.甲方有权对乙方组织的采购活动进行监督</w:t>
      </w:r>
      <w:r>
        <w:rPr>
          <w:rFonts w:hint="eastAsia" w:ascii="宋体" w:hAnsi="宋体" w:cs="宋体"/>
          <w:sz w:val="28"/>
          <w:szCs w:val="28"/>
          <w:lang w:val="en-US" w:eastAsia="zh-CN"/>
        </w:rPr>
        <w:t>,有权对不称职的人员或需要回避的人员有权更换</w:t>
      </w:r>
      <w:r>
        <w:rPr>
          <w:rFonts w:hint="eastAsia" w:ascii="宋体" w:hAnsi="宋体" w:eastAsia="宋体" w:cs="宋体"/>
          <w:sz w:val="28"/>
          <w:szCs w:val="28"/>
          <w:lang w:val="en-US" w:eastAsia="zh-CN"/>
        </w:rPr>
        <w:t>；</w:t>
      </w:r>
    </w:p>
    <w:p>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5</w:t>
      </w:r>
      <w:r>
        <w:rPr>
          <w:rFonts w:hint="eastAsia" w:ascii="宋体" w:hAnsi="宋体" w:eastAsia="宋体" w:cs="宋体"/>
          <w:sz w:val="28"/>
          <w:szCs w:val="28"/>
        </w:rPr>
        <w:t>.在评标过程中，甲方应对评标内容保密；</w:t>
      </w:r>
    </w:p>
    <w:p>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6</w:t>
      </w:r>
      <w:r>
        <w:rPr>
          <w:rFonts w:hint="eastAsia" w:ascii="宋体" w:hAnsi="宋体" w:eastAsia="宋体" w:cs="宋体"/>
          <w:sz w:val="28"/>
          <w:szCs w:val="28"/>
        </w:rPr>
        <w:t>.根据乙方发出的中标通知书，在规定的时间内委托乙方与中标商签订合同，所签订合同不得对乙方招标文件进行实质性修改；</w:t>
      </w:r>
    </w:p>
    <w:p>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7</w:t>
      </w:r>
      <w:r>
        <w:rPr>
          <w:rFonts w:hint="eastAsia" w:ascii="宋体" w:hAnsi="宋体" w:eastAsia="宋体" w:cs="宋体"/>
          <w:sz w:val="28"/>
          <w:szCs w:val="28"/>
        </w:rPr>
        <w:t>.甲方应该按照采购合同的约定，组织对采购项目的验收；</w:t>
      </w:r>
    </w:p>
    <w:p>
      <w:pPr>
        <w:ind w:firstLine="600"/>
        <w:rPr>
          <w:rFonts w:hint="eastAsia" w:ascii="宋体" w:hAnsi="宋体" w:eastAsia="宋体" w:cs="宋体"/>
          <w:sz w:val="28"/>
          <w:szCs w:val="28"/>
        </w:rPr>
      </w:pPr>
      <w:r>
        <w:rPr>
          <w:rFonts w:hint="eastAsia" w:ascii="宋体" w:hAnsi="宋体" w:eastAsia="宋体" w:cs="宋体"/>
          <w:sz w:val="28"/>
          <w:szCs w:val="28"/>
          <w:lang w:val="en-US" w:eastAsia="zh-CN"/>
        </w:rPr>
        <w:t>8</w:t>
      </w:r>
      <w:r>
        <w:rPr>
          <w:rFonts w:hint="eastAsia" w:ascii="宋体" w:hAnsi="宋体" w:eastAsia="宋体" w:cs="宋体"/>
          <w:sz w:val="28"/>
          <w:szCs w:val="28"/>
        </w:rPr>
        <w:t>.</w:t>
      </w:r>
      <w:r>
        <w:rPr>
          <w:rFonts w:hint="eastAsia" w:ascii="宋体" w:hAnsi="宋体" w:eastAsia="宋体" w:cs="宋体"/>
          <w:sz w:val="28"/>
          <w:szCs w:val="28"/>
          <w:lang w:eastAsia="zh-CN"/>
        </w:rPr>
        <w:t>甲方应严格遵守相关法律法规和各项政府采购制度</w:t>
      </w:r>
      <w:r>
        <w:rPr>
          <w:rFonts w:hint="eastAsia" w:ascii="宋体" w:hAnsi="宋体" w:eastAsia="宋体" w:cs="宋体"/>
          <w:sz w:val="28"/>
          <w:szCs w:val="28"/>
        </w:rPr>
        <w:t>。</w:t>
      </w:r>
    </w:p>
    <w:p>
      <w:pPr>
        <w:ind w:firstLine="600"/>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五</w:t>
      </w:r>
      <w:r>
        <w:rPr>
          <w:rFonts w:hint="eastAsia" w:ascii="宋体" w:hAnsi="宋体" w:eastAsia="宋体" w:cs="宋体"/>
          <w:b/>
          <w:bCs/>
          <w:sz w:val="28"/>
          <w:szCs w:val="28"/>
          <w:lang w:eastAsia="zh-CN"/>
        </w:rPr>
        <w:t>、</w:t>
      </w:r>
      <w:r>
        <w:rPr>
          <w:rFonts w:hint="eastAsia" w:ascii="宋体" w:hAnsi="宋体" w:eastAsia="宋体" w:cs="宋体"/>
          <w:b/>
          <w:bCs/>
          <w:sz w:val="28"/>
          <w:szCs w:val="28"/>
        </w:rPr>
        <w:t>乙方</w:t>
      </w:r>
      <w:r>
        <w:rPr>
          <w:rFonts w:hint="eastAsia" w:ascii="宋体" w:hAnsi="宋体" w:eastAsia="宋体" w:cs="宋体"/>
          <w:b/>
          <w:bCs/>
          <w:sz w:val="28"/>
          <w:szCs w:val="28"/>
          <w:lang w:eastAsia="zh-CN"/>
        </w:rPr>
        <w:t>的权利与义务</w:t>
      </w:r>
    </w:p>
    <w:p>
      <w:pPr>
        <w:ind w:firstLine="6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1.乙方有权按甲、乙双方达成的约定且依法收取中标商的</w:t>
      </w:r>
      <w:r>
        <w:rPr>
          <w:rFonts w:hint="eastAsia" w:ascii="宋体" w:hAnsi="宋体" w:cs="宋体"/>
          <w:b w:val="0"/>
          <w:bCs w:val="0"/>
          <w:sz w:val="28"/>
          <w:szCs w:val="28"/>
          <w:lang w:val="en-US" w:eastAsia="zh-CN"/>
        </w:rPr>
        <w:t>工程造价及工程审计</w:t>
      </w:r>
      <w:r>
        <w:rPr>
          <w:rFonts w:hint="eastAsia" w:ascii="宋体" w:hAnsi="宋体" w:eastAsia="宋体" w:cs="宋体"/>
          <w:b w:val="0"/>
          <w:bCs w:val="0"/>
          <w:sz w:val="28"/>
          <w:szCs w:val="28"/>
          <w:lang w:val="en-US" w:eastAsia="zh-CN"/>
        </w:rPr>
        <w:t>服务费；</w:t>
      </w:r>
    </w:p>
    <w:p>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2</w:t>
      </w:r>
      <w:r>
        <w:rPr>
          <w:rFonts w:hint="eastAsia" w:ascii="宋体" w:hAnsi="宋体" w:eastAsia="宋体" w:cs="宋体"/>
          <w:sz w:val="28"/>
          <w:szCs w:val="28"/>
        </w:rPr>
        <w:t>.负责采购项目的具体组织和实施工作，并在委托的范围内依法代理采购活动，满足</w:t>
      </w:r>
      <w:r>
        <w:rPr>
          <w:rFonts w:hint="eastAsia" w:ascii="宋体" w:hAnsi="宋体" w:eastAsia="宋体" w:cs="宋体"/>
          <w:sz w:val="28"/>
          <w:szCs w:val="28"/>
          <w:lang w:val="en-US" w:eastAsia="zh-CN"/>
        </w:rPr>
        <w:t>甲方</w:t>
      </w:r>
      <w:r>
        <w:rPr>
          <w:rFonts w:hint="eastAsia" w:ascii="宋体" w:hAnsi="宋体" w:eastAsia="宋体" w:cs="宋体"/>
          <w:sz w:val="28"/>
          <w:szCs w:val="28"/>
        </w:rPr>
        <w:t>的采购需求。应做到及时向甲方通报采购进度，保证采购的顺利实施；</w:t>
      </w:r>
    </w:p>
    <w:p>
      <w:pPr>
        <w:rPr>
          <w:rFonts w:hint="eastAsia" w:ascii="宋体" w:hAnsi="宋体" w:eastAsia="宋体" w:cs="宋体"/>
          <w:color w:val="auto"/>
          <w:sz w:val="28"/>
          <w:szCs w:val="28"/>
          <w:highlight w:val="none"/>
        </w:rPr>
      </w:pPr>
      <w:r>
        <w:rPr>
          <w:rFonts w:hint="eastAsia" w:ascii="宋体" w:hAnsi="宋体" w:eastAsia="宋体" w:cs="宋体"/>
          <w:sz w:val="28"/>
          <w:szCs w:val="28"/>
        </w:rPr>
        <w:t xml:space="preserve">   </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.负责招标文件的编制和解释工作</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但最终解释权归甲方</w:t>
      </w:r>
      <w:r>
        <w:rPr>
          <w:rFonts w:hint="eastAsia" w:ascii="宋体" w:hAnsi="宋体" w:eastAsia="宋体" w:cs="宋体"/>
          <w:color w:val="auto"/>
          <w:sz w:val="28"/>
          <w:szCs w:val="28"/>
          <w:highlight w:val="none"/>
        </w:rPr>
        <w:t>；</w:t>
      </w:r>
    </w:p>
    <w:p>
      <w:pPr>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.负责及时在采购监督管理部门指定媒体“甘肃政府采购网”上发布有关采购招标公告、中标结果等信息，负责发售招标文件；</w:t>
      </w:r>
      <w:r>
        <w:rPr>
          <w:rFonts w:hint="eastAsia" w:ascii="宋体" w:hAnsi="宋体" w:eastAsia="宋体" w:cs="宋体"/>
          <w:color w:val="auto"/>
          <w:sz w:val="28"/>
          <w:szCs w:val="28"/>
          <w:highlight w:val="none"/>
          <w:lang w:eastAsia="zh-CN"/>
        </w:rPr>
        <w:t>招标文件如需澄清和修改的，经甲方确认后，代表甲方予以澄清和修改，并通知投标单位；</w:t>
      </w:r>
    </w:p>
    <w:p>
      <w:pPr>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.评标专家由甲方派监察人员从甘肃省公共资源交易局专家库随机抽取三名或三名以上，乙方负责组织协调工作</w:t>
      </w:r>
      <w:r>
        <w:rPr>
          <w:rFonts w:hint="eastAsia" w:ascii="宋体" w:hAnsi="宋体" w:cs="宋体"/>
          <w:color w:val="auto"/>
          <w:sz w:val="28"/>
          <w:szCs w:val="28"/>
          <w:highlight w:val="none"/>
          <w:lang w:eastAsia="zh-CN"/>
        </w:rPr>
        <w:t>；</w:t>
      </w:r>
    </w:p>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.负责对投标商进行资格审查和接受投标文件</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组织和主持开标、评标活动，根据评标委员会的意见，编写评标报告；在评标过程中，应对评标内容保密</w:t>
      </w:r>
      <w:r>
        <w:rPr>
          <w:rFonts w:hint="eastAsia" w:ascii="宋体" w:hAnsi="宋体" w:cs="宋体"/>
          <w:color w:val="auto"/>
          <w:sz w:val="28"/>
          <w:szCs w:val="28"/>
          <w:highlight w:val="none"/>
          <w:lang w:eastAsia="zh-CN"/>
        </w:rPr>
        <w:t>，对全部招标资料的准确性负责</w:t>
      </w:r>
      <w:r>
        <w:rPr>
          <w:rFonts w:hint="eastAsia" w:ascii="宋体" w:hAnsi="宋体" w:eastAsia="宋体" w:cs="宋体"/>
          <w:color w:val="auto"/>
          <w:sz w:val="28"/>
          <w:szCs w:val="28"/>
          <w:highlight w:val="none"/>
        </w:rPr>
        <w:t>；</w:t>
      </w:r>
    </w:p>
    <w:p>
      <w:pPr>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7</w:t>
      </w:r>
      <w:r>
        <w:rPr>
          <w:rFonts w:hint="eastAsia" w:ascii="宋体" w:hAnsi="宋体" w:eastAsia="宋体" w:cs="宋体"/>
          <w:color w:val="auto"/>
          <w:sz w:val="28"/>
          <w:szCs w:val="28"/>
          <w:highlight w:val="none"/>
        </w:rPr>
        <w:t>.负责向中标单位发《中标通知书》</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负责及时将合同副本、招标文件、评标报告等整套招标资料送予甲方；</w:t>
      </w:r>
    </w:p>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8</w:t>
      </w:r>
      <w:r>
        <w:rPr>
          <w:rFonts w:hint="eastAsia" w:ascii="宋体" w:hAnsi="宋体" w:eastAsia="宋体" w:cs="宋体"/>
          <w:color w:val="auto"/>
          <w:sz w:val="28"/>
          <w:szCs w:val="28"/>
          <w:highlight w:val="none"/>
        </w:rPr>
        <w:t>. 负责及时答复投标商的质疑并配合采购监督管理部门处理供应商投诉调查；</w:t>
      </w:r>
    </w:p>
    <w:p>
      <w:pPr>
        <w:ind w:firstLine="6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9</w:t>
      </w:r>
      <w:r>
        <w:rPr>
          <w:rFonts w:hint="eastAsia" w:ascii="宋体" w:hAnsi="宋体" w:eastAsia="宋体" w:cs="宋体"/>
          <w:color w:val="auto"/>
          <w:sz w:val="28"/>
          <w:szCs w:val="28"/>
          <w:highlight w:val="none"/>
        </w:rPr>
        <w:t>.采购预算在1000万元以上的大型政府采购项目，应当邀请国家认可的质量检测机构或相关专业专家参加验收工作；</w:t>
      </w:r>
    </w:p>
    <w:p>
      <w:pPr>
        <w:ind w:firstLine="6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10.在评标工作结束后，乙方有中标商与甲方签订合同的义务；并将所有档案资料整理成卷送相关部门备案；</w:t>
      </w:r>
    </w:p>
    <w:p>
      <w:pPr>
        <w:ind w:firstLine="600"/>
        <w:rPr>
          <w:rFonts w:hint="eastAsia" w:ascii="宋体" w:hAnsi="宋体" w:cs="宋体"/>
          <w:color w:val="auto"/>
          <w:sz w:val="28"/>
          <w:szCs w:val="28"/>
          <w:highlight w:val="none"/>
          <w:lang w:eastAsia="zh-CN"/>
        </w:rPr>
      </w:pPr>
      <w:r>
        <w:rPr>
          <w:rFonts w:hint="eastAsia" w:ascii="宋体" w:hAnsi="宋体" w:eastAsia="宋体" w:cs="宋体"/>
          <w:color w:val="auto"/>
          <w:sz w:val="28"/>
          <w:szCs w:val="28"/>
          <w:highlight w:val="none"/>
          <w:lang w:val="en-US" w:eastAsia="zh-CN"/>
        </w:rPr>
        <w:t>11.乙方应满足甲方的合法、合理要求，</w:t>
      </w:r>
      <w:r>
        <w:rPr>
          <w:rFonts w:hint="eastAsia" w:ascii="宋体" w:hAnsi="宋体" w:eastAsia="宋体" w:cs="宋体"/>
          <w:color w:val="auto"/>
          <w:sz w:val="28"/>
          <w:szCs w:val="28"/>
          <w:highlight w:val="none"/>
          <w:lang w:eastAsia="zh-CN"/>
        </w:rPr>
        <w:t>严格遵守相关法律法规和各项政府采购制度</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eastAsia="zh-CN"/>
        </w:rPr>
        <w:t>如在代理招标过程中违反相关法律法规，甲方有权要求有权要求乙方及时更正，如不能及时更正，甲方有权解除合同并向代理公司追偿经济索赔及法律责任</w:t>
      </w:r>
    </w:p>
    <w:p>
      <w:pPr>
        <w:ind w:firstLine="600"/>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lang w:val="en-US" w:eastAsia="zh-CN"/>
        </w:rPr>
        <w:t>12.乙方不得接受与本合同工程建设项目中委托招标范围之内的相关的投标咨询业务</w:t>
      </w:r>
      <w:r>
        <w:rPr>
          <w:rFonts w:hint="eastAsia" w:ascii="宋体" w:hAnsi="宋体" w:cs="宋体"/>
          <w:color w:val="auto"/>
          <w:sz w:val="28"/>
          <w:szCs w:val="28"/>
          <w:highlight w:val="none"/>
          <w:lang w:eastAsia="zh-CN"/>
        </w:rPr>
        <w:t>。未经甲方同意，乙方不得分包或转让本合同的任何权利与义务。因乙方单方面的过失造成的经济损失，应当向甲方进行赔偿。</w:t>
      </w:r>
    </w:p>
    <w:p>
      <w:pPr>
        <w:ind w:firstLine="64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六</w:t>
      </w:r>
      <w:r>
        <w:rPr>
          <w:rFonts w:hint="eastAsia" w:ascii="宋体" w:hAnsi="宋体" w:eastAsia="宋体" w:cs="宋体"/>
          <w:b/>
          <w:bCs/>
          <w:color w:val="auto"/>
          <w:sz w:val="28"/>
          <w:szCs w:val="28"/>
          <w:highlight w:val="none"/>
        </w:rPr>
        <w:t>、招标时间及地点</w:t>
      </w:r>
    </w:p>
    <w:p>
      <w:pPr>
        <w:numPr>
          <w:ilvl w:val="0"/>
          <w:numId w:val="0"/>
        </w:numPr>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乙方进行初步确定后，报甲方最终确定。</w:t>
      </w:r>
    </w:p>
    <w:p>
      <w:pPr>
        <w:numPr>
          <w:ilvl w:val="0"/>
          <w:numId w:val="0"/>
        </w:numPr>
        <w:ind w:firstLine="562" w:firstLineChars="200"/>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七</w:t>
      </w:r>
      <w:r>
        <w:rPr>
          <w:rFonts w:hint="eastAsia" w:ascii="宋体" w:hAnsi="宋体" w:eastAsia="宋体" w:cs="宋体"/>
          <w:b/>
          <w:bCs/>
          <w:color w:val="auto"/>
          <w:sz w:val="28"/>
          <w:szCs w:val="28"/>
          <w:highlight w:val="none"/>
          <w:lang w:eastAsia="zh-CN"/>
        </w:rPr>
        <w:t>、违约责任</w:t>
      </w:r>
    </w:p>
    <w:p>
      <w:pPr>
        <w:numPr>
          <w:ilvl w:val="0"/>
          <w:numId w:val="0"/>
        </w:numPr>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甲、乙双方因违反上述约定，给对方或第三人造成损失的，由违约方承担责任。</w:t>
      </w:r>
    </w:p>
    <w:p>
      <w:pPr>
        <w:numPr>
          <w:ilvl w:val="0"/>
          <w:numId w:val="0"/>
        </w:numPr>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八、</w:t>
      </w:r>
      <w:r>
        <w:rPr>
          <w:rFonts w:hint="eastAsia" w:ascii="宋体" w:hAnsi="宋体" w:eastAsia="宋体" w:cs="宋体"/>
          <w:b/>
          <w:bCs/>
          <w:color w:val="auto"/>
          <w:sz w:val="28"/>
          <w:szCs w:val="28"/>
          <w:highlight w:val="none"/>
        </w:rPr>
        <w:t>争议的解决</w:t>
      </w:r>
    </w:p>
    <w:p>
      <w:pPr>
        <w:ind w:firstLine="6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在执行过程中若发生争议，甲乙双方应先通过友好协商解决，协商不成时，</w:t>
      </w:r>
      <w:r>
        <w:rPr>
          <w:rFonts w:hint="eastAsia" w:ascii="宋体" w:hAnsi="宋体" w:eastAsia="宋体" w:cs="宋体"/>
          <w:color w:val="auto"/>
          <w:sz w:val="28"/>
          <w:szCs w:val="28"/>
          <w:highlight w:val="none"/>
          <w:lang w:eastAsia="zh-CN"/>
        </w:rPr>
        <w:t>可</w:t>
      </w:r>
      <w:r>
        <w:rPr>
          <w:rFonts w:hint="eastAsia" w:ascii="宋体" w:hAnsi="宋体" w:eastAsia="宋体" w:cs="宋体"/>
          <w:color w:val="auto"/>
          <w:sz w:val="28"/>
          <w:szCs w:val="28"/>
          <w:highlight w:val="none"/>
        </w:rPr>
        <w:t>报相关行政管理部门解决</w:t>
      </w:r>
      <w:r>
        <w:rPr>
          <w:rFonts w:hint="eastAsia" w:ascii="宋体" w:hAnsi="宋体" w:eastAsia="宋体" w:cs="宋体"/>
          <w:color w:val="auto"/>
          <w:sz w:val="28"/>
          <w:szCs w:val="28"/>
          <w:highlight w:val="none"/>
          <w:lang w:eastAsia="zh-CN"/>
        </w:rPr>
        <w:t>，也可依法向甲方所在地人民法院起诉。</w:t>
      </w:r>
    </w:p>
    <w:p>
      <w:pPr>
        <w:ind w:firstLine="600"/>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九</w:t>
      </w:r>
      <w:r>
        <w:rPr>
          <w:rFonts w:hint="eastAsia" w:ascii="宋体" w:hAnsi="宋体" w:eastAsia="宋体" w:cs="宋体"/>
          <w:b/>
          <w:bCs/>
          <w:color w:val="auto"/>
          <w:sz w:val="28"/>
          <w:szCs w:val="28"/>
          <w:highlight w:val="none"/>
          <w:lang w:eastAsia="zh-CN"/>
        </w:rPr>
        <w:t>、其他</w:t>
      </w:r>
    </w:p>
    <w:p>
      <w:pPr>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rPr>
        <w:t>本协议未尽事宜，由双方协商解决。</w:t>
      </w:r>
    </w:p>
    <w:p>
      <w:pPr>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2.本协议自</w:t>
      </w:r>
      <w:r>
        <w:rPr>
          <w:rFonts w:hint="eastAsia" w:ascii="宋体" w:hAnsi="宋体" w:eastAsia="宋体" w:cs="宋体"/>
          <w:color w:val="auto"/>
          <w:sz w:val="28"/>
          <w:szCs w:val="28"/>
          <w:highlight w:val="none"/>
        </w:rPr>
        <w:t>甲、乙双方盖章</w:t>
      </w:r>
      <w:r>
        <w:rPr>
          <w:rFonts w:hint="eastAsia" w:ascii="宋体" w:hAnsi="宋体" w:eastAsia="宋体" w:cs="宋体"/>
          <w:color w:val="auto"/>
          <w:sz w:val="28"/>
          <w:szCs w:val="28"/>
          <w:highlight w:val="none"/>
          <w:lang w:eastAsia="zh-CN"/>
        </w:rPr>
        <w:t>及法定代表人（被授权人）签字</w:t>
      </w:r>
      <w:r>
        <w:rPr>
          <w:rFonts w:hint="eastAsia" w:ascii="宋体" w:hAnsi="宋体" w:eastAsia="宋体" w:cs="宋体"/>
          <w:color w:val="auto"/>
          <w:sz w:val="28"/>
          <w:szCs w:val="28"/>
          <w:highlight w:val="none"/>
        </w:rPr>
        <w:t>后生效。</w:t>
      </w:r>
    </w:p>
    <w:p>
      <w:pPr>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.该协议书一式四份，甲方执两份，乙方执两份，</w:t>
      </w:r>
    </w:p>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p>
    <w:p>
      <w:pPr>
        <w:pStyle w:val="2"/>
        <w:rPr>
          <w:rFonts w:hint="eastAsia" w:ascii="宋体" w:hAnsi="宋体" w:eastAsia="宋体" w:cs="宋体"/>
          <w:color w:val="auto"/>
          <w:sz w:val="28"/>
          <w:szCs w:val="28"/>
          <w:highlight w:val="none"/>
        </w:rPr>
      </w:pPr>
    </w:p>
    <w:p>
      <w:pPr>
        <w:pStyle w:val="2"/>
        <w:rPr>
          <w:rFonts w:hint="eastAsia" w:ascii="宋体" w:hAnsi="宋体" w:eastAsia="宋体" w:cs="宋体"/>
          <w:color w:val="auto"/>
          <w:sz w:val="28"/>
          <w:szCs w:val="28"/>
          <w:highlight w:val="none"/>
        </w:rPr>
      </w:pPr>
    </w:p>
    <w:p>
      <w:pPr>
        <w:pStyle w:val="2"/>
        <w:rPr>
          <w:rFonts w:hint="eastAsia" w:ascii="宋体" w:hAnsi="宋体" w:eastAsia="宋体" w:cs="宋体"/>
          <w:color w:val="auto"/>
          <w:sz w:val="28"/>
          <w:szCs w:val="28"/>
          <w:highlight w:val="none"/>
        </w:rPr>
      </w:pPr>
    </w:p>
    <w:p>
      <w:pPr>
        <w:pStyle w:val="2"/>
        <w:rPr>
          <w:rFonts w:hint="eastAsia" w:ascii="宋体" w:hAnsi="宋体" w:eastAsia="宋体" w:cs="宋体"/>
          <w:color w:val="auto"/>
          <w:sz w:val="28"/>
          <w:szCs w:val="28"/>
          <w:highlight w:val="none"/>
        </w:rPr>
      </w:pPr>
    </w:p>
    <w:p>
      <w:pPr>
        <w:pStyle w:val="2"/>
        <w:rPr>
          <w:rFonts w:hint="eastAsia" w:ascii="宋体" w:hAnsi="宋体" w:eastAsia="宋体" w:cs="宋体"/>
          <w:color w:val="auto"/>
          <w:sz w:val="28"/>
          <w:szCs w:val="28"/>
          <w:highlight w:val="none"/>
        </w:rPr>
      </w:pPr>
    </w:p>
    <w:p>
      <w:pPr>
        <w:pStyle w:val="2"/>
        <w:rPr>
          <w:rFonts w:hint="eastAsia" w:ascii="宋体" w:hAnsi="宋体" w:eastAsia="宋体" w:cs="宋体"/>
          <w:color w:val="auto"/>
          <w:sz w:val="28"/>
          <w:szCs w:val="28"/>
          <w:highlight w:val="none"/>
        </w:rPr>
      </w:pPr>
    </w:p>
    <w:p>
      <w:pPr>
        <w:pStyle w:val="2"/>
        <w:rPr>
          <w:rFonts w:hint="eastAsia" w:ascii="宋体" w:hAnsi="宋体" w:eastAsia="宋体" w:cs="宋体"/>
          <w:color w:val="auto"/>
          <w:sz w:val="28"/>
          <w:szCs w:val="28"/>
          <w:highlight w:val="none"/>
        </w:rPr>
      </w:pPr>
    </w:p>
    <w:p>
      <w:pPr>
        <w:pStyle w:val="2"/>
        <w:rPr>
          <w:rFonts w:hint="eastAsia" w:ascii="宋体" w:hAnsi="宋体" w:eastAsia="宋体" w:cs="宋体"/>
          <w:color w:val="auto"/>
          <w:sz w:val="28"/>
          <w:szCs w:val="28"/>
          <w:highlight w:val="none"/>
        </w:rPr>
      </w:pPr>
    </w:p>
    <w:p>
      <w:pPr>
        <w:pStyle w:val="2"/>
        <w:rPr>
          <w:rFonts w:hint="eastAsia" w:ascii="宋体" w:hAnsi="宋体" w:eastAsia="宋体" w:cs="宋体"/>
          <w:color w:val="auto"/>
          <w:sz w:val="28"/>
          <w:szCs w:val="28"/>
          <w:highlight w:val="none"/>
        </w:rPr>
      </w:pPr>
    </w:p>
    <w:tbl>
      <w:tblPr>
        <w:tblStyle w:val="35"/>
        <w:tblW w:w="10057" w:type="dxa"/>
        <w:tblInd w:w="-4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0"/>
        <w:gridCol w:w="5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44" w:hRule="atLeast"/>
        </w:trPr>
        <w:tc>
          <w:tcPr>
            <w:tcW w:w="4920" w:type="dxa"/>
            <w:noWrap w:val="0"/>
            <w:vAlign w:val="center"/>
          </w:tcPr>
          <w:p>
            <w:pPr>
              <w:spacing w:line="360" w:lineRule="auto"/>
              <w:rPr>
                <w:rFonts w:ascii="宋体" w:hAnsi="宋体"/>
                <w:color w:val="auto"/>
                <w:sz w:val="24"/>
                <w:highlight w:val="none"/>
              </w:rPr>
            </w:pPr>
            <w:r>
              <w:rPr>
                <w:rFonts w:hint="eastAsia" w:ascii="宋体" w:hAnsi="宋体"/>
                <w:color w:val="auto"/>
                <w:sz w:val="24"/>
                <w:highlight w:val="none"/>
              </w:rPr>
              <w:t xml:space="preserve">甲方（公章）：甘肃省第二人民医院 </w:t>
            </w:r>
          </w:p>
          <w:p>
            <w:pPr>
              <w:spacing w:line="360" w:lineRule="auto"/>
              <w:rPr>
                <w:rFonts w:ascii="宋体" w:hAnsi="宋体"/>
                <w:color w:val="auto"/>
                <w:sz w:val="24"/>
                <w:highlight w:val="none"/>
              </w:rPr>
            </w:pPr>
            <w:r>
              <w:rPr>
                <w:rFonts w:hint="eastAsia" w:ascii="宋体" w:hAnsi="宋体"/>
                <w:color w:val="auto"/>
                <w:sz w:val="24"/>
                <w:highlight w:val="none"/>
              </w:rPr>
              <w:t>地址：</w:t>
            </w:r>
            <w:r>
              <w:rPr>
                <w:rFonts w:hint="eastAsia" w:ascii="宋体" w:hAnsi="宋体" w:cs="宋体"/>
                <w:color w:val="auto"/>
                <w:kern w:val="0"/>
                <w:sz w:val="24"/>
                <w:szCs w:val="22"/>
                <w:highlight w:val="none"/>
              </w:rPr>
              <w:t>兰州市城关区和政西街1号</w:t>
            </w:r>
            <w:r>
              <w:rPr>
                <w:rFonts w:hint="eastAsia" w:ascii="宋体" w:hAnsi="宋体"/>
                <w:color w:val="auto"/>
                <w:sz w:val="24"/>
                <w:highlight w:val="none"/>
              </w:rPr>
              <w:t xml:space="preserve"> </w:t>
            </w:r>
          </w:p>
          <w:p>
            <w:pPr>
              <w:spacing w:line="360" w:lineRule="auto"/>
              <w:rPr>
                <w:rFonts w:ascii="宋体" w:hAnsi="宋体"/>
                <w:color w:val="auto"/>
                <w:sz w:val="24"/>
                <w:highlight w:val="none"/>
              </w:rPr>
            </w:pPr>
            <w:r>
              <w:rPr>
                <w:rFonts w:hint="eastAsia" w:ascii="宋体" w:hAnsi="宋体"/>
                <w:color w:val="auto"/>
                <w:sz w:val="24"/>
                <w:highlight w:val="none"/>
              </w:rPr>
              <w:t>电话:</w:t>
            </w:r>
            <w:r>
              <w:rPr>
                <w:rFonts w:hint="eastAsia" w:ascii="宋体" w:hAnsi="宋体" w:cs="宋体"/>
                <w:color w:val="auto"/>
                <w:kern w:val="0"/>
                <w:sz w:val="24"/>
                <w:szCs w:val="22"/>
                <w:highlight w:val="none"/>
              </w:rPr>
              <w:t>0931-4923487</w:t>
            </w:r>
          </w:p>
          <w:p>
            <w:pPr>
              <w:spacing w:line="360" w:lineRule="auto"/>
              <w:rPr>
                <w:rFonts w:ascii="宋体" w:hAnsi="宋体"/>
                <w:color w:val="auto"/>
                <w:sz w:val="24"/>
                <w:highlight w:val="none"/>
              </w:rPr>
            </w:pPr>
            <w:r>
              <w:rPr>
                <w:rFonts w:hint="eastAsia" w:ascii="宋体" w:hAnsi="宋体"/>
                <w:color w:val="auto"/>
                <w:sz w:val="24"/>
                <w:highlight w:val="none"/>
              </w:rPr>
              <w:t>邮编:</w:t>
            </w:r>
          </w:p>
        </w:tc>
        <w:tc>
          <w:tcPr>
            <w:tcW w:w="5137" w:type="dxa"/>
            <w:noWrap w:val="0"/>
            <w:vAlign w:val="center"/>
          </w:tcPr>
          <w:p>
            <w:pPr>
              <w:spacing w:line="360" w:lineRule="auto"/>
              <w:rPr>
                <w:rFonts w:hint="eastAsia" w:ascii="宋体" w:hAnsi="宋体" w:cs="宋体"/>
                <w:color w:val="auto"/>
                <w:kern w:val="0"/>
                <w:sz w:val="24"/>
                <w:szCs w:val="22"/>
                <w:highlight w:val="none"/>
              </w:rPr>
            </w:pPr>
            <w:r>
              <w:rPr>
                <w:rFonts w:hint="eastAsia" w:ascii="宋体" w:hAnsi="宋体"/>
                <w:color w:val="auto"/>
                <w:sz w:val="24"/>
                <w:highlight w:val="none"/>
              </w:rPr>
              <w:t>乙方（公章）：</w:t>
            </w:r>
            <w:r>
              <w:rPr>
                <w:rFonts w:hint="eastAsia" w:ascii="宋体" w:hAnsi="宋体" w:cs="宋体"/>
                <w:color w:val="auto"/>
                <w:kern w:val="0"/>
                <w:sz w:val="24"/>
                <w:szCs w:val="22"/>
                <w:highlight w:val="none"/>
              </w:rPr>
              <w:t xml:space="preserve"> </w:t>
            </w:r>
          </w:p>
          <w:p>
            <w:pPr>
              <w:spacing w:line="360" w:lineRule="auto"/>
              <w:rPr>
                <w:rFonts w:hint="eastAsia" w:ascii="宋体" w:hAnsi="宋体" w:cs="宋体"/>
                <w:color w:val="auto"/>
                <w:kern w:val="0"/>
                <w:sz w:val="24"/>
                <w:szCs w:val="22"/>
                <w:highlight w:val="none"/>
              </w:rPr>
            </w:pPr>
            <w:r>
              <w:rPr>
                <w:rFonts w:hint="eastAsia" w:ascii="宋体" w:hAnsi="宋体"/>
                <w:color w:val="auto"/>
                <w:sz w:val="24"/>
                <w:highlight w:val="none"/>
              </w:rPr>
              <w:t>地址：</w:t>
            </w:r>
            <w:r>
              <w:rPr>
                <w:rFonts w:hint="eastAsia" w:ascii="宋体" w:hAnsi="宋体" w:cs="宋体"/>
                <w:color w:val="auto"/>
                <w:kern w:val="0"/>
                <w:sz w:val="24"/>
                <w:szCs w:val="22"/>
                <w:highlight w:val="none"/>
              </w:rPr>
              <w:t xml:space="preserve">  </w:t>
            </w:r>
          </w:p>
          <w:p>
            <w:pPr>
              <w:spacing w:line="360" w:lineRule="auto"/>
              <w:rPr>
                <w:rFonts w:ascii="宋体" w:hAnsi="宋体"/>
                <w:color w:val="auto"/>
                <w:sz w:val="24"/>
                <w:highlight w:val="none"/>
              </w:rPr>
            </w:pPr>
            <w:r>
              <w:rPr>
                <w:rFonts w:hint="eastAsia" w:ascii="宋体" w:hAnsi="宋体"/>
                <w:color w:val="auto"/>
                <w:sz w:val="24"/>
                <w:highlight w:val="none"/>
              </w:rPr>
              <w:t>电话:</w:t>
            </w:r>
            <w:r>
              <w:rPr>
                <w:rFonts w:hint="eastAsia" w:ascii="宋体" w:hAnsi="宋体" w:cs="宋体"/>
                <w:color w:val="auto"/>
                <w:kern w:val="0"/>
                <w:sz w:val="24"/>
                <w:szCs w:val="22"/>
                <w:highlight w:val="none"/>
              </w:rPr>
              <w:t xml:space="preserve"> </w:t>
            </w:r>
          </w:p>
          <w:p>
            <w:pPr>
              <w:spacing w:line="360" w:lineRule="auto"/>
              <w:rPr>
                <w:rFonts w:ascii="宋体" w:hAnsi="宋体"/>
                <w:color w:val="auto"/>
                <w:sz w:val="24"/>
                <w:highlight w:val="none"/>
              </w:rPr>
            </w:pPr>
            <w:r>
              <w:rPr>
                <w:rFonts w:hint="eastAsia" w:ascii="宋体" w:hAnsi="宋体"/>
                <w:color w:val="auto"/>
                <w:sz w:val="24"/>
                <w:highlight w:val="none"/>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5" w:hRule="atLeast"/>
        </w:trPr>
        <w:tc>
          <w:tcPr>
            <w:tcW w:w="4920" w:type="dxa"/>
            <w:noWrap w:val="0"/>
            <w:vAlign w:val="center"/>
          </w:tcPr>
          <w:p>
            <w:pPr>
              <w:spacing w:line="360" w:lineRule="auto"/>
              <w:rPr>
                <w:rFonts w:hint="eastAsia" w:ascii="宋体" w:hAnsi="宋体"/>
                <w:color w:val="auto"/>
                <w:sz w:val="24"/>
                <w:highlight w:val="none"/>
              </w:rPr>
            </w:pPr>
            <w:r>
              <w:rPr>
                <w:rFonts w:hint="eastAsia" w:ascii="宋体" w:hAnsi="宋体"/>
                <w:color w:val="auto"/>
                <w:sz w:val="24"/>
                <w:highlight w:val="none"/>
              </w:rPr>
              <w:t>法定代表人：</w:t>
            </w:r>
          </w:p>
          <w:p>
            <w:pPr>
              <w:spacing w:line="360" w:lineRule="auto"/>
              <w:rPr>
                <w:rFonts w:hint="eastAsia" w:ascii="宋体" w:hAnsi="宋体"/>
                <w:color w:val="auto"/>
                <w:sz w:val="24"/>
                <w:highlight w:val="none"/>
              </w:rPr>
            </w:pPr>
          </w:p>
          <w:p>
            <w:pPr>
              <w:spacing w:line="360" w:lineRule="auto"/>
              <w:rPr>
                <w:rFonts w:ascii="宋体" w:hAnsi="宋体"/>
                <w:color w:val="auto"/>
                <w:sz w:val="24"/>
                <w:highlight w:val="none"/>
              </w:rPr>
            </w:pPr>
          </w:p>
          <w:p>
            <w:pPr>
              <w:pStyle w:val="2"/>
              <w:rPr>
                <w:color w:val="auto"/>
                <w:highlight w:val="none"/>
              </w:rPr>
            </w:pPr>
          </w:p>
          <w:p>
            <w:pPr>
              <w:spacing w:line="360" w:lineRule="auto"/>
              <w:rPr>
                <w:rFonts w:hint="eastAsia" w:ascii="宋体" w:hAnsi="宋体"/>
                <w:color w:val="auto"/>
                <w:sz w:val="24"/>
                <w:highlight w:val="none"/>
              </w:rPr>
            </w:pPr>
            <w:r>
              <w:rPr>
                <w:rFonts w:hint="eastAsia" w:ascii="宋体" w:hAnsi="宋体"/>
                <w:color w:val="auto"/>
                <w:sz w:val="24"/>
                <w:highlight w:val="none"/>
              </w:rPr>
              <w:t>签字日期:       年     月     日</w:t>
            </w:r>
          </w:p>
        </w:tc>
        <w:tc>
          <w:tcPr>
            <w:tcW w:w="5137" w:type="dxa"/>
            <w:noWrap w:val="0"/>
            <w:vAlign w:val="center"/>
          </w:tcPr>
          <w:p>
            <w:pPr>
              <w:tabs>
                <w:tab w:val="left" w:pos="377"/>
              </w:tabs>
              <w:spacing w:line="360" w:lineRule="auto"/>
              <w:rPr>
                <w:rFonts w:hint="eastAsia" w:ascii="宋体" w:hAnsi="宋体"/>
                <w:color w:val="auto"/>
                <w:sz w:val="24"/>
                <w:highlight w:val="none"/>
              </w:rPr>
            </w:pPr>
            <w:r>
              <w:rPr>
                <w:rFonts w:hint="eastAsia" w:ascii="宋体" w:hAnsi="宋体"/>
                <w:color w:val="auto"/>
                <w:sz w:val="24"/>
                <w:highlight w:val="none"/>
              </w:rPr>
              <w:t>法定代表人：</w:t>
            </w:r>
          </w:p>
          <w:p>
            <w:pPr>
              <w:tabs>
                <w:tab w:val="left" w:pos="377"/>
              </w:tabs>
              <w:spacing w:line="360" w:lineRule="auto"/>
              <w:rPr>
                <w:rFonts w:hint="eastAsia" w:ascii="宋体" w:hAnsi="宋体"/>
                <w:color w:val="auto"/>
                <w:sz w:val="24"/>
                <w:highlight w:val="none"/>
              </w:rPr>
            </w:pPr>
          </w:p>
          <w:p>
            <w:pPr>
              <w:tabs>
                <w:tab w:val="left" w:pos="377"/>
              </w:tabs>
              <w:spacing w:line="360" w:lineRule="auto"/>
              <w:rPr>
                <w:rFonts w:ascii="宋体" w:hAnsi="宋体"/>
                <w:color w:val="auto"/>
                <w:sz w:val="24"/>
                <w:highlight w:val="none"/>
              </w:rPr>
            </w:pPr>
          </w:p>
          <w:p>
            <w:pPr>
              <w:pStyle w:val="2"/>
              <w:rPr>
                <w:color w:val="auto"/>
                <w:highlight w:val="none"/>
              </w:rPr>
            </w:pPr>
          </w:p>
          <w:p>
            <w:pPr>
              <w:spacing w:line="360" w:lineRule="auto"/>
              <w:rPr>
                <w:rFonts w:hint="eastAsia" w:ascii="宋体" w:hAnsi="宋体"/>
                <w:color w:val="auto"/>
                <w:sz w:val="24"/>
                <w:highlight w:val="none"/>
              </w:rPr>
            </w:pPr>
            <w:r>
              <w:rPr>
                <w:rFonts w:hint="eastAsia" w:ascii="宋体" w:hAnsi="宋体"/>
                <w:color w:val="auto"/>
                <w:sz w:val="24"/>
                <w:highlight w:val="none"/>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1" w:hRule="atLeast"/>
        </w:trPr>
        <w:tc>
          <w:tcPr>
            <w:tcW w:w="4920" w:type="dxa"/>
            <w:noWrap w:val="0"/>
            <w:vAlign w:val="center"/>
          </w:tcPr>
          <w:p>
            <w:pPr>
              <w:spacing w:line="360" w:lineRule="auto"/>
              <w:rPr>
                <w:rFonts w:hint="eastAsia" w:ascii="宋体" w:hAnsi="宋体"/>
                <w:color w:val="auto"/>
                <w:sz w:val="24"/>
                <w:highlight w:val="none"/>
              </w:rPr>
            </w:pPr>
            <w:r>
              <w:rPr>
                <w:rFonts w:hint="eastAsia" w:ascii="宋体" w:hAnsi="宋体"/>
                <w:color w:val="auto"/>
                <w:sz w:val="24"/>
                <w:highlight w:val="none"/>
              </w:rPr>
              <w:t>委托代理人：</w:t>
            </w:r>
          </w:p>
          <w:p>
            <w:pPr>
              <w:spacing w:line="360" w:lineRule="auto"/>
              <w:rPr>
                <w:rFonts w:hint="eastAsia" w:ascii="宋体" w:hAnsi="宋体"/>
                <w:color w:val="auto"/>
                <w:sz w:val="24"/>
                <w:highlight w:val="none"/>
              </w:rPr>
            </w:pPr>
          </w:p>
          <w:p>
            <w:pPr>
              <w:spacing w:line="360" w:lineRule="auto"/>
              <w:rPr>
                <w:rFonts w:ascii="宋体" w:hAnsi="宋体"/>
                <w:color w:val="auto"/>
                <w:sz w:val="24"/>
                <w:highlight w:val="none"/>
              </w:rPr>
            </w:pPr>
          </w:p>
          <w:p>
            <w:pPr>
              <w:pStyle w:val="2"/>
              <w:rPr>
                <w:color w:val="auto"/>
                <w:highlight w:val="none"/>
              </w:rPr>
            </w:pPr>
          </w:p>
          <w:p>
            <w:pPr>
              <w:spacing w:line="360" w:lineRule="auto"/>
              <w:rPr>
                <w:rFonts w:hint="eastAsia" w:ascii="宋体" w:hAnsi="宋体"/>
                <w:color w:val="auto"/>
                <w:sz w:val="24"/>
                <w:highlight w:val="none"/>
              </w:rPr>
            </w:pPr>
            <w:r>
              <w:rPr>
                <w:rFonts w:hint="eastAsia" w:ascii="宋体" w:hAnsi="宋体"/>
                <w:color w:val="auto"/>
                <w:sz w:val="24"/>
                <w:highlight w:val="none"/>
              </w:rPr>
              <w:t>签字日期:       年     月     日</w:t>
            </w:r>
          </w:p>
        </w:tc>
        <w:tc>
          <w:tcPr>
            <w:tcW w:w="5137" w:type="dxa"/>
            <w:noWrap w:val="0"/>
            <w:vAlign w:val="center"/>
          </w:tcPr>
          <w:p>
            <w:pPr>
              <w:spacing w:line="360" w:lineRule="auto"/>
              <w:rPr>
                <w:rFonts w:hint="eastAsia" w:ascii="宋体" w:hAnsi="宋体"/>
                <w:color w:val="auto"/>
                <w:sz w:val="24"/>
                <w:highlight w:val="none"/>
              </w:rPr>
            </w:pPr>
            <w:r>
              <w:rPr>
                <w:rFonts w:hint="eastAsia" w:ascii="宋体" w:hAnsi="宋体"/>
                <w:color w:val="auto"/>
                <w:sz w:val="24"/>
                <w:highlight w:val="none"/>
              </w:rPr>
              <w:t>委托代理人：</w:t>
            </w:r>
          </w:p>
          <w:p>
            <w:pPr>
              <w:spacing w:line="360" w:lineRule="auto"/>
              <w:rPr>
                <w:rFonts w:hint="eastAsia" w:ascii="宋体" w:hAnsi="宋体"/>
                <w:color w:val="auto"/>
                <w:sz w:val="24"/>
                <w:highlight w:val="none"/>
              </w:rPr>
            </w:pPr>
          </w:p>
          <w:p>
            <w:pPr>
              <w:pStyle w:val="2"/>
              <w:rPr>
                <w:rFonts w:hint="eastAsia"/>
                <w:color w:val="auto"/>
                <w:highlight w:val="none"/>
              </w:rPr>
            </w:pPr>
          </w:p>
          <w:p>
            <w:pPr>
              <w:spacing w:line="360" w:lineRule="auto"/>
              <w:rPr>
                <w:rFonts w:ascii="宋体" w:hAnsi="宋体"/>
                <w:color w:val="auto"/>
                <w:sz w:val="24"/>
                <w:highlight w:val="none"/>
              </w:rPr>
            </w:pPr>
          </w:p>
          <w:p>
            <w:pPr>
              <w:spacing w:line="360" w:lineRule="auto"/>
              <w:rPr>
                <w:rFonts w:hint="eastAsia" w:ascii="宋体" w:hAnsi="宋体"/>
                <w:color w:val="auto"/>
                <w:sz w:val="24"/>
                <w:highlight w:val="none"/>
              </w:rPr>
            </w:pPr>
            <w:r>
              <w:rPr>
                <w:rFonts w:hint="eastAsia" w:ascii="宋体" w:hAnsi="宋体"/>
                <w:color w:val="auto"/>
                <w:sz w:val="24"/>
                <w:highlight w:val="none"/>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0" w:hRule="atLeast"/>
        </w:trPr>
        <w:tc>
          <w:tcPr>
            <w:tcW w:w="4920" w:type="dxa"/>
            <w:noWrap w:val="0"/>
            <w:vAlign w:val="center"/>
          </w:tcPr>
          <w:p>
            <w:pPr>
              <w:spacing w:line="360" w:lineRule="auto"/>
              <w:rPr>
                <w:rFonts w:hint="eastAsia" w:ascii="宋体" w:hAnsi="宋体"/>
                <w:color w:val="auto"/>
                <w:sz w:val="24"/>
                <w:highlight w:val="none"/>
              </w:rPr>
            </w:pPr>
            <w:r>
              <w:rPr>
                <w:rFonts w:hint="eastAsia" w:ascii="宋体" w:hAnsi="宋体"/>
                <w:color w:val="auto"/>
                <w:sz w:val="24"/>
                <w:highlight w:val="none"/>
              </w:rPr>
              <w:t>经 办 人:</w:t>
            </w:r>
          </w:p>
          <w:p>
            <w:pPr>
              <w:spacing w:line="360" w:lineRule="auto"/>
              <w:rPr>
                <w:rFonts w:hint="eastAsia" w:ascii="宋体" w:hAnsi="宋体"/>
                <w:color w:val="auto"/>
                <w:sz w:val="24"/>
                <w:highlight w:val="none"/>
              </w:rPr>
            </w:pPr>
          </w:p>
          <w:p>
            <w:pPr>
              <w:pStyle w:val="2"/>
              <w:rPr>
                <w:rFonts w:hint="eastAsia"/>
                <w:color w:val="auto"/>
                <w:highlight w:val="none"/>
              </w:rPr>
            </w:pPr>
          </w:p>
          <w:p>
            <w:pPr>
              <w:spacing w:line="360" w:lineRule="auto"/>
              <w:rPr>
                <w:rFonts w:ascii="宋体" w:hAnsi="宋体"/>
                <w:color w:val="auto"/>
                <w:sz w:val="24"/>
                <w:highlight w:val="none"/>
              </w:rPr>
            </w:pPr>
          </w:p>
          <w:p>
            <w:pPr>
              <w:spacing w:line="360" w:lineRule="auto"/>
              <w:rPr>
                <w:rFonts w:hint="eastAsia" w:ascii="宋体" w:hAnsi="宋体"/>
                <w:color w:val="auto"/>
                <w:sz w:val="24"/>
                <w:highlight w:val="none"/>
              </w:rPr>
            </w:pPr>
            <w:r>
              <w:rPr>
                <w:rFonts w:hint="eastAsia" w:ascii="宋体" w:hAnsi="宋体"/>
                <w:color w:val="auto"/>
                <w:sz w:val="24"/>
                <w:highlight w:val="none"/>
              </w:rPr>
              <w:t>签字日期：      年     月     日</w:t>
            </w:r>
          </w:p>
        </w:tc>
        <w:tc>
          <w:tcPr>
            <w:tcW w:w="5137" w:type="dxa"/>
            <w:noWrap w:val="0"/>
            <w:vAlign w:val="center"/>
          </w:tcPr>
          <w:p>
            <w:pPr>
              <w:spacing w:line="360" w:lineRule="auto"/>
              <w:rPr>
                <w:rFonts w:ascii="宋体" w:hAnsi="宋体"/>
                <w:color w:val="auto"/>
                <w:sz w:val="24"/>
                <w:highlight w:val="none"/>
              </w:rPr>
            </w:pPr>
            <w:r>
              <w:rPr>
                <w:rFonts w:hint="eastAsia" w:ascii="宋体" w:hAnsi="宋体"/>
                <w:color w:val="auto"/>
                <w:sz w:val="24"/>
                <w:highlight w:val="none"/>
              </w:rPr>
              <w:t>经 办 人:</w:t>
            </w:r>
          </w:p>
          <w:p>
            <w:pPr>
              <w:spacing w:line="360" w:lineRule="auto"/>
              <w:rPr>
                <w:rFonts w:ascii="宋体" w:hAnsi="宋体"/>
                <w:color w:val="auto"/>
                <w:sz w:val="24"/>
                <w:highlight w:val="none"/>
              </w:rPr>
            </w:pPr>
          </w:p>
          <w:p>
            <w:pPr>
              <w:spacing w:line="360" w:lineRule="auto"/>
              <w:rPr>
                <w:rFonts w:ascii="宋体" w:hAnsi="宋体"/>
                <w:color w:val="auto"/>
                <w:sz w:val="24"/>
                <w:highlight w:val="none"/>
              </w:rPr>
            </w:pPr>
          </w:p>
          <w:p>
            <w:pPr>
              <w:pStyle w:val="2"/>
              <w:rPr>
                <w:color w:val="auto"/>
                <w:highlight w:val="none"/>
              </w:rPr>
            </w:pPr>
          </w:p>
          <w:p>
            <w:pPr>
              <w:spacing w:line="360" w:lineRule="auto"/>
              <w:rPr>
                <w:rFonts w:hint="eastAsia" w:ascii="宋体" w:hAnsi="宋体"/>
                <w:color w:val="auto"/>
                <w:sz w:val="24"/>
                <w:highlight w:val="none"/>
              </w:rPr>
            </w:pPr>
            <w:r>
              <w:rPr>
                <w:rFonts w:hint="eastAsia" w:ascii="宋体" w:hAnsi="宋体"/>
                <w:color w:val="auto"/>
                <w:sz w:val="24"/>
                <w:highlight w:val="none"/>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7" w:hRule="atLeast"/>
        </w:trPr>
        <w:tc>
          <w:tcPr>
            <w:tcW w:w="4920" w:type="dxa"/>
            <w:noWrap w:val="0"/>
            <w:vAlign w:val="center"/>
          </w:tcPr>
          <w:p>
            <w:pPr>
              <w:spacing w:line="360" w:lineRule="auto"/>
              <w:rPr>
                <w:rFonts w:hint="eastAsia" w:ascii="宋体" w:hAnsi="宋体"/>
                <w:color w:val="auto"/>
                <w:sz w:val="24"/>
                <w:highlight w:val="none"/>
              </w:rPr>
            </w:pPr>
          </w:p>
          <w:p>
            <w:pPr>
              <w:spacing w:line="360" w:lineRule="auto"/>
              <w:rPr>
                <w:rFonts w:hint="eastAsia" w:ascii="宋体" w:hAnsi="宋体"/>
                <w:color w:val="auto"/>
                <w:sz w:val="24"/>
                <w:highlight w:val="none"/>
              </w:rPr>
            </w:pPr>
            <w:r>
              <w:rPr>
                <w:rFonts w:hint="eastAsia" w:ascii="宋体" w:hAnsi="宋体"/>
                <w:color w:val="auto"/>
                <w:sz w:val="24"/>
                <w:highlight w:val="none"/>
              </w:rPr>
              <w:t>开户行：</w:t>
            </w:r>
          </w:p>
          <w:p>
            <w:pPr>
              <w:spacing w:line="360" w:lineRule="auto"/>
              <w:rPr>
                <w:rFonts w:ascii="宋体" w:hAnsi="宋体"/>
                <w:color w:val="auto"/>
                <w:sz w:val="24"/>
                <w:highlight w:val="none"/>
              </w:rPr>
            </w:pPr>
          </w:p>
          <w:p>
            <w:pPr>
              <w:spacing w:line="360" w:lineRule="auto"/>
              <w:rPr>
                <w:rFonts w:hint="eastAsia" w:ascii="宋体" w:hAnsi="宋体"/>
                <w:color w:val="auto"/>
                <w:sz w:val="24"/>
                <w:highlight w:val="none"/>
              </w:rPr>
            </w:pPr>
            <w:r>
              <w:rPr>
                <w:rFonts w:hint="eastAsia" w:ascii="宋体" w:hAnsi="宋体"/>
                <w:color w:val="auto"/>
                <w:sz w:val="24"/>
                <w:highlight w:val="none"/>
              </w:rPr>
              <w:t>账号：</w:t>
            </w:r>
          </w:p>
        </w:tc>
        <w:tc>
          <w:tcPr>
            <w:tcW w:w="5137" w:type="dxa"/>
            <w:noWrap w:val="0"/>
            <w:vAlign w:val="center"/>
          </w:tcPr>
          <w:p>
            <w:pPr>
              <w:spacing w:line="360" w:lineRule="auto"/>
              <w:rPr>
                <w:rFonts w:hint="eastAsia" w:ascii="宋体" w:hAnsi="宋体"/>
                <w:color w:val="auto"/>
                <w:sz w:val="24"/>
                <w:highlight w:val="none"/>
              </w:rPr>
            </w:pPr>
          </w:p>
          <w:p>
            <w:pPr>
              <w:spacing w:line="360" w:lineRule="auto"/>
              <w:rPr>
                <w:rFonts w:hint="eastAsia" w:ascii="宋体" w:hAnsi="宋体"/>
                <w:color w:val="auto"/>
                <w:sz w:val="24"/>
                <w:highlight w:val="none"/>
              </w:rPr>
            </w:pPr>
            <w:r>
              <w:rPr>
                <w:rFonts w:hint="eastAsia" w:ascii="宋体" w:hAnsi="宋体"/>
                <w:color w:val="auto"/>
                <w:sz w:val="24"/>
                <w:highlight w:val="none"/>
              </w:rPr>
              <w:t>开户行：</w:t>
            </w:r>
          </w:p>
          <w:p>
            <w:pPr>
              <w:pStyle w:val="2"/>
              <w:rPr>
                <w:rFonts w:ascii="宋体" w:hAnsi="宋体"/>
                <w:color w:val="auto"/>
                <w:highlight w:val="none"/>
              </w:rPr>
            </w:pPr>
          </w:p>
          <w:p>
            <w:pPr>
              <w:spacing w:line="360" w:lineRule="auto"/>
              <w:rPr>
                <w:rFonts w:ascii="宋体" w:hAnsi="宋体"/>
                <w:color w:val="auto"/>
                <w:sz w:val="24"/>
                <w:highlight w:val="none"/>
              </w:rPr>
            </w:pPr>
            <w:r>
              <w:rPr>
                <w:rFonts w:hint="eastAsia" w:ascii="宋体" w:hAnsi="宋体"/>
                <w:color w:val="auto"/>
                <w:sz w:val="24"/>
                <w:highlight w:val="none"/>
              </w:rPr>
              <w:t>账号：</w:t>
            </w:r>
            <w:r>
              <w:rPr>
                <w:rFonts w:hint="eastAsia" w:ascii="宋体" w:hAnsi="宋体" w:cs="宋体"/>
                <w:color w:val="auto"/>
                <w:kern w:val="0"/>
                <w:sz w:val="24"/>
                <w:szCs w:val="22"/>
                <w:highlight w:val="none"/>
              </w:rPr>
              <w:t xml:space="preserve">  </w:t>
            </w:r>
          </w:p>
        </w:tc>
      </w:tr>
    </w:tbl>
    <w:p>
      <w:pPr>
        <w:pStyle w:val="2"/>
        <w:rPr>
          <w:rFonts w:hint="eastAsia" w:ascii="宋体" w:hAnsi="宋体" w:cs="宋体"/>
          <w:b/>
          <w:bCs/>
          <w:color w:val="auto"/>
          <w:sz w:val="48"/>
          <w:szCs w:val="48"/>
          <w:highlight w:val="none"/>
        </w:rPr>
      </w:pPr>
    </w:p>
    <w:p>
      <w:pPr>
        <w:jc w:val="center"/>
        <w:rPr>
          <w:rFonts w:ascii="宋体" w:hAnsi="宋体" w:cs="宋体"/>
          <w:b/>
          <w:bCs/>
          <w:color w:val="auto"/>
          <w:sz w:val="48"/>
          <w:szCs w:val="48"/>
          <w:highlight w:val="none"/>
        </w:rPr>
      </w:pPr>
    </w:p>
    <w:p>
      <w:pPr>
        <w:rPr>
          <w:color w:val="auto"/>
          <w:highlight w:val="none"/>
        </w:rPr>
      </w:pPr>
    </w:p>
    <w:sectPr>
      <w:headerReference r:id="rId18" w:type="first"/>
      <w:headerReference r:id="rId17" w:type="default"/>
      <w:footerReference r:id="rId19"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auto"/>
    <w:pitch w:val="default"/>
    <w:sig w:usb0="00000000" w:usb1="00000000" w:usb2="00000000" w:usb3="00000000" w:csb0="00040000"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9"/>
      </w:rPr>
    </w:pPr>
    <w:r>
      <w:fldChar w:fldCharType="begin"/>
    </w:r>
    <w:r>
      <w:rPr>
        <w:rStyle w:val="39"/>
      </w:rPr>
      <w:instrText xml:space="preserve">PAGE  </w:instrText>
    </w:r>
    <w:r>
      <w:fldChar w:fldCharType="separate"/>
    </w:r>
    <w:r>
      <w:rPr>
        <w:rStyle w:val="39"/>
      </w:rPr>
      <w:t>1</w:t>
    </w:r>
    <w:r>
      <w:fldChar w:fldCharType="end"/>
    </w:r>
  </w:p>
  <w:p>
    <w:pPr>
      <w:pStyle w:val="2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58EEE2A9"/>
    <w:multiLevelType w:val="singleLevel"/>
    <w:tmpl w:val="58EEE2A9"/>
    <w:lvl w:ilvl="0" w:tentative="0">
      <w:start w:val="1"/>
      <w:numFmt w:val="decimal"/>
      <w:suff w:val="space"/>
      <w:lvlText w:val="%1)"/>
      <w:lvlJc w:val="left"/>
    </w:lvl>
  </w:abstractNum>
  <w:abstractNum w:abstractNumId="3">
    <w:nsid w:val="5983EC99"/>
    <w:multiLevelType w:val="singleLevel"/>
    <w:tmpl w:val="5983EC99"/>
    <w:lvl w:ilvl="0" w:tentative="0">
      <w:start w:val="3"/>
      <w:numFmt w:val="chineseCounting"/>
      <w:suff w:val="space"/>
      <w:lvlText w:val="第%1章"/>
      <w:lvlJc w:val="left"/>
    </w:lvl>
  </w:abstractNum>
  <w:abstractNum w:abstractNumId="4">
    <w:nsid w:val="59DF3391"/>
    <w:multiLevelType w:val="singleLevel"/>
    <w:tmpl w:val="59DF3391"/>
    <w:lvl w:ilvl="0" w:tentative="0">
      <w:start w:val="7"/>
      <w:numFmt w:val="decimal"/>
      <w:suff w:val="space"/>
      <w:lvlText w:val="%1."/>
      <w:lvlJc w:val="left"/>
    </w:lvl>
  </w:abstractNum>
  <w:abstractNum w:abstractNumId="5">
    <w:nsid w:val="7DB1AA8B"/>
    <w:multiLevelType w:val="singleLevel"/>
    <w:tmpl w:val="7DB1AA8B"/>
    <w:lvl w:ilvl="0" w:tentative="0">
      <w:start w:val="3"/>
      <w:numFmt w:val="decimal"/>
      <w:suff w:val="nothing"/>
      <w:lvlText w:val="%1）"/>
      <w:lvlJc w:val="left"/>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62F66"/>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BB1"/>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2B1E"/>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66FC1"/>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ED00D5"/>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3250E5"/>
    <w:rsid w:val="07472771"/>
    <w:rsid w:val="074B78AB"/>
    <w:rsid w:val="074F5873"/>
    <w:rsid w:val="07504CC4"/>
    <w:rsid w:val="075064E9"/>
    <w:rsid w:val="07522ABF"/>
    <w:rsid w:val="075B45A5"/>
    <w:rsid w:val="075D0276"/>
    <w:rsid w:val="0761239B"/>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D5E50"/>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0760"/>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AF14914"/>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A5D68"/>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97B9A"/>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B2003"/>
    <w:rsid w:val="108D27C1"/>
    <w:rsid w:val="109B2FCF"/>
    <w:rsid w:val="10A77CD7"/>
    <w:rsid w:val="10A85506"/>
    <w:rsid w:val="10AB7444"/>
    <w:rsid w:val="10BA2A48"/>
    <w:rsid w:val="10C22A13"/>
    <w:rsid w:val="10C43E48"/>
    <w:rsid w:val="10C77F65"/>
    <w:rsid w:val="10C90E33"/>
    <w:rsid w:val="10CC60CD"/>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315787"/>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63C67"/>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AA2E7A"/>
    <w:rsid w:val="13B068E2"/>
    <w:rsid w:val="13B11F42"/>
    <w:rsid w:val="13B57F7D"/>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2A3E92"/>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53442"/>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153B3"/>
    <w:rsid w:val="18020580"/>
    <w:rsid w:val="1802742A"/>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BD173C"/>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2A76E8"/>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931B67"/>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E6720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1104"/>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3F3315"/>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1B658C"/>
    <w:rsid w:val="2324661D"/>
    <w:rsid w:val="2330198C"/>
    <w:rsid w:val="23475ED3"/>
    <w:rsid w:val="23482D77"/>
    <w:rsid w:val="234A3236"/>
    <w:rsid w:val="234B094C"/>
    <w:rsid w:val="234B4099"/>
    <w:rsid w:val="234C5F3C"/>
    <w:rsid w:val="234E18F4"/>
    <w:rsid w:val="23503C30"/>
    <w:rsid w:val="235A3AE8"/>
    <w:rsid w:val="235E3F24"/>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65CCD"/>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CA1F75"/>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07D02"/>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A675F"/>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D2456"/>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113C1"/>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12969"/>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645919"/>
    <w:rsid w:val="2C6A1546"/>
    <w:rsid w:val="2C6A3868"/>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633876"/>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A68C2"/>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6230D"/>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253D9"/>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97E5B"/>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347FA"/>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43016"/>
    <w:rsid w:val="374653D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661C7B"/>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104E"/>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90EE3"/>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C41E2"/>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6FF63D6"/>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8A72C5"/>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73504A"/>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3F7E35"/>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96306"/>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28CB"/>
    <w:rsid w:val="4F6B6D49"/>
    <w:rsid w:val="4F6B7098"/>
    <w:rsid w:val="4F6C1195"/>
    <w:rsid w:val="4F6C5458"/>
    <w:rsid w:val="4F734B05"/>
    <w:rsid w:val="4F7C1BD8"/>
    <w:rsid w:val="4F7D12D6"/>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1A014E"/>
    <w:rsid w:val="54297CAD"/>
    <w:rsid w:val="542E69F4"/>
    <w:rsid w:val="54345A48"/>
    <w:rsid w:val="54364520"/>
    <w:rsid w:val="54396075"/>
    <w:rsid w:val="543D582B"/>
    <w:rsid w:val="5440732C"/>
    <w:rsid w:val="544276DA"/>
    <w:rsid w:val="54443B8B"/>
    <w:rsid w:val="54460F2A"/>
    <w:rsid w:val="544E6061"/>
    <w:rsid w:val="545218C0"/>
    <w:rsid w:val="54577ABF"/>
    <w:rsid w:val="545E5EC1"/>
    <w:rsid w:val="54615AD2"/>
    <w:rsid w:val="546553BD"/>
    <w:rsid w:val="54690674"/>
    <w:rsid w:val="546F1773"/>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8553BF"/>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92CB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94F"/>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B3416"/>
    <w:rsid w:val="5BAC5031"/>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5F3DCB"/>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27B53"/>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02787"/>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0A81"/>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351A7"/>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56CD4"/>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54623"/>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6B41FA"/>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C79BE"/>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51251"/>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D2955"/>
    <w:rsid w:val="7D1E1A11"/>
    <w:rsid w:val="7D207B9C"/>
    <w:rsid w:val="7D2148F6"/>
    <w:rsid w:val="7D216877"/>
    <w:rsid w:val="7D2916FA"/>
    <w:rsid w:val="7D2F550A"/>
    <w:rsid w:val="7D307F1F"/>
    <w:rsid w:val="7D4744D0"/>
    <w:rsid w:val="7D4B6ED5"/>
    <w:rsid w:val="7D4F2E1A"/>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2D0B"/>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0" w:semiHidden="0"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9"/>
    <w:qFormat/>
    <w:uiPriority w:val="99"/>
    <w:pPr>
      <w:spacing w:line="360" w:lineRule="auto"/>
      <w:jc w:val="center"/>
      <w:outlineLvl w:val="0"/>
    </w:pPr>
    <w:rPr>
      <w:b/>
      <w:bCs/>
      <w:kern w:val="44"/>
      <w:sz w:val="44"/>
      <w:szCs w:val="44"/>
    </w:rPr>
  </w:style>
  <w:style w:type="paragraph" w:styleId="4">
    <w:name w:val="heading 2"/>
    <w:basedOn w:val="1"/>
    <w:next w:val="5"/>
    <w:link w:val="50"/>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1"/>
    <w:qFormat/>
    <w:uiPriority w:val="99"/>
    <w:pPr>
      <w:spacing w:line="360" w:lineRule="auto"/>
      <w:ind w:firstLine="482" w:firstLineChars="200"/>
      <w:outlineLvl w:val="2"/>
    </w:pPr>
    <w:rPr>
      <w:b/>
      <w:bCs/>
      <w:kern w:val="0"/>
      <w:sz w:val="32"/>
      <w:szCs w:val="32"/>
    </w:rPr>
  </w:style>
  <w:style w:type="paragraph" w:styleId="7">
    <w:name w:val="heading 4"/>
    <w:basedOn w:val="1"/>
    <w:next w:val="1"/>
    <w:link w:val="52"/>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3"/>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4"/>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5"/>
    <w:qFormat/>
    <w:uiPriority w:val="99"/>
    <w:pPr>
      <w:keepNext/>
      <w:keepLines/>
      <w:spacing w:before="240" w:after="64" w:line="320" w:lineRule="auto"/>
      <w:outlineLvl w:val="6"/>
    </w:pPr>
    <w:rPr>
      <w:b/>
      <w:bCs/>
      <w:kern w:val="0"/>
      <w:sz w:val="24"/>
    </w:rPr>
  </w:style>
  <w:style w:type="paragraph" w:styleId="11">
    <w:name w:val="heading 8"/>
    <w:basedOn w:val="1"/>
    <w:next w:val="1"/>
    <w:link w:val="56"/>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7"/>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0"/>
    <w:qFormat/>
    <w:uiPriority w:val="99"/>
    <w:pPr>
      <w:snapToGrid w:val="0"/>
      <w:spacing w:line="300" w:lineRule="auto"/>
    </w:pPr>
    <w:rPr>
      <w:kern w:val="0"/>
      <w:sz w:val="24"/>
    </w:r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8"/>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9"/>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1"/>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2"/>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3"/>
    <w:qFormat/>
    <w:uiPriority w:val="99"/>
    <w:pPr>
      <w:ind w:left="100" w:leftChars="2500"/>
    </w:pPr>
    <w:rPr>
      <w:kern w:val="0"/>
      <w:sz w:val="24"/>
    </w:rPr>
  </w:style>
  <w:style w:type="paragraph" w:styleId="21">
    <w:name w:val="Body Text Indent 2"/>
    <w:basedOn w:val="1"/>
    <w:link w:val="64"/>
    <w:qFormat/>
    <w:uiPriority w:val="99"/>
    <w:pPr>
      <w:spacing w:line="460" w:lineRule="exact"/>
      <w:ind w:firstLine="570"/>
    </w:pPr>
    <w:rPr>
      <w:kern w:val="0"/>
      <w:sz w:val="24"/>
    </w:rPr>
  </w:style>
  <w:style w:type="paragraph" w:styleId="22">
    <w:name w:val="Balloon Text"/>
    <w:basedOn w:val="1"/>
    <w:link w:val="65"/>
    <w:qFormat/>
    <w:uiPriority w:val="99"/>
    <w:rPr>
      <w:kern w:val="0"/>
      <w:sz w:val="16"/>
      <w:szCs w:val="16"/>
    </w:rPr>
  </w:style>
  <w:style w:type="paragraph" w:styleId="23">
    <w:name w:val="footer"/>
    <w:basedOn w:val="1"/>
    <w:link w:val="66"/>
    <w:qFormat/>
    <w:uiPriority w:val="99"/>
    <w:pPr>
      <w:tabs>
        <w:tab w:val="center" w:pos="4153"/>
        <w:tab w:val="right" w:pos="8306"/>
      </w:tabs>
      <w:snapToGrid w:val="0"/>
      <w:jc w:val="left"/>
    </w:pPr>
    <w:rPr>
      <w:kern w:val="0"/>
      <w:sz w:val="18"/>
      <w:szCs w:val="18"/>
    </w:rPr>
  </w:style>
  <w:style w:type="paragraph" w:styleId="24">
    <w:name w:val="header"/>
    <w:basedOn w:val="1"/>
    <w:link w:val="67"/>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7">
    <w:name w:val="Body Text Indent 3"/>
    <w:basedOn w:val="1"/>
    <w:link w:val="68"/>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9"/>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basedOn w:val="37"/>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annotation reference"/>
    <w:basedOn w:val="37"/>
    <w:qFormat/>
    <w:locked/>
    <w:uiPriority w:val="0"/>
    <w:rPr>
      <w:sz w:val="21"/>
      <w:szCs w:val="21"/>
    </w:rPr>
  </w:style>
  <w:style w:type="character" w:styleId="48">
    <w:name w:val="HTML Cite"/>
    <w:basedOn w:val="37"/>
    <w:unhideWhenUsed/>
    <w:qFormat/>
    <w:locked/>
    <w:uiPriority w:val="99"/>
  </w:style>
  <w:style w:type="character" w:customStyle="1" w:styleId="49">
    <w:name w:val="标题 1 Char"/>
    <w:link w:val="3"/>
    <w:qFormat/>
    <w:locked/>
    <w:uiPriority w:val="99"/>
    <w:rPr>
      <w:rFonts w:cs="Times New Roman"/>
      <w:b/>
      <w:bCs/>
      <w:kern w:val="44"/>
      <w:sz w:val="44"/>
      <w:szCs w:val="44"/>
    </w:rPr>
  </w:style>
  <w:style w:type="character" w:customStyle="1" w:styleId="50">
    <w:name w:val="标题 2 Char"/>
    <w:link w:val="4"/>
    <w:semiHidden/>
    <w:qFormat/>
    <w:locked/>
    <w:uiPriority w:val="99"/>
    <w:rPr>
      <w:rFonts w:ascii="Cambria" w:hAnsi="Cambria" w:eastAsia="宋体" w:cs="黑体"/>
      <w:b/>
      <w:bCs/>
      <w:sz w:val="32"/>
      <w:szCs w:val="32"/>
    </w:rPr>
  </w:style>
  <w:style w:type="character" w:customStyle="1" w:styleId="51">
    <w:name w:val="标题 3 Char"/>
    <w:link w:val="6"/>
    <w:semiHidden/>
    <w:qFormat/>
    <w:locked/>
    <w:uiPriority w:val="99"/>
    <w:rPr>
      <w:rFonts w:cs="Times New Roman"/>
      <w:b/>
      <w:bCs/>
      <w:sz w:val="32"/>
      <w:szCs w:val="32"/>
    </w:rPr>
  </w:style>
  <w:style w:type="character" w:customStyle="1" w:styleId="52">
    <w:name w:val="标题 4 Char"/>
    <w:link w:val="7"/>
    <w:semiHidden/>
    <w:qFormat/>
    <w:locked/>
    <w:uiPriority w:val="99"/>
    <w:rPr>
      <w:rFonts w:ascii="Cambria" w:hAnsi="Cambria" w:eastAsia="宋体" w:cs="黑体"/>
      <w:b/>
      <w:bCs/>
      <w:sz w:val="28"/>
      <w:szCs w:val="28"/>
    </w:rPr>
  </w:style>
  <w:style w:type="character" w:customStyle="1" w:styleId="53">
    <w:name w:val="标题 5 Char"/>
    <w:link w:val="8"/>
    <w:semiHidden/>
    <w:qFormat/>
    <w:locked/>
    <w:uiPriority w:val="99"/>
    <w:rPr>
      <w:rFonts w:cs="Times New Roman"/>
      <w:b/>
      <w:bCs/>
      <w:sz w:val="28"/>
      <w:szCs w:val="28"/>
    </w:rPr>
  </w:style>
  <w:style w:type="character" w:customStyle="1" w:styleId="54">
    <w:name w:val="标题 6 Char"/>
    <w:link w:val="9"/>
    <w:semiHidden/>
    <w:qFormat/>
    <w:locked/>
    <w:uiPriority w:val="99"/>
    <w:rPr>
      <w:rFonts w:ascii="Cambria" w:hAnsi="Cambria" w:eastAsia="宋体" w:cs="黑体"/>
      <w:b/>
      <w:bCs/>
      <w:sz w:val="24"/>
      <w:szCs w:val="24"/>
    </w:rPr>
  </w:style>
  <w:style w:type="character" w:customStyle="1" w:styleId="55">
    <w:name w:val="标题 7 Char"/>
    <w:link w:val="10"/>
    <w:semiHidden/>
    <w:qFormat/>
    <w:locked/>
    <w:uiPriority w:val="99"/>
    <w:rPr>
      <w:rFonts w:cs="Times New Roman"/>
      <w:b/>
      <w:bCs/>
      <w:sz w:val="24"/>
      <w:szCs w:val="24"/>
    </w:rPr>
  </w:style>
  <w:style w:type="character" w:customStyle="1" w:styleId="56">
    <w:name w:val="标题 8 Char"/>
    <w:link w:val="11"/>
    <w:semiHidden/>
    <w:qFormat/>
    <w:locked/>
    <w:uiPriority w:val="99"/>
    <w:rPr>
      <w:rFonts w:ascii="Cambria" w:hAnsi="Cambria" w:eastAsia="宋体" w:cs="黑体"/>
      <w:sz w:val="24"/>
      <w:szCs w:val="24"/>
    </w:rPr>
  </w:style>
  <w:style w:type="character" w:customStyle="1" w:styleId="57">
    <w:name w:val="标题 9 Char"/>
    <w:link w:val="12"/>
    <w:semiHidden/>
    <w:qFormat/>
    <w:locked/>
    <w:uiPriority w:val="99"/>
    <w:rPr>
      <w:rFonts w:ascii="Cambria" w:hAnsi="Cambria" w:eastAsia="宋体" w:cs="黑体"/>
      <w:sz w:val="21"/>
      <w:szCs w:val="21"/>
    </w:rPr>
  </w:style>
  <w:style w:type="character" w:customStyle="1" w:styleId="58">
    <w:name w:val="注释标题 Char"/>
    <w:link w:val="13"/>
    <w:semiHidden/>
    <w:qFormat/>
    <w:locked/>
    <w:uiPriority w:val="99"/>
    <w:rPr>
      <w:rFonts w:cs="Times New Roman"/>
      <w:sz w:val="24"/>
      <w:szCs w:val="24"/>
    </w:rPr>
  </w:style>
  <w:style w:type="character" w:customStyle="1" w:styleId="59">
    <w:name w:val="文档结构图 Char"/>
    <w:link w:val="15"/>
    <w:semiHidden/>
    <w:qFormat/>
    <w:locked/>
    <w:uiPriority w:val="99"/>
    <w:rPr>
      <w:rFonts w:ascii="宋体" w:cs="Times New Roman"/>
      <w:kern w:val="2"/>
      <w:sz w:val="18"/>
      <w:szCs w:val="18"/>
    </w:rPr>
  </w:style>
  <w:style w:type="character" w:customStyle="1" w:styleId="60">
    <w:name w:val="正文文本 Char"/>
    <w:link w:val="2"/>
    <w:semiHidden/>
    <w:qFormat/>
    <w:locked/>
    <w:uiPriority w:val="99"/>
    <w:rPr>
      <w:rFonts w:cs="Times New Roman"/>
      <w:sz w:val="24"/>
      <w:szCs w:val="24"/>
    </w:rPr>
  </w:style>
  <w:style w:type="character" w:customStyle="1" w:styleId="61">
    <w:name w:val="正文文本缩进 Char"/>
    <w:link w:val="17"/>
    <w:semiHidden/>
    <w:qFormat/>
    <w:locked/>
    <w:uiPriority w:val="99"/>
    <w:rPr>
      <w:rFonts w:cs="Times New Roman"/>
      <w:sz w:val="24"/>
      <w:szCs w:val="24"/>
    </w:rPr>
  </w:style>
  <w:style w:type="character" w:customStyle="1" w:styleId="62">
    <w:name w:val="纯文本 Char"/>
    <w:link w:val="19"/>
    <w:semiHidden/>
    <w:qFormat/>
    <w:locked/>
    <w:uiPriority w:val="99"/>
    <w:rPr>
      <w:rFonts w:ascii="宋体" w:hAnsi="Courier New" w:cs="Courier New"/>
      <w:sz w:val="21"/>
      <w:szCs w:val="21"/>
    </w:rPr>
  </w:style>
  <w:style w:type="character" w:customStyle="1" w:styleId="63">
    <w:name w:val="日期 Char"/>
    <w:link w:val="20"/>
    <w:semiHidden/>
    <w:qFormat/>
    <w:locked/>
    <w:uiPriority w:val="99"/>
    <w:rPr>
      <w:rFonts w:cs="Times New Roman"/>
      <w:sz w:val="24"/>
      <w:szCs w:val="24"/>
    </w:rPr>
  </w:style>
  <w:style w:type="character" w:customStyle="1" w:styleId="64">
    <w:name w:val="正文文本缩进 2 Char"/>
    <w:link w:val="21"/>
    <w:semiHidden/>
    <w:qFormat/>
    <w:locked/>
    <w:uiPriority w:val="99"/>
    <w:rPr>
      <w:rFonts w:cs="Times New Roman"/>
      <w:sz w:val="24"/>
      <w:szCs w:val="24"/>
    </w:rPr>
  </w:style>
  <w:style w:type="character" w:customStyle="1" w:styleId="65">
    <w:name w:val="批注框文本 Char"/>
    <w:link w:val="22"/>
    <w:semiHidden/>
    <w:qFormat/>
    <w:locked/>
    <w:uiPriority w:val="99"/>
    <w:rPr>
      <w:rFonts w:cs="Times New Roman"/>
      <w:sz w:val="16"/>
      <w:szCs w:val="16"/>
    </w:rPr>
  </w:style>
  <w:style w:type="character" w:customStyle="1" w:styleId="66">
    <w:name w:val="页脚 Char"/>
    <w:link w:val="23"/>
    <w:semiHidden/>
    <w:qFormat/>
    <w:locked/>
    <w:uiPriority w:val="99"/>
    <w:rPr>
      <w:rFonts w:cs="Times New Roman"/>
      <w:sz w:val="18"/>
      <w:szCs w:val="18"/>
    </w:rPr>
  </w:style>
  <w:style w:type="character" w:customStyle="1" w:styleId="67">
    <w:name w:val="页眉 Char"/>
    <w:link w:val="24"/>
    <w:semiHidden/>
    <w:qFormat/>
    <w:locked/>
    <w:uiPriority w:val="99"/>
    <w:rPr>
      <w:rFonts w:cs="Times New Roman"/>
      <w:sz w:val="18"/>
      <w:szCs w:val="18"/>
    </w:rPr>
  </w:style>
  <w:style w:type="character" w:customStyle="1" w:styleId="68">
    <w:name w:val="正文文本缩进 3 Char"/>
    <w:link w:val="27"/>
    <w:semiHidden/>
    <w:qFormat/>
    <w:locked/>
    <w:uiPriority w:val="99"/>
    <w:rPr>
      <w:rFonts w:cs="Times New Roman"/>
      <w:sz w:val="16"/>
      <w:szCs w:val="16"/>
    </w:rPr>
  </w:style>
  <w:style w:type="character" w:customStyle="1" w:styleId="69">
    <w:name w:val="标题 Char"/>
    <w:link w:val="33"/>
    <w:qFormat/>
    <w:locked/>
    <w:uiPriority w:val="99"/>
    <w:rPr>
      <w:rFonts w:ascii="Cambria" w:hAnsi="Cambria" w:cs="Times New Roman"/>
      <w:b/>
      <w:bCs/>
      <w:kern w:val="2"/>
      <w:sz w:val="32"/>
      <w:szCs w:val="32"/>
    </w:rPr>
  </w:style>
  <w:style w:type="paragraph" w:customStyle="1" w:styleId="70">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1">
    <w:name w:val="表中"/>
    <w:basedOn w:val="1"/>
    <w:qFormat/>
    <w:uiPriority w:val="99"/>
    <w:pPr>
      <w:adjustRightInd w:val="0"/>
      <w:snapToGrid w:val="0"/>
      <w:spacing w:line="420" w:lineRule="atLeast"/>
      <w:jc w:val="center"/>
      <w:textAlignment w:val="baseline"/>
    </w:pPr>
    <w:rPr>
      <w:kern w:val="0"/>
      <w:szCs w:val="20"/>
    </w:rPr>
  </w:style>
  <w:style w:type="paragraph" w:customStyle="1" w:styleId="72">
    <w:name w:val="样式1"/>
    <w:basedOn w:val="1"/>
    <w:qFormat/>
    <w:uiPriority w:val="99"/>
    <w:pPr>
      <w:tabs>
        <w:tab w:val="left" w:pos="360"/>
      </w:tabs>
    </w:pPr>
  </w:style>
  <w:style w:type="paragraph" w:customStyle="1" w:styleId="73">
    <w:name w:val="附件正文"/>
    <w:basedOn w:val="1"/>
    <w:qFormat/>
    <w:uiPriority w:val="99"/>
    <w:pPr>
      <w:snapToGrid w:val="0"/>
    </w:pPr>
    <w:rPr>
      <w:kern w:val="0"/>
      <w:sz w:val="24"/>
    </w:rPr>
  </w:style>
  <w:style w:type="paragraph" w:customStyle="1" w:styleId="74">
    <w:name w:val="列出段落1"/>
    <w:basedOn w:val="1"/>
    <w:qFormat/>
    <w:uiPriority w:val="99"/>
    <w:pPr>
      <w:ind w:firstLine="420" w:firstLineChars="200"/>
    </w:pPr>
  </w:style>
  <w:style w:type="paragraph" w:customStyle="1" w:styleId="75">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6">
    <w:name w:val="注"/>
    <w:basedOn w:val="1"/>
    <w:qFormat/>
    <w:uiPriority w:val="99"/>
    <w:pPr>
      <w:adjustRightInd w:val="0"/>
      <w:spacing w:line="420" w:lineRule="atLeast"/>
      <w:ind w:firstLine="340"/>
      <w:textAlignment w:val="baseline"/>
    </w:pPr>
    <w:rPr>
      <w:kern w:val="0"/>
      <w:sz w:val="18"/>
      <w:szCs w:val="20"/>
    </w:rPr>
  </w:style>
  <w:style w:type="paragraph" w:customStyle="1" w:styleId="77">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8">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9">
    <w:name w:val="标题4"/>
    <w:basedOn w:val="1"/>
    <w:qFormat/>
    <w:uiPriority w:val="99"/>
    <w:pPr>
      <w:spacing w:beforeLines="100" w:afterLines="100" w:line="360" w:lineRule="auto"/>
    </w:pPr>
    <w:rPr>
      <w:sz w:val="28"/>
    </w:rPr>
  </w:style>
  <w:style w:type="paragraph" w:customStyle="1" w:styleId="80">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1">
    <w:name w:val="列出段落2"/>
    <w:basedOn w:val="1"/>
    <w:qFormat/>
    <w:uiPriority w:val="99"/>
    <w:pPr>
      <w:ind w:firstLine="420" w:firstLineChars="200"/>
    </w:pPr>
    <w:rPr>
      <w:rFonts w:ascii="Calibri" w:hAnsi="Calibri"/>
      <w:szCs w:val="22"/>
    </w:rPr>
  </w:style>
  <w:style w:type="paragraph" w:customStyle="1" w:styleId="82">
    <w:name w:val="列出段落3"/>
    <w:basedOn w:val="1"/>
    <w:qFormat/>
    <w:uiPriority w:val="99"/>
    <w:pPr>
      <w:ind w:firstLine="420" w:firstLineChars="200"/>
    </w:pPr>
    <w:rPr>
      <w:rFonts w:ascii="Calibri" w:hAnsi="Calibri"/>
      <w:szCs w:val="22"/>
    </w:rPr>
  </w:style>
  <w:style w:type="paragraph" w:customStyle="1" w:styleId="83">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4">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5">
    <w:name w:val="font7"/>
    <w:basedOn w:val="1"/>
    <w:qFormat/>
    <w:uiPriority w:val="99"/>
    <w:pPr>
      <w:widowControl/>
      <w:spacing w:before="100" w:beforeAutospacing="1" w:after="100" w:afterAutospacing="1"/>
      <w:jc w:val="left"/>
    </w:pPr>
    <w:rPr>
      <w:kern w:val="0"/>
      <w:sz w:val="20"/>
      <w:szCs w:val="20"/>
    </w:rPr>
  </w:style>
  <w:style w:type="paragraph" w:customStyle="1" w:styleId="86">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7">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8">
    <w:name w:val="font10"/>
    <w:basedOn w:val="1"/>
    <w:qFormat/>
    <w:uiPriority w:val="99"/>
    <w:pPr>
      <w:widowControl/>
      <w:spacing w:before="100" w:beforeAutospacing="1" w:after="100" w:afterAutospacing="1"/>
      <w:jc w:val="left"/>
    </w:pPr>
    <w:rPr>
      <w:kern w:val="0"/>
      <w:szCs w:val="21"/>
    </w:rPr>
  </w:style>
  <w:style w:type="paragraph" w:customStyle="1" w:styleId="89">
    <w:name w:val="font11"/>
    <w:basedOn w:val="1"/>
    <w:qFormat/>
    <w:uiPriority w:val="99"/>
    <w:pPr>
      <w:widowControl/>
      <w:spacing w:before="100" w:beforeAutospacing="1" w:after="100" w:afterAutospacing="1"/>
      <w:jc w:val="left"/>
    </w:pPr>
    <w:rPr>
      <w:kern w:val="0"/>
      <w:sz w:val="22"/>
      <w:szCs w:val="22"/>
    </w:rPr>
  </w:style>
  <w:style w:type="paragraph" w:customStyle="1" w:styleId="90">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1">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2">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3">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4">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5">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6">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0">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1">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2">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3">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4">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6">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7">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8">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9">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0">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1">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3">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4">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5">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6">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8">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9">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0">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4">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5">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7">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8">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0">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1">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3">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5">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7">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8">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5">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7">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9">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0">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4">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5">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3">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4">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5">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6">
    <w:name w:val="Char Char Char"/>
    <w:qFormat/>
    <w:uiPriority w:val="99"/>
    <w:rPr>
      <w:rFonts w:ascii="Arial" w:hAnsi="Arial" w:eastAsia="宋体" w:cs="Times New Roman"/>
      <w:b/>
      <w:bCs/>
      <w:kern w:val="2"/>
      <w:sz w:val="32"/>
      <w:szCs w:val="32"/>
      <w:lang w:val="en-US" w:eastAsia="zh-CN" w:bidi="ar-SA"/>
    </w:rPr>
  </w:style>
  <w:style w:type="character" w:customStyle="1" w:styleId="177">
    <w:name w:val="Char Char1"/>
    <w:qFormat/>
    <w:uiPriority w:val="99"/>
    <w:rPr>
      <w:rFonts w:eastAsia="宋体" w:cs="Times New Roman"/>
      <w:b/>
      <w:bCs/>
      <w:kern w:val="44"/>
      <w:sz w:val="44"/>
      <w:szCs w:val="44"/>
      <w:lang w:val="en-US" w:eastAsia="zh-CN" w:bidi="ar-SA"/>
    </w:rPr>
  </w:style>
  <w:style w:type="character" w:customStyle="1" w:styleId="178">
    <w:name w:val="标题 2 Char Char"/>
    <w:qFormat/>
    <w:uiPriority w:val="99"/>
    <w:rPr>
      <w:rFonts w:ascii="Arial" w:hAnsi="Arial" w:eastAsia="宋体" w:cs="Times New Roman"/>
      <w:b/>
      <w:bCs/>
      <w:kern w:val="2"/>
      <w:sz w:val="32"/>
      <w:szCs w:val="32"/>
      <w:lang w:val="en-US" w:eastAsia="zh-CN" w:bidi="ar-SA"/>
    </w:rPr>
  </w:style>
  <w:style w:type="character" w:customStyle="1" w:styleId="179">
    <w:name w:val="unnamed11"/>
    <w:qFormat/>
    <w:uiPriority w:val="99"/>
    <w:rPr>
      <w:rFonts w:cs="Times New Roman"/>
      <w:sz w:val="18"/>
      <w:szCs w:val="18"/>
    </w:rPr>
  </w:style>
  <w:style w:type="character" w:customStyle="1" w:styleId="180">
    <w:name w:val="页码1"/>
    <w:qFormat/>
    <w:uiPriority w:val="99"/>
    <w:rPr>
      <w:rFonts w:cs="Times New Roman"/>
    </w:rPr>
  </w:style>
  <w:style w:type="character" w:customStyle="1" w:styleId="181">
    <w:name w:val="font131"/>
    <w:qFormat/>
    <w:uiPriority w:val="99"/>
    <w:rPr>
      <w:rFonts w:ascii="宋体" w:hAnsi="宋体" w:eastAsia="宋体" w:cs="宋体"/>
      <w:color w:val="000000"/>
      <w:sz w:val="22"/>
      <w:szCs w:val="22"/>
      <w:u w:val="none"/>
    </w:rPr>
  </w:style>
  <w:style w:type="character" w:customStyle="1" w:styleId="182">
    <w:name w:val="font81"/>
    <w:qFormat/>
    <w:uiPriority w:val="99"/>
    <w:rPr>
      <w:rFonts w:ascii="Arial" w:hAnsi="Arial" w:cs="Arial"/>
      <w:color w:val="000000"/>
      <w:sz w:val="22"/>
      <w:szCs w:val="22"/>
      <w:u w:val="none"/>
    </w:rPr>
  </w:style>
  <w:style w:type="character" w:customStyle="1" w:styleId="183">
    <w:name w:val="font91"/>
    <w:qFormat/>
    <w:uiPriority w:val="99"/>
    <w:rPr>
      <w:rFonts w:ascii="宋体" w:hAnsi="宋体" w:eastAsia="宋体" w:cs="宋体"/>
      <w:color w:val="000000"/>
      <w:sz w:val="14"/>
      <w:szCs w:val="14"/>
      <w:u w:val="none"/>
    </w:rPr>
  </w:style>
  <w:style w:type="character" w:customStyle="1" w:styleId="184">
    <w:name w:val="font61"/>
    <w:qFormat/>
    <w:uiPriority w:val="99"/>
    <w:rPr>
      <w:rFonts w:ascii="宋体" w:hAnsi="宋体" w:eastAsia="宋体" w:cs="宋体"/>
      <w:color w:val="000000"/>
      <w:sz w:val="20"/>
      <w:szCs w:val="20"/>
      <w:u w:val="none"/>
    </w:rPr>
  </w:style>
  <w:style w:type="character" w:customStyle="1" w:styleId="185">
    <w:name w:val="font21"/>
    <w:qFormat/>
    <w:uiPriority w:val="99"/>
    <w:rPr>
      <w:rFonts w:ascii="宋体" w:hAnsi="宋体" w:eastAsia="宋体" w:cs="宋体"/>
      <w:color w:val="000000"/>
      <w:sz w:val="16"/>
      <w:szCs w:val="16"/>
      <w:u w:val="none"/>
    </w:rPr>
  </w:style>
  <w:style w:type="character" w:customStyle="1" w:styleId="186">
    <w:name w:val="font31"/>
    <w:qFormat/>
    <w:uiPriority w:val="99"/>
    <w:rPr>
      <w:rFonts w:ascii="Arial" w:hAnsi="Arial" w:cs="Arial"/>
      <w:b/>
      <w:color w:val="000000"/>
      <w:sz w:val="22"/>
      <w:szCs w:val="22"/>
      <w:u w:val="none"/>
    </w:rPr>
  </w:style>
  <w:style w:type="character" w:customStyle="1" w:styleId="187">
    <w:name w:val="font111"/>
    <w:qFormat/>
    <w:uiPriority w:val="99"/>
    <w:rPr>
      <w:rFonts w:ascii="宋体" w:hAnsi="宋体" w:eastAsia="宋体" w:cs="宋体"/>
      <w:b/>
      <w:color w:val="000000"/>
      <w:sz w:val="22"/>
      <w:szCs w:val="22"/>
      <w:u w:val="none"/>
    </w:rPr>
  </w:style>
  <w:style w:type="character" w:customStyle="1" w:styleId="188">
    <w:name w:val="font51"/>
    <w:qFormat/>
    <w:uiPriority w:val="99"/>
    <w:rPr>
      <w:rFonts w:ascii="Arial" w:hAnsi="Arial" w:cs="Arial"/>
      <w:b/>
      <w:color w:val="000000"/>
      <w:sz w:val="20"/>
      <w:szCs w:val="20"/>
      <w:u w:val="none"/>
    </w:rPr>
  </w:style>
  <w:style w:type="character" w:customStyle="1" w:styleId="189">
    <w:name w:val="font101"/>
    <w:qFormat/>
    <w:uiPriority w:val="99"/>
    <w:rPr>
      <w:rFonts w:ascii="宋体" w:hAnsi="宋体" w:eastAsia="宋体" w:cs="宋体"/>
      <w:b/>
      <w:color w:val="000000"/>
      <w:sz w:val="20"/>
      <w:szCs w:val="20"/>
      <w:u w:val="none"/>
    </w:rPr>
  </w:style>
  <w:style w:type="character" w:customStyle="1" w:styleId="190">
    <w:name w:val="font01"/>
    <w:qFormat/>
    <w:uiPriority w:val="99"/>
    <w:rPr>
      <w:rFonts w:ascii="Arial" w:hAnsi="Arial" w:cs="Arial"/>
      <w:color w:val="000000"/>
      <w:sz w:val="20"/>
      <w:szCs w:val="20"/>
      <w:u w:val="none"/>
    </w:rPr>
  </w:style>
  <w:style w:type="character" w:customStyle="1" w:styleId="191">
    <w:name w:val="font41"/>
    <w:qFormat/>
    <w:uiPriority w:val="99"/>
    <w:rPr>
      <w:rFonts w:ascii="微软雅黑" w:hAnsi="微软雅黑" w:eastAsia="微软雅黑" w:cs="微软雅黑"/>
      <w:color w:val="000000"/>
      <w:sz w:val="20"/>
      <w:szCs w:val="20"/>
      <w:u w:val="none"/>
    </w:rPr>
  </w:style>
  <w:style w:type="character" w:customStyle="1" w:styleId="192">
    <w:name w:val="font121"/>
    <w:qFormat/>
    <w:uiPriority w:val="99"/>
    <w:rPr>
      <w:rFonts w:ascii="宋体" w:hAnsi="宋体" w:eastAsia="宋体" w:cs="宋体"/>
      <w:color w:val="000000"/>
      <w:sz w:val="22"/>
      <w:szCs w:val="22"/>
      <w:u w:val="none"/>
    </w:rPr>
  </w:style>
  <w:style w:type="character" w:customStyle="1" w:styleId="193">
    <w:name w:val="font151"/>
    <w:qFormat/>
    <w:uiPriority w:val="99"/>
    <w:rPr>
      <w:rFonts w:ascii="Calibri" w:hAnsi="Calibri" w:cs="Calibri"/>
      <w:color w:val="000000"/>
      <w:sz w:val="20"/>
      <w:szCs w:val="20"/>
      <w:u w:val="none"/>
    </w:rPr>
  </w:style>
  <w:style w:type="character" w:customStyle="1" w:styleId="194">
    <w:name w:val="font141"/>
    <w:qFormat/>
    <w:uiPriority w:val="99"/>
    <w:rPr>
      <w:rFonts w:ascii="Calibri" w:hAnsi="Calibri" w:cs="Calibri"/>
      <w:color w:val="000000"/>
      <w:sz w:val="21"/>
      <w:szCs w:val="21"/>
      <w:u w:val="none"/>
    </w:rPr>
  </w:style>
  <w:style w:type="character" w:customStyle="1" w:styleId="195">
    <w:name w:val="font71"/>
    <w:qFormat/>
    <w:uiPriority w:val="99"/>
    <w:rPr>
      <w:rFonts w:ascii="宋体" w:hAnsi="宋体" w:eastAsia="宋体" w:cs="宋体"/>
      <w:color w:val="000000"/>
      <w:sz w:val="18"/>
      <w:szCs w:val="18"/>
      <w:u w:val="none"/>
    </w:rPr>
  </w:style>
  <w:style w:type="character" w:customStyle="1" w:styleId="196">
    <w:name w:val="l-btn-empty"/>
    <w:basedOn w:val="37"/>
    <w:qFormat/>
    <w:uiPriority w:val="0"/>
  </w:style>
  <w:style w:type="character" w:customStyle="1" w:styleId="197">
    <w:name w:val="l-btn-left2"/>
    <w:basedOn w:val="37"/>
    <w:qFormat/>
    <w:uiPriority w:val="0"/>
  </w:style>
  <w:style w:type="character" w:customStyle="1" w:styleId="198">
    <w:name w:val="l-btn-left3"/>
    <w:basedOn w:val="37"/>
    <w:qFormat/>
    <w:uiPriority w:val="0"/>
  </w:style>
  <w:style w:type="character" w:customStyle="1" w:styleId="199">
    <w:name w:val="l-btn-left4"/>
    <w:basedOn w:val="37"/>
    <w:qFormat/>
    <w:uiPriority w:val="0"/>
  </w:style>
  <w:style w:type="character" w:customStyle="1" w:styleId="200">
    <w:name w:val="l-btn-left5"/>
    <w:basedOn w:val="37"/>
    <w:qFormat/>
    <w:uiPriority w:val="0"/>
  </w:style>
  <w:style w:type="character" w:customStyle="1" w:styleId="201">
    <w:name w:val="l-btn-text"/>
    <w:basedOn w:val="37"/>
    <w:qFormat/>
    <w:uiPriority w:val="0"/>
  </w:style>
  <w:style w:type="character" w:customStyle="1" w:styleId="202">
    <w:name w:val="l-selected2"/>
    <w:qFormat/>
    <w:uiPriority w:val="0"/>
    <w:rPr>
      <w:color w:val="355686"/>
      <w:bdr w:val="single" w:color="DAB364" w:sz="6" w:space="0"/>
      <w:shd w:val="clear" w:color="auto" w:fill="FFFFFF"/>
    </w:rPr>
  </w:style>
  <w:style w:type="character" w:customStyle="1" w:styleId="203">
    <w:name w:val="l-open"/>
    <w:basedOn w:val="37"/>
    <w:qFormat/>
    <w:uiPriority w:val="0"/>
  </w:style>
  <w:style w:type="character" w:customStyle="1" w:styleId="204">
    <w:name w:val="l-over"/>
    <w:qFormat/>
    <w:uiPriority w:val="0"/>
    <w:rPr>
      <w:bdr w:val="single" w:color="DAB364" w:sz="6" w:space="0"/>
    </w:rPr>
  </w:style>
  <w:style w:type="character" w:customStyle="1" w:styleId="205">
    <w:name w:val="l-selected"/>
    <w:qFormat/>
    <w:uiPriority w:val="0"/>
    <w:rPr>
      <w:color w:val="355686"/>
      <w:bdr w:val="single" w:color="DAB364" w:sz="6" w:space="0"/>
      <w:shd w:val="clear" w:color="auto" w:fill="FFFFFF"/>
    </w:rPr>
  </w:style>
  <w:style w:type="character" w:customStyle="1" w:styleId="206">
    <w:name w:val="l-btn-left"/>
    <w:basedOn w:val="37"/>
    <w:qFormat/>
    <w:uiPriority w:val="0"/>
  </w:style>
  <w:style w:type="character" w:customStyle="1" w:styleId="207">
    <w:name w:val="l-btn-left1"/>
    <w:basedOn w:val="37"/>
    <w:qFormat/>
    <w:uiPriority w:val="0"/>
  </w:style>
  <w:style w:type="paragraph" w:customStyle="1" w:styleId="20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9">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0">
    <w:name w:val="样式3"/>
    <w:basedOn w:val="19"/>
    <w:qFormat/>
    <w:uiPriority w:val="0"/>
    <w:pPr>
      <w:spacing w:line="0" w:lineRule="atLeast"/>
      <w:outlineLvl w:val="0"/>
    </w:pPr>
    <w:rPr>
      <w:rFonts w:ascii="Times New Roman" w:hAnsi="Times New Roman"/>
      <w:sz w:val="28"/>
    </w:rPr>
  </w:style>
  <w:style w:type="paragraph" w:customStyle="1" w:styleId="211">
    <w:name w:val="列出段落4"/>
    <w:basedOn w:val="1"/>
    <w:qFormat/>
    <w:uiPriority w:val="34"/>
    <w:pPr>
      <w:ind w:firstLine="420" w:firstLineChars="200"/>
    </w:pPr>
  </w:style>
  <w:style w:type="character" w:customStyle="1" w:styleId="212">
    <w:name w:val="tcolor4"/>
    <w:qFormat/>
    <w:uiPriority w:val="0"/>
    <w:rPr>
      <w:rFonts w:ascii="lucida grande" w:hAnsi="lucida grande" w:eastAsia="lucida grande" w:cs="lucida grande"/>
      <w:color w:val="7F7F7F"/>
      <w:sz w:val="18"/>
      <w:szCs w:val="18"/>
    </w:rPr>
  </w:style>
  <w:style w:type="character" w:customStyle="1" w:styleId="213">
    <w:name w:val="apple-style-span"/>
    <w:qFormat/>
    <w:uiPriority w:val="0"/>
    <w:rPr>
      <w:rFonts w:cs="Times New Roman"/>
    </w:rPr>
  </w:style>
  <w:style w:type="paragraph" w:customStyle="1" w:styleId="214">
    <w:name w:val="_Style 1"/>
    <w:basedOn w:val="1"/>
    <w:qFormat/>
    <w:uiPriority w:val="0"/>
    <w:pPr>
      <w:ind w:firstLine="420" w:firstLineChars="200"/>
    </w:pPr>
    <w:rPr>
      <w:szCs w:val="22"/>
    </w:rPr>
  </w:style>
  <w:style w:type="character" w:customStyle="1" w:styleId="215">
    <w:name w:val="fontstyle21"/>
    <w:qFormat/>
    <w:uiPriority w:val="0"/>
    <w:rPr>
      <w:rFonts w:ascii="TimesNewRomanPSMT" w:hAnsi="TimesNewRomanPSMT" w:eastAsia="TimesNewRomanPSMT" w:cs="TimesNewRomanPSMT"/>
      <w:color w:val="000000"/>
      <w:sz w:val="18"/>
      <w:szCs w:val="18"/>
    </w:rPr>
  </w:style>
  <w:style w:type="character" w:customStyle="1" w:styleId="216">
    <w:name w:val="fontstyle01"/>
    <w:qFormat/>
    <w:uiPriority w:val="0"/>
    <w:rPr>
      <w:rFonts w:hint="eastAsia" w:ascii="宋体" w:hAnsi="宋体" w:eastAsia="宋体" w:cs="宋体"/>
      <w:color w:val="000000"/>
      <w:sz w:val="24"/>
      <w:szCs w:val="24"/>
    </w:rPr>
  </w:style>
  <w:style w:type="paragraph" w:customStyle="1" w:styleId="217">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8">
    <w:name w:val="标准段落正文"/>
    <w:basedOn w:val="219"/>
    <w:qFormat/>
    <w:uiPriority w:val="0"/>
    <w:pPr>
      <w:spacing w:beforeLines="0" w:afterLines="0"/>
      <w:ind w:left="0" w:leftChars="0" w:firstLine="480" w:firstLineChars="200"/>
      <w:jc w:val="left"/>
    </w:pPr>
    <w:rPr>
      <w:rFonts w:eastAsia="宋体"/>
    </w:rPr>
  </w:style>
  <w:style w:type="paragraph" w:customStyle="1" w:styleId="219">
    <w:name w:val="单括号小标题"/>
    <w:basedOn w:val="1"/>
    <w:qFormat/>
    <w:uiPriority w:val="0"/>
    <w:pPr>
      <w:spacing w:beforeLines="50" w:afterLines="100" w:line="360" w:lineRule="auto"/>
      <w:ind w:left="200" w:leftChars="200"/>
    </w:pPr>
    <w:rPr>
      <w:rFonts w:eastAsia="黑体"/>
      <w:sz w:val="24"/>
    </w:rPr>
  </w:style>
  <w:style w:type="paragraph" w:styleId="220">
    <w:name w:val="List Paragraph"/>
    <w:basedOn w:val="1"/>
    <w:qFormat/>
    <w:uiPriority w:val="34"/>
    <w:pPr>
      <w:ind w:firstLine="420" w:firstLineChars="200"/>
    </w:pPr>
  </w:style>
  <w:style w:type="paragraph" w:customStyle="1" w:styleId="221">
    <w:name w:val="Table Paragraph"/>
    <w:basedOn w:val="1"/>
    <w:qFormat/>
    <w:uiPriority w:val="1"/>
    <w:rPr>
      <w:rFonts w:ascii="宋体" w:hAnsi="宋体" w:cs="宋体"/>
    </w:rPr>
  </w:style>
  <w:style w:type="paragraph" w:customStyle="1" w:styleId="222">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3">
    <w:name w:val="add"/>
    <w:basedOn w:val="37"/>
    <w:qFormat/>
    <w:uiPriority w:val="0"/>
  </w:style>
  <w:style w:type="character" w:customStyle="1" w:styleId="224">
    <w:name w:val="hover9"/>
    <w:basedOn w:val="37"/>
    <w:qFormat/>
    <w:uiPriority w:val="0"/>
    <w:rPr>
      <w:color w:val="FF0000"/>
    </w:rPr>
  </w:style>
  <w:style w:type="character" w:customStyle="1" w:styleId="225">
    <w:name w:val="orange"/>
    <w:basedOn w:val="37"/>
    <w:qFormat/>
    <w:uiPriority w:val="0"/>
    <w:rPr>
      <w:color w:val="FF851A"/>
    </w:rPr>
  </w:style>
  <w:style w:type="character" w:customStyle="1" w:styleId="226">
    <w:name w:val="tradclose"/>
    <w:basedOn w:val="37"/>
    <w:qFormat/>
    <w:uiPriority w:val="0"/>
    <w:rPr>
      <w:sz w:val="30"/>
      <w:szCs w:val="30"/>
    </w:rPr>
  </w:style>
  <w:style w:type="character" w:customStyle="1" w:styleId="227">
    <w:name w:val="hover7"/>
    <w:basedOn w:val="37"/>
    <w:qFormat/>
    <w:uiPriority w:val="0"/>
    <w:rPr>
      <w:color w:val="FF0000"/>
    </w:rPr>
  </w:style>
  <w:style w:type="paragraph" w:customStyle="1" w:styleId="228">
    <w:name w:val="标题 2_0"/>
    <w:basedOn w:val="229"/>
    <w:next w:val="229"/>
    <w:qFormat/>
    <w:uiPriority w:val="0"/>
    <w:pPr>
      <w:keepNext/>
      <w:keepLines/>
      <w:spacing w:before="260" w:after="260" w:line="415" w:lineRule="auto"/>
      <w:outlineLvl w:val="1"/>
    </w:pPr>
    <w:rPr>
      <w:rFonts w:ascii="Cambria" w:hAnsi="Cambria"/>
      <w:b/>
      <w:bCs/>
      <w:kern w:val="0"/>
      <w:sz w:val="32"/>
      <w:szCs w:val="32"/>
    </w:rPr>
  </w:style>
  <w:style w:type="paragraph" w:customStyle="1" w:styleId="229">
    <w:name w:val="正文_0"/>
    <w:qFormat/>
    <w:uiPriority w:val="0"/>
    <w:pPr>
      <w:widowControl w:val="0"/>
      <w:spacing w:after="0" w:line="240" w:lineRule="auto"/>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5.xml"/><Relationship Id="rId18" Type="http://schemas.openxmlformats.org/officeDocument/2006/relationships/header" Target="header12.xml"/><Relationship Id="rId17" Type="http://schemas.openxmlformats.org/officeDocument/2006/relationships/header" Target="header11.xml"/><Relationship Id="rId16" Type="http://schemas.openxmlformats.org/officeDocument/2006/relationships/footer" Target="footer4.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0</TotalTime>
  <ScaleCrop>false</ScaleCrop>
  <LinksUpToDate>false</LinksUpToDate>
  <CharactersWithSpaces>36057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Administrator</cp:lastModifiedBy>
  <cp:lastPrinted>2017-05-08T03:41:00Z</cp:lastPrinted>
  <dcterms:modified xsi:type="dcterms:W3CDTF">2020-09-11T02:05:05Z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