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ind w:left="0" w:leftChars="0" w:firstLine="0" w:firstLineChars="0"/>
      </w:pPr>
    </w:p>
    <w:p/>
    <w:p>
      <w:pPr>
        <w:pStyle w:val="2"/>
        <w:jc w:val="center"/>
        <w:rPr>
          <w:rFonts w:hint="eastAsia" w:ascii="宋体" w:hAnsi="宋体" w:eastAsia="宋体" w:cs="宋体"/>
          <w:b/>
          <w:kern w:val="0"/>
          <w:sz w:val="72"/>
          <w:szCs w:val="72"/>
          <w:lang w:eastAsia="zh-CN"/>
        </w:rPr>
      </w:pPr>
      <w:bookmarkStart w:id="1" w:name="_Toc2876"/>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招标代理服务</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7"/>
        <w:rPr>
          <w:rFonts w:hint="eastAsia"/>
        </w:rPr>
      </w:pPr>
    </w:p>
    <w:p>
      <w:pPr>
        <w:pStyle w:val="17"/>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cs="宋体"/>
          <w:b/>
          <w:bCs w:val="0"/>
          <w:color w:val="FF0000"/>
          <w:sz w:val="32"/>
          <w:szCs w:val="32"/>
          <w:lang w:val="en-US" w:eastAsia="zh-CN"/>
        </w:rPr>
        <w:t>013</w:t>
      </w:r>
    </w:p>
    <w:p>
      <w:pPr>
        <w:spacing w:line="360" w:lineRule="auto"/>
        <w:ind w:firstLine="590" w:firstLineChars="196"/>
        <w:jc w:val="center"/>
        <w:rPr>
          <w:rFonts w:hint="eastAsia" w:ascii="宋体" w:hAnsi="宋体" w:eastAsia="宋体" w:cs="宋体"/>
          <w:b/>
          <w:sz w:val="30"/>
          <w:szCs w:val="30"/>
        </w:rPr>
      </w:pPr>
    </w:p>
    <w:p>
      <w:pPr>
        <w:pStyle w:val="2"/>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fmt="decimal"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月</w:t>
      </w:r>
    </w:p>
    <w:p>
      <w:pPr>
        <w:pStyle w:val="3"/>
        <w:rPr>
          <w:rFonts w:ascii="宋体" w:hAnsi="宋体" w:cs="宋体"/>
        </w:rPr>
      </w:pPr>
      <w:r>
        <w:rPr>
          <w:rFonts w:hint="eastAsia" w:ascii="宋体" w:hAnsi="宋体" w:cs="宋体"/>
        </w:rPr>
        <w:t>目录</w:t>
      </w:r>
      <w:bookmarkEnd w:id="1"/>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7"/>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13"/>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甘肃省第二人民医院招标</w:t>
      </w:r>
      <w:r>
        <w:rPr>
          <w:rFonts w:hint="eastAsia" w:ascii="宋体" w:hAnsi="宋体" w:cs="宋体"/>
          <w:i w:val="0"/>
          <w:iCs w:val="0"/>
          <w:color w:val="FF0000"/>
          <w:sz w:val="24"/>
          <w:szCs w:val="24"/>
          <w:u w:val="single"/>
          <w:lang w:val="en-US" w:eastAsia="zh-CN"/>
        </w:rPr>
        <w:t>代理服务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3</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7" w:name="_Toc35393790"/>
      <w:bookmarkStart w:id="8" w:name="_Toc35393621"/>
      <w:bookmarkStart w:id="9" w:name="_Toc28359079"/>
      <w:bookmarkStart w:id="10" w:name="_Toc28359002"/>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22</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013</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招标代理服务</w:t>
      </w:r>
      <w:r>
        <w:rPr>
          <w:rFonts w:hint="eastAsia" w:ascii="宋体" w:hAnsi="宋体" w:cs="宋体"/>
          <w:i w:val="0"/>
          <w:iCs w:val="0"/>
          <w:sz w:val="24"/>
          <w:szCs w:val="24"/>
          <w:u w:val="none"/>
          <w:lang w:val="en-US" w:eastAsia="zh-CN"/>
        </w:rPr>
        <w:t>采购项目</w:t>
      </w:r>
    </w:p>
    <w:p>
      <w:pPr>
        <w:pStyle w:val="17"/>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1"/>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sz w:val="24"/>
          <w:szCs w:val="24"/>
          <w:lang w:val="en-US" w:eastAsia="zh-CN"/>
        </w:rPr>
        <w:t>/</w:t>
      </w:r>
    </w:p>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sz w:val="24"/>
          <w:szCs w:val="24"/>
          <w:lang w:val="en-US" w:eastAsia="zh-CN"/>
        </w:rPr>
        <w:t>/</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p>
      <w:pPr>
        <w:pStyle w:val="21"/>
        <w:keepNext w:val="0"/>
        <w:keepLines w:val="0"/>
        <w:pageBreakBefore w:val="0"/>
        <w:kinsoku/>
        <w:wordWrap/>
        <w:overflowPunct/>
        <w:topLinePunct w:val="0"/>
        <w:autoSpaceDE/>
        <w:autoSpaceDN/>
        <w:bidi w:val="0"/>
        <w:spacing w:before="0" w:beforeAutospacing="0" w:line="360" w:lineRule="auto"/>
        <w:ind w:firstLine="1680" w:firstLineChars="700"/>
        <w:rPr>
          <w:rFonts w:hint="default" w:hAnsi="宋体" w:cs="宋体"/>
          <w:color w:val="auto"/>
          <w:sz w:val="24"/>
          <w:lang w:val="en-US" w:eastAsia="zh-CN"/>
        </w:rPr>
      </w:pPr>
      <w:r>
        <w:rPr>
          <w:rFonts w:hint="eastAsia" w:hAnsi="宋体" w:cs="宋体"/>
          <w:color w:val="auto"/>
          <w:sz w:val="24"/>
          <w:lang w:eastAsia="zh-CN"/>
        </w:rPr>
        <w:t>第一包：</w:t>
      </w:r>
      <w:r>
        <w:rPr>
          <w:rFonts w:hint="eastAsia" w:hAnsi="宋体" w:cs="宋体"/>
          <w:color w:val="auto"/>
          <w:sz w:val="24"/>
          <w:lang w:val="en-US" w:eastAsia="zh-CN"/>
        </w:rPr>
        <w:t>医疗</w:t>
      </w:r>
      <w:r>
        <w:rPr>
          <w:rFonts w:hint="eastAsia" w:hAnsi="宋体" w:cs="宋体"/>
          <w:color w:val="auto"/>
          <w:sz w:val="24"/>
          <w:lang w:eastAsia="zh-CN"/>
        </w:rPr>
        <w:t>设备类项目招标代理公司</w:t>
      </w:r>
      <w:r>
        <w:rPr>
          <w:rFonts w:hint="eastAsia" w:hAnsi="宋体" w:cs="宋体"/>
          <w:color w:val="auto"/>
          <w:sz w:val="24"/>
          <w:lang w:val="en-US" w:eastAsia="zh-CN"/>
        </w:rPr>
        <w:t xml:space="preserve">        招一家</w:t>
      </w:r>
    </w:p>
    <w:p>
      <w:pPr>
        <w:pStyle w:val="21"/>
        <w:keepNext w:val="0"/>
        <w:keepLines w:val="0"/>
        <w:pageBreakBefore w:val="0"/>
        <w:kinsoku/>
        <w:wordWrap/>
        <w:overflowPunct/>
        <w:topLinePunct w:val="0"/>
        <w:autoSpaceDE/>
        <w:autoSpaceDN/>
        <w:bidi w:val="0"/>
        <w:spacing w:before="0" w:beforeAutospacing="0" w:line="360" w:lineRule="auto"/>
        <w:ind w:firstLine="1680" w:firstLineChars="700"/>
        <w:rPr>
          <w:rFonts w:hint="default" w:hAnsi="宋体" w:cs="宋体"/>
          <w:color w:val="auto"/>
          <w:sz w:val="24"/>
          <w:lang w:val="en-US" w:eastAsia="zh-CN"/>
        </w:rPr>
      </w:pPr>
      <w:r>
        <w:rPr>
          <w:rFonts w:hint="eastAsia" w:hAnsi="宋体" w:cs="宋体"/>
          <w:color w:val="auto"/>
          <w:sz w:val="24"/>
          <w:lang w:eastAsia="zh-CN"/>
        </w:rPr>
        <w:t>第二包：</w:t>
      </w:r>
      <w:r>
        <w:rPr>
          <w:rFonts w:hint="eastAsia" w:hAnsi="宋体" w:cs="宋体"/>
          <w:color w:val="auto"/>
          <w:sz w:val="24"/>
          <w:lang w:val="en-US" w:eastAsia="zh-CN"/>
        </w:rPr>
        <w:t>服务</w:t>
      </w:r>
      <w:r>
        <w:rPr>
          <w:rFonts w:hint="eastAsia" w:hAnsi="宋体" w:cs="宋体"/>
          <w:color w:val="auto"/>
          <w:sz w:val="24"/>
          <w:lang w:eastAsia="zh-CN"/>
        </w:rPr>
        <w:t>类项目招标代理公司</w:t>
      </w:r>
      <w:r>
        <w:rPr>
          <w:rFonts w:hint="eastAsia" w:hAnsi="宋体" w:cs="宋体"/>
          <w:color w:val="auto"/>
          <w:sz w:val="24"/>
          <w:lang w:val="en-US" w:eastAsia="zh-CN"/>
        </w:rPr>
        <w:t xml:space="preserve">            招一家</w:t>
      </w:r>
    </w:p>
    <w:p>
      <w:pPr>
        <w:pStyle w:val="21"/>
        <w:keepNext w:val="0"/>
        <w:keepLines w:val="0"/>
        <w:pageBreakBefore w:val="0"/>
        <w:kinsoku/>
        <w:wordWrap/>
        <w:overflowPunct/>
        <w:topLinePunct w:val="0"/>
        <w:autoSpaceDE/>
        <w:autoSpaceDN/>
        <w:bidi w:val="0"/>
        <w:spacing w:before="0" w:beforeAutospacing="0" w:line="360" w:lineRule="auto"/>
        <w:ind w:firstLine="1680" w:firstLineChars="700"/>
        <w:rPr>
          <w:rFonts w:hint="default" w:hAnsi="宋体" w:cs="宋体"/>
          <w:color w:val="auto"/>
          <w:sz w:val="24"/>
          <w:lang w:val="en-US" w:eastAsia="zh-CN"/>
        </w:rPr>
      </w:pPr>
      <w:r>
        <w:rPr>
          <w:rFonts w:hint="eastAsia" w:hAnsi="宋体" w:cs="宋体"/>
          <w:color w:val="auto"/>
          <w:sz w:val="24"/>
          <w:lang w:eastAsia="zh-CN"/>
        </w:rPr>
        <w:t>第三包：工程类项目招标代理公司</w:t>
      </w:r>
      <w:r>
        <w:rPr>
          <w:rFonts w:hint="eastAsia" w:hAnsi="宋体" w:cs="宋体"/>
          <w:color w:val="auto"/>
          <w:sz w:val="24"/>
          <w:lang w:val="en-US" w:eastAsia="zh-CN"/>
        </w:rPr>
        <w:t xml:space="preserve">            招一家</w:t>
      </w:r>
    </w:p>
    <w:p>
      <w:pPr>
        <w:pStyle w:val="21"/>
        <w:keepNext w:val="0"/>
        <w:keepLines w:val="0"/>
        <w:pageBreakBefore w:val="0"/>
        <w:kinsoku/>
        <w:wordWrap/>
        <w:overflowPunct/>
        <w:topLinePunct w:val="0"/>
        <w:autoSpaceDE/>
        <w:autoSpaceDN/>
        <w:bidi w:val="0"/>
        <w:spacing w:before="0" w:beforeAutospacing="0" w:line="360" w:lineRule="auto"/>
        <w:ind w:firstLine="1680" w:firstLineChars="700"/>
        <w:rPr>
          <w:rFonts w:hint="eastAsia"/>
        </w:rPr>
      </w:pPr>
      <w:r>
        <w:rPr>
          <w:rFonts w:hint="eastAsia" w:hAnsi="宋体" w:cs="宋体"/>
          <w:color w:val="auto"/>
          <w:sz w:val="24"/>
          <w:lang w:eastAsia="zh-CN"/>
        </w:rPr>
        <w:t>第四包：</w:t>
      </w:r>
      <w:r>
        <w:rPr>
          <w:rFonts w:hint="eastAsia" w:hAnsi="宋体" w:cs="宋体"/>
          <w:color w:val="auto"/>
          <w:sz w:val="24"/>
          <w:lang w:val="en-US" w:eastAsia="zh-CN"/>
        </w:rPr>
        <w:t>其他</w:t>
      </w:r>
      <w:r>
        <w:rPr>
          <w:rFonts w:hint="eastAsia" w:hAnsi="宋体" w:cs="宋体"/>
          <w:color w:val="auto"/>
          <w:sz w:val="24"/>
          <w:lang w:eastAsia="zh-CN"/>
        </w:rPr>
        <w:t>类项目招标代理公司</w:t>
      </w:r>
      <w:r>
        <w:rPr>
          <w:rFonts w:hint="eastAsia" w:hAnsi="宋体" w:cs="宋体"/>
          <w:color w:val="auto"/>
          <w:sz w:val="24"/>
          <w:lang w:val="en-US" w:eastAsia="zh-CN"/>
        </w:rPr>
        <w:t xml:space="preserve">            招一家</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2" w:name="_Toc28359003"/>
      <w:bookmarkStart w:id="13" w:name="_Toc35393622"/>
      <w:bookmarkStart w:id="14" w:name="_Toc35393791"/>
      <w:bookmarkStart w:id="15" w:name="_Toc28359080"/>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28359004"/>
      <w:bookmarkStart w:id="17" w:name="_Toc28359081"/>
      <w:bookmarkStart w:id="18" w:name="_Toc35393623"/>
      <w:bookmarkStart w:id="19" w:name="_Toc35393792"/>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3</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招标代理服务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0" w:name="_Toc28359082"/>
      <w:bookmarkStart w:id="21" w:name="_Toc28359005"/>
      <w:bookmarkStart w:id="22" w:name="_Toc35393624"/>
      <w:bookmarkStart w:id="23" w:name="_Toc35393793"/>
      <w:r>
        <w:rPr>
          <w:rFonts w:hint="eastAsia" w:ascii="宋体" w:hAnsi="宋体" w:eastAsia="宋体" w:cs="宋体"/>
          <w:b w:val="0"/>
          <w:i w:val="0"/>
          <w:iCs w:val="0"/>
          <w:sz w:val="30"/>
          <w:szCs w:val="30"/>
        </w:rPr>
        <w:t>四、提交投标文件</w:t>
      </w:r>
      <w:bookmarkEnd w:id="20"/>
      <w:bookmarkEnd w:id="21"/>
      <w:r>
        <w:rPr>
          <w:rFonts w:hint="eastAsia" w:ascii="宋体" w:hAnsi="宋体" w:eastAsia="宋体" w:cs="宋体"/>
          <w:b w:val="0"/>
          <w:i w:val="0"/>
          <w:iCs w:val="0"/>
          <w:sz w:val="30"/>
          <w:szCs w:val="30"/>
        </w:rPr>
        <w:t>截止时间、开标时间和地点</w:t>
      </w:r>
      <w:bookmarkEnd w:id="22"/>
      <w:bookmarkEnd w:id="23"/>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3</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4"/>
        <w:spacing w:line="360" w:lineRule="auto"/>
        <w:rPr>
          <w:rFonts w:hint="eastAsia" w:ascii="宋体" w:hAnsi="宋体" w:eastAsia="宋体" w:cs="宋体"/>
          <w:b w:val="0"/>
          <w:i w:val="0"/>
          <w:iCs w:val="0"/>
          <w:sz w:val="30"/>
          <w:szCs w:val="30"/>
        </w:rPr>
      </w:pPr>
      <w:bookmarkStart w:id="24" w:name="_Toc35393794"/>
      <w:bookmarkStart w:id="25" w:name="_Toc28359007"/>
      <w:bookmarkStart w:id="26" w:name="_Toc35393625"/>
      <w:bookmarkStart w:id="27" w:name="_Toc28359084"/>
      <w:r>
        <w:rPr>
          <w:rFonts w:hint="eastAsia" w:ascii="宋体" w:hAnsi="宋体" w:eastAsia="宋体" w:cs="宋体"/>
          <w:b w:val="0"/>
          <w:i w:val="0"/>
          <w:iCs w:val="0"/>
          <w:sz w:val="30"/>
          <w:szCs w:val="30"/>
        </w:rPr>
        <w:t>五、公告期限</w:t>
      </w:r>
      <w:bookmarkEnd w:id="24"/>
      <w:bookmarkEnd w:id="25"/>
      <w:bookmarkEnd w:id="26"/>
      <w:bookmarkEnd w:id="27"/>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8" w:name="_Toc35393626"/>
      <w:bookmarkStart w:id="29" w:name="_Toc35393795"/>
      <w:r>
        <w:rPr>
          <w:rFonts w:hint="eastAsia" w:ascii="宋体" w:hAnsi="宋体" w:eastAsia="宋体" w:cs="宋体"/>
          <w:b w:val="0"/>
          <w:i w:val="0"/>
          <w:iCs w:val="0"/>
          <w:sz w:val="30"/>
          <w:szCs w:val="30"/>
        </w:rPr>
        <w:t>六、其他补充事宜</w:t>
      </w:r>
      <w:bookmarkEnd w:id="28"/>
      <w:bookmarkEnd w:id="29"/>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3</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val="en-US" w:eastAsia="zh-CN"/>
        </w:rPr>
        <w:t>10</w:t>
      </w:r>
      <w:r>
        <w:rPr>
          <w:rFonts w:hint="eastAsia" w:ascii="宋体" w:hAnsi="宋体" w:eastAsia="宋体" w:cs="宋体"/>
          <w:b w:val="0"/>
          <w:bCs w:val="0"/>
          <w:color w:val="auto"/>
          <w:kern w:val="0"/>
          <w:sz w:val="24"/>
          <w:szCs w:val="22"/>
          <w:lang w:eastAsia="zh-CN"/>
        </w:rPr>
        <w:t>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spacing w:line="360" w:lineRule="auto"/>
        <w:rPr>
          <w:rFonts w:hint="eastAsia" w:ascii="宋体" w:hAnsi="宋体" w:eastAsia="宋体" w:cs="宋体"/>
          <w:b w:val="0"/>
          <w:i w:val="0"/>
          <w:iCs w:val="0"/>
          <w:sz w:val="30"/>
          <w:szCs w:val="30"/>
        </w:rPr>
      </w:pPr>
      <w:bookmarkStart w:id="30" w:name="_Toc28359085"/>
      <w:bookmarkStart w:id="31" w:name="_Toc35393627"/>
      <w:bookmarkStart w:id="32" w:name="_Toc35393796"/>
      <w:bookmarkStart w:id="33" w:name="_Toc28359008"/>
      <w:r>
        <w:rPr>
          <w:rFonts w:hint="eastAsia" w:ascii="宋体" w:hAnsi="宋体" w:cs="宋体"/>
          <w:b w:val="0"/>
          <w:i w:val="0"/>
          <w:iCs w:val="0"/>
          <w:sz w:val="30"/>
          <w:szCs w:val="30"/>
          <w:lang w:val="en-US" w:eastAsia="zh-CN"/>
        </w:rPr>
        <w:t>七、</w:t>
      </w:r>
      <w:r>
        <w:rPr>
          <w:rFonts w:hint="eastAsia" w:ascii="宋体" w:hAnsi="宋体" w:eastAsia="宋体" w:cs="宋体"/>
          <w:b w:val="0"/>
          <w:i w:val="0"/>
          <w:iCs w:val="0"/>
          <w:sz w:val="30"/>
          <w:szCs w:val="30"/>
        </w:rPr>
        <w:t>对本次招标提出询问，请按以下方式联系</w:t>
      </w:r>
      <w:bookmarkEnd w:id="30"/>
      <w:bookmarkEnd w:id="31"/>
      <w:bookmarkEnd w:id="32"/>
      <w:bookmarkEnd w:id="33"/>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4" w:name="_Toc28359086"/>
      <w:bookmarkStart w:id="35" w:name="_Toc28359009"/>
    </w:p>
    <w:bookmarkEnd w:id="34"/>
    <w:bookmarkEnd w:id="35"/>
    <w:p>
      <w:pPr>
        <w:spacing w:line="360" w:lineRule="auto"/>
        <w:ind w:firstLine="720" w:firstLineChars="300"/>
        <w:rPr>
          <w:rFonts w:hint="eastAsia" w:ascii="宋体" w:hAnsi="宋体" w:eastAsia="宋体" w:cs="宋体"/>
          <w:i w:val="0"/>
          <w:iCs w:val="0"/>
          <w:sz w:val="24"/>
          <w:szCs w:val="24"/>
          <w:u w:val="single"/>
        </w:rPr>
      </w:pPr>
      <w:bookmarkStart w:id="36" w:name="_Toc28359087"/>
      <w:bookmarkStart w:id="37"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6"/>
      <w:bookmarkEnd w:id="37"/>
    </w:p>
    <w:p>
      <w:pPr>
        <w:pStyle w:val="21"/>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ind w:firstLine="3200" w:firstLineChars="1000"/>
        <w:jc w:val="both"/>
        <w:rPr>
          <w:rFonts w:hint="eastAsia" w:ascii="宋体" w:hAnsi="宋体" w:cs="宋体"/>
          <w:sz w:val="32"/>
          <w:szCs w:val="32"/>
        </w:rPr>
      </w:pPr>
      <w:bookmarkStart w:id="38" w:name="_Toc40"/>
    </w:p>
    <w:p>
      <w:pPr>
        <w:spacing w:line="360" w:lineRule="auto"/>
        <w:ind w:firstLine="3200" w:firstLineChars="1000"/>
        <w:jc w:val="both"/>
        <w:rPr>
          <w:rFonts w:hint="eastAsia" w:ascii="宋体" w:hAnsi="宋体" w:cs="宋体"/>
          <w:sz w:val="32"/>
          <w:szCs w:val="32"/>
        </w:rPr>
      </w:pPr>
    </w:p>
    <w:p>
      <w:pPr>
        <w:pStyle w:val="49"/>
        <w:rPr>
          <w:rFonts w:hint="eastAsia"/>
          <w:lang w:eastAsia="zh-CN"/>
        </w:rPr>
      </w:pPr>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38"/>
      <w:bookmarkStart w:id="39" w:name="_Toc128372730"/>
      <w:bookmarkStart w:id="40" w:name="_Toc128372052"/>
      <w:bookmarkStart w:id="41" w:name="_Toc327439435"/>
      <w:bookmarkStart w:id="42" w:name="_Toc139965326"/>
    </w:p>
    <w:p>
      <w:pPr>
        <w:pStyle w:val="4"/>
        <w:rPr>
          <w:rFonts w:ascii="宋体" w:hAnsi="宋体" w:cs="宋体"/>
          <w:color w:val="auto"/>
          <w:sz w:val="28"/>
          <w:szCs w:val="20"/>
        </w:rPr>
      </w:pPr>
      <w:bookmarkStart w:id="43" w:name="_Toc17569"/>
      <w:bookmarkStart w:id="44" w:name="_Toc18296"/>
      <w:r>
        <w:rPr>
          <w:rFonts w:hint="eastAsia" w:ascii="宋体" w:hAnsi="宋体" w:cs="宋体"/>
          <w:color w:val="auto"/>
          <w:sz w:val="28"/>
          <w:szCs w:val="20"/>
        </w:rPr>
        <w:t>投标人须知前附表</w:t>
      </w:r>
      <w:bookmarkEnd w:id="43"/>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noWrap w:val="0"/>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招标代理服务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noWrap w:val="0"/>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noWrap w:val="0"/>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013</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noWrap w:val="0"/>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noWrap w:val="0"/>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noWrap w:val="0"/>
            <w:vAlign w:val="top"/>
          </w:tcPr>
          <w:p>
            <w:pPr>
              <w:numPr>
                <w:ilvl w:val="0"/>
                <w:numId w:val="1"/>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1"/>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noWrap w:val="0"/>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noWrap w:val="0"/>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noWrap w:val="0"/>
            <w:vAlign w:val="center"/>
          </w:tcPr>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rPr>
                <w:rFonts w:hint="eastAsia" w:ascii="宋体" w:hAnsi="宋体" w:eastAsia="宋体" w:cs="宋体"/>
                <w:b/>
                <w:bCs/>
                <w:kern w:val="0"/>
                <w:sz w:val="24"/>
                <w:szCs w:val="32"/>
                <w:lang w:val="en-US" w:eastAsia="zh-CN" w:bidi="ar-SA"/>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r>
              <w:rPr>
                <w:rFonts w:hint="eastAsia" w:ascii="宋体" w:hAnsi="宋体" w:eastAsia="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noWrap w:val="0"/>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noWrap w:val="0"/>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noWrap w:val="0"/>
            <w:vAlign w:val="center"/>
          </w:tcPr>
          <w:p>
            <w:pPr>
              <w:pStyle w:val="209"/>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noWrap w:val="0"/>
            <w:vAlign w:val="center"/>
          </w:tcPr>
          <w:p>
            <w:pPr>
              <w:pStyle w:val="209"/>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noWrap w:val="0"/>
            <w:vAlign w:val="center"/>
          </w:tcPr>
          <w:p>
            <w:pPr>
              <w:pStyle w:val="209"/>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noWrap w:val="0"/>
            <w:vAlign w:val="center"/>
          </w:tcPr>
          <w:p>
            <w:pPr>
              <w:pStyle w:val="209"/>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2"/>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noWrap w:val="0"/>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3</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15</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noWrap w:val="0"/>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22</w:t>
            </w:r>
            <w:r>
              <w:rPr>
                <w:rFonts w:hint="eastAsia" w:ascii="宋体" w:hAnsi="宋体" w:cs="宋体"/>
                <w:b w:val="0"/>
                <w:bCs w:val="0"/>
                <w:color w:val="FF0000"/>
                <w:kern w:val="0"/>
                <w:sz w:val="24"/>
                <w:szCs w:val="22"/>
              </w:rPr>
              <w:t>年</w:t>
            </w:r>
            <w:r>
              <w:rPr>
                <w:rFonts w:hint="eastAsia" w:ascii="宋体" w:hAnsi="宋体" w:cs="宋体"/>
                <w:b w:val="0"/>
                <w:bCs w:val="0"/>
                <w:color w:val="FF0000"/>
                <w:sz w:val="24"/>
                <w:szCs w:val="24"/>
                <w:lang w:val="en-US" w:eastAsia="zh-CN"/>
              </w:rPr>
              <w:t>3</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15</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noWrap w:val="0"/>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7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cs="宋体"/>
                <w:color w:val="auto"/>
                <w:sz w:val="24"/>
                <w:highlight w:val="none"/>
                <w:lang w:val="zh-CN"/>
              </w:rPr>
              <w:t>服务时间</w:t>
            </w:r>
          </w:p>
        </w:tc>
        <w:tc>
          <w:tcPr>
            <w:tcW w:w="6741" w:type="dxa"/>
            <w:tcBorders>
              <w:tl2br w:val="nil"/>
              <w:tr2bl w:val="nil"/>
            </w:tcBorders>
            <w:noWrap w:val="0"/>
            <w:vAlign w:val="top"/>
          </w:tcPr>
          <w:p>
            <w:pPr>
              <w:pStyle w:val="2"/>
              <w:spacing w:line="360" w:lineRule="auto"/>
              <w:ind w:left="0" w:leftChars="0"/>
              <w:rPr>
                <w:rFonts w:hint="eastAsia" w:ascii="宋体" w:hAnsi="宋体" w:eastAsia="宋体" w:cs="宋体"/>
              </w:rPr>
            </w:pPr>
            <w:r>
              <w:rPr>
                <w:rFonts w:hint="eastAsia" w:ascii="宋体" w:hAnsi="宋体" w:cs="宋体"/>
                <w:color w:val="auto"/>
                <w:sz w:val="24"/>
                <w:highlight w:val="none"/>
                <w:lang w:val="zh-CN"/>
              </w:rPr>
              <w:t>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25"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noWrap w:val="0"/>
            <w:vAlign w:val="center"/>
          </w:tcPr>
          <w:p>
            <w:pPr>
              <w:spacing w:line="360" w:lineRule="auto"/>
              <w:rPr>
                <w:rFonts w:hint="default" w:ascii="宋体" w:hAnsi="宋体" w:eastAsia="宋体" w:cs="宋体"/>
                <w:spacing w:val="10"/>
                <w:sz w:val="24"/>
                <w:lang w:val="en-US" w:eastAsia="zh-CN"/>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r>
              <w:rPr>
                <w:rFonts w:hint="eastAsia" w:ascii="宋体" w:hAnsi="宋体" w:eastAsia="宋体" w:cs="宋体"/>
                <w:spacing w:val="10"/>
                <w:sz w:val="24"/>
                <w:lang w:val="en-US" w:eastAsia="zh-CN"/>
              </w:rPr>
              <w:t>供应商不得重复中标。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noWrap w:val="0"/>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cs="宋体"/>
                <w:color w:val="auto"/>
                <w:sz w:val="24"/>
                <w:szCs w:val="24"/>
                <w:highlight w:val="none"/>
                <w:lang w:eastAsia="zh-CN"/>
              </w:rPr>
              <w:t>代理服务费由中标公司支付，我院不在另行支付服务费用。</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noWrap w:val="0"/>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3"/>
        <w:jc w:val="center"/>
        <w:rPr>
          <w:rFonts w:hint="eastAsia" w:ascii="宋体" w:hAnsi="宋体" w:cs="宋体"/>
          <w:color w:val="auto"/>
          <w:sz w:val="32"/>
          <w:szCs w:val="32"/>
        </w:rPr>
      </w:pPr>
    </w:p>
    <w:p>
      <w:pPr>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ascii="宋体" w:hAnsi="宋体" w:cs="宋体"/>
          <w:color w:val="auto"/>
          <w:sz w:val="32"/>
          <w:szCs w:val="32"/>
        </w:rPr>
      </w:pPr>
    </w:p>
    <w:p>
      <w:pPr>
        <w:pStyle w:val="17"/>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39"/>
      <w:bookmarkEnd w:id="40"/>
      <w:bookmarkEnd w:id="41"/>
      <w:bookmarkEnd w:id="42"/>
      <w:bookmarkEnd w:id="44"/>
    </w:p>
    <w:p>
      <w:pPr>
        <w:spacing w:line="360" w:lineRule="auto"/>
        <w:rPr>
          <w:rFonts w:hint="eastAsia" w:ascii="宋体" w:hAnsi="宋体" w:eastAsia="宋体" w:cs="宋体"/>
          <w:b/>
          <w:bCs/>
          <w:spacing w:val="10"/>
          <w:sz w:val="24"/>
          <w:lang w:val="zh-CN"/>
        </w:rPr>
      </w:pPr>
      <w:bookmarkStart w:id="45" w:name="_Toc8673"/>
      <w:bookmarkStart w:id="46" w:name="_Toc28198"/>
      <w:bookmarkStart w:id="47" w:name="_Toc23166"/>
      <w:bookmarkStart w:id="48" w:name="_Toc327439436"/>
      <w:bookmarkStart w:id="49" w:name="_Toc139965332"/>
      <w:bookmarkStart w:id="50" w:name="_Toc128372736"/>
      <w:bookmarkStart w:id="51" w:name="_Toc128372058"/>
      <w:r>
        <w:rPr>
          <w:rFonts w:hint="eastAsia" w:ascii="宋体" w:hAnsi="宋体" w:eastAsia="宋体" w:cs="宋体"/>
          <w:b/>
          <w:bCs/>
          <w:spacing w:val="10"/>
          <w:sz w:val="24"/>
          <w:lang w:val="zh-CN"/>
        </w:rPr>
        <w:t>1.适用范围</w:t>
      </w:r>
      <w:bookmarkEnd w:id="45"/>
      <w:bookmarkEnd w:id="46"/>
      <w:bookmarkEnd w:id="47"/>
    </w:p>
    <w:p>
      <w:pPr>
        <w:spacing w:line="360" w:lineRule="auto"/>
        <w:rPr>
          <w:rFonts w:hint="eastAsia" w:ascii="宋体" w:hAnsi="宋体" w:eastAsia="宋体" w:cs="宋体"/>
          <w:spacing w:val="10"/>
          <w:sz w:val="24"/>
        </w:rPr>
      </w:pPr>
      <w:bookmarkStart w:id="52" w:name="_Toc11984"/>
      <w:bookmarkStart w:id="53" w:name="_Toc24352"/>
      <w:bookmarkStart w:id="54" w:name="_Toc25223"/>
      <w:r>
        <w:rPr>
          <w:rFonts w:hint="eastAsia" w:ascii="宋体" w:hAnsi="宋体" w:eastAsia="宋体" w:cs="宋体"/>
          <w:spacing w:val="10"/>
          <w:sz w:val="24"/>
          <w:lang w:val="zh-CN"/>
        </w:rPr>
        <w:t>1.1本招标文件仅适用于本次公开招标所叙述的货物（工程或服务）采购项目。</w:t>
      </w:r>
      <w:bookmarkEnd w:id="52"/>
      <w:bookmarkEnd w:id="53"/>
      <w:bookmarkEnd w:id="54"/>
    </w:p>
    <w:p>
      <w:pPr>
        <w:spacing w:line="360" w:lineRule="auto"/>
        <w:rPr>
          <w:rFonts w:hint="eastAsia" w:ascii="宋体" w:hAnsi="宋体" w:eastAsia="宋体" w:cs="宋体"/>
          <w:b/>
          <w:bCs/>
          <w:spacing w:val="10"/>
          <w:sz w:val="24"/>
        </w:rPr>
      </w:pPr>
      <w:bookmarkStart w:id="55" w:name="_Toc7542"/>
      <w:bookmarkStart w:id="56" w:name="_Toc1806"/>
      <w:bookmarkStart w:id="57" w:name="_Toc9394"/>
      <w:r>
        <w:rPr>
          <w:rFonts w:hint="eastAsia" w:ascii="宋体" w:hAnsi="宋体" w:eastAsia="宋体" w:cs="宋体"/>
          <w:b/>
          <w:bCs/>
          <w:spacing w:val="10"/>
          <w:sz w:val="24"/>
        </w:rPr>
        <w:t>2.招标文件涉及术语的内涵及解释</w:t>
      </w:r>
      <w:bookmarkEnd w:id="48"/>
      <w:bookmarkEnd w:id="55"/>
      <w:bookmarkEnd w:id="56"/>
      <w:bookmarkEnd w:id="57"/>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
        <w:spacing w:line="360" w:lineRule="auto"/>
        <w:ind w:left="0" w:leftChars="0"/>
        <w:rPr>
          <w:rFonts w:hint="eastAsia" w:ascii="宋体" w:hAnsi="宋体" w:eastAsia="宋体" w:cs="宋体"/>
          <w:b/>
          <w:bCs/>
          <w:sz w:val="24"/>
          <w:lang w:val="zh-CN"/>
        </w:rPr>
      </w:pPr>
      <w:bookmarkStart w:id="58" w:name="_Toc22890"/>
      <w:bookmarkStart w:id="59" w:name="_Toc14039"/>
      <w:bookmarkStart w:id="60" w:name="_Toc14148"/>
      <w:r>
        <w:rPr>
          <w:rFonts w:hint="eastAsia" w:ascii="宋体" w:hAnsi="宋体" w:eastAsia="宋体" w:cs="宋体"/>
          <w:b/>
          <w:bCs/>
          <w:sz w:val="24"/>
          <w:lang w:val="zh-CN"/>
        </w:rPr>
        <w:t>3.合格的</w:t>
      </w:r>
      <w:bookmarkEnd w:id="58"/>
      <w:bookmarkEnd w:id="59"/>
      <w:bookmarkEnd w:id="60"/>
      <w:r>
        <w:rPr>
          <w:rFonts w:hint="eastAsia" w:ascii="宋体" w:hAnsi="宋体" w:eastAsia="宋体" w:cs="宋体"/>
          <w:b/>
          <w:bCs/>
          <w:sz w:val="24"/>
          <w:lang w:val="zh-CN"/>
        </w:rPr>
        <w:t>投标单位</w:t>
      </w:r>
    </w:p>
    <w:p>
      <w:pPr>
        <w:pStyle w:val="2"/>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
        <w:spacing w:line="360" w:lineRule="auto"/>
        <w:ind w:left="0" w:leftChars="0"/>
        <w:rPr>
          <w:rFonts w:hint="eastAsia" w:ascii="宋体" w:hAnsi="宋体" w:eastAsia="宋体" w:cs="宋体"/>
          <w:b/>
          <w:bCs/>
          <w:sz w:val="24"/>
        </w:rPr>
      </w:pPr>
      <w:bookmarkStart w:id="61" w:name="_Toc5371"/>
      <w:bookmarkStart w:id="62" w:name="_Toc4654"/>
      <w:bookmarkStart w:id="63" w:name="_Toc29398"/>
      <w:r>
        <w:rPr>
          <w:rFonts w:hint="eastAsia" w:ascii="宋体" w:hAnsi="宋体" w:eastAsia="宋体" w:cs="宋体"/>
          <w:b/>
          <w:bCs/>
          <w:sz w:val="24"/>
        </w:rPr>
        <w:t>4.投标费用</w:t>
      </w:r>
      <w:bookmarkEnd w:id="61"/>
      <w:bookmarkEnd w:id="62"/>
      <w:bookmarkEnd w:id="63"/>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09"/>
        <w:spacing w:line="360" w:lineRule="auto"/>
        <w:jc w:val="center"/>
        <w:rPr>
          <w:rFonts w:hint="eastAsia" w:ascii="宋体" w:hAnsi="宋体" w:eastAsia="宋体" w:cs="宋体"/>
          <w:b/>
          <w:bCs/>
          <w:sz w:val="32"/>
          <w:szCs w:val="32"/>
          <w:lang w:val="zh-CN"/>
        </w:rPr>
      </w:pPr>
      <w:bookmarkStart w:id="64" w:name="_Toc17769"/>
      <w:bookmarkStart w:id="65" w:name="_Toc20426"/>
      <w:r>
        <w:rPr>
          <w:rFonts w:hint="eastAsia" w:ascii="宋体" w:hAnsi="宋体" w:eastAsia="宋体" w:cs="宋体"/>
          <w:b/>
          <w:bCs/>
          <w:sz w:val="32"/>
          <w:szCs w:val="32"/>
          <w:lang w:val="zh-CN"/>
        </w:rPr>
        <w:t>二、招标文件</w:t>
      </w:r>
      <w:bookmarkEnd w:id="64"/>
      <w:bookmarkEnd w:id="65"/>
      <w:bookmarkStart w:id="66" w:name="_Toc183682347"/>
      <w:bookmarkStart w:id="67" w:name="_Toc183582210"/>
      <w:bookmarkStart w:id="68" w:name="_Toc217446039"/>
    </w:p>
    <w:p>
      <w:pPr>
        <w:pStyle w:val="209"/>
        <w:spacing w:line="360" w:lineRule="auto"/>
        <w:jc w:val="both"/>
        <w:rPr>
          <w:rFonts w:hint="eastAsia" w:ascii="宋体" w:hAnsi="宋体" w:eastAsia="宋体" w:cs="宋体"/>
          <w:b/>
          <w:bCs/>
          <w:lang w:val="zh-CN"/>
        </w:rPr>
      </w:pPr>
      <w:bookmarkStart w:id="69" w:name="_Toc13947"/>
      <w:bookmarkStart w:id="70" w:name="_Toc14154"/>
      <w:bookmarkStart w:id="71" w:name="_Toc3450"/>
      <w:r>
        <w:rPr>
          <w:rFonts w:hint="eastAsia" w:ascii="宋体" w:hAnsi="宋体" w:eastAsia="宋体" w:cs="宋体"/>
          <w:b/>
          <w:bCs/>
          <w:lang w:val="zh-CN"/>
        </w:rPr>
        <w:t>5．招标文件的构成</w:t>
      </w:r>
      <w:bookmarkEnd w:id="66"/>
      <w:bookmarkEnd w:id="67"/>
      <w:bookmarkEnd w:id="68"/>
      <w:bookmarkEnd w:id="69"/>
      <w:bookmarkEnd w:id="70"/>
      <w:bookmarkEnd w:id="71"/>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2" w:name="_Toc183582211"/>
      <w:bookmarkStart w:id="73" w:name="_Toc183682348"/>
      <w:bookmarkStart w:id="74" w:name="_Toc217446040"/>
    </w:p>
    <w:p>
      <w:pPr>
        <w:pStyle w:val="209"/>
        <w:spacing w:line="360" w:lineRule="auto"/>
        <w:jc w:val="both"/>
        <w:rPr>
          <w:rFonts w:hint="eastAsia" w:ascii="宋体" w:hAnsi="宋体" w:eastAsia="宋体" w:cs="宋体"/>
          <w:b/>
          <w:bCs/>
          <w:lang w:val="zh-CN"/>
        </w:rPr>
      </w:pPr>
      <w:bookmarkStart w:id="75" w:name="_Toc29537"/>
      <w:bookmarkStart w:id="76" w:name="_Toc9777"/>
      <w:bookmarkStart w:id="77" w:name="_Toc31197"/>
      <w:r>
        <w:rPr>
          <w:rFonts w:hint="eastAsia" w:ascii="宋体" w:hAnsi="宋体" w:eastAsia="宋体" w:cs="宋体"/>
          <w:b/>
          <w:bCs/>
          <w:lang w:val="zh-CN"/>
        </w:rPr>
        <w:t>6.招标文件的澄清</w:t>
      </w:r>
      <w:bookmarkEnd w:id="72"/>
      <w:bookmarkEnd w:id="73"/>
      <w:r>
        <w:rPr>
          <w:rFonts w:hint="eastAsia" w:ascii="宋体" w:hAnsi="宋体" w:eastAsia="宋体" w:cs="宋体"/>
          <w:b/>
          <w:bCs/>
          <w:lang w:val="zh-CN"/>
        </w:rPr>
        <w:t>和修改</w:t>
      </w:r>
      <w:bookmarkEnd w:id="74"/>
      <w:bookmarkEnd w:id="75"/>
      <w:bookmarkEnd w:id="76"/>
      <w:bookmarkEnd w:id="77"/>
    </w:p>
    <w:p>
      <w:pPr>
        <w:pStyle w:val="209"/>
        <w:spacing w:line="360" w:lineRule="auto"/>
        <w:ind w:left="420" w:hanging="420" w:hangingChars="175"/>
        <w:jc w:val="both"/>
        <w:rPr>
          <w:rFonts w:hint="eastAsia" w:ascii="宋体" w:hAnsi="宋体" w:eastAsia="宋体" w:cs="宋体"/>
          <w:lang w:val="zh-CN"/>
        </w:rPr>
      </w:pPr>
      <w:bookmarkStart w:id="78" w:name="_Toc183682350"/>
      <w:bookmarkStart w:id="79" w:name="_Toc217446041"/>
      <w:bookmarkStart w:id="80" w:name="_Toc208848971"/>
      <w:bookmarkStart w:id="81" w:name="_Toc183582213"/>
      <w:r>
        <w:rPr>
          <w:rFonts w:hint="eastAsia" w:ascii="宋体" w:hAnsi="宋体" w:eastAsia="宋体" w:cs="宋体"/>
          <w:lang w:val="zh-CN"/>
        </w:rPr>
        <w:t>6.1在投标截止时间前，招标采购单位无论出于何种原因，可以对招标文件进行澄清或者修改。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8"/>
    <w:bookmarkEnd w:id="79"/>
    <w:bookmarkEnd w:id="80"/>
    <w:bookmarkEnd w:id="81"/>
    <w:p>
      <w:pPr>
        <w:pStyle w:val="209"/>
        <w:spacing w:line="360" w:lineRule="auto"/>
        <w:jc w:val="both"/>
        <w:rPr>
          <w:rFonts w:hint="eastAsia" w:ascii="宋体" w:hAnsi="宋体" w:eastAsia="宋体" w:cs="宋体"/>
          <w:b/>
          <w:bCs/>
          <w:lang w:val="zh-CN"/>
        </w:rPr>
      </w:pPr>
      <w:bookmarkStart w:id="82" w:name="_Toc1742"/>
      <w:bookmarkStart w:id="83" w:name="_Toc14435"/>
      <w:bookmarkStart w:id="84" w:name="_Toc30906"/>
      <w:r>
        <w:rPr>
          <w:rFonts w:hint="eastAsia" w:ascii="宋体" w:hAnsi="宋体" w:eastAsia="宋体" w:cs="宋体"/>
          <w:b/>
          <w:bCs/>
        </w:rPr>
        <w:t>7.</w:t>
      </w:r>
      <w:r>
        <w:rPr>
          <w:rFonts w:hint="eastAsia" w:ascii="宋体" w:hAnsi="宋体" w:eastAsia="宋体" w:cs="宋体"/>
          <w:b/>
          <w:bCs/>
          <w:lang w:val="zh-CN"/>
        </w:rPr>
        <w:t>现场踏勘</w:t>
      </w:r>
      <w:bookmarkEnd w:id="82"/>
      <w:bookmarkEnd w:id="83"/>
      <w:bookmarkEnd w:id="84"/>
    </w:p>
    <w:p>
      <w:pPr>
        <w:pStyle w:val="209"/>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w:t>
      </w:r>
      <w:r>
        <w:rPr>
          <w:rFonts w:hint="eastAsia" w:cs="宋体"/>
          <w:b/>
          <w:bCs/>
          <w:color w:val="FF0000"/>
          <w:lang w:val="en-US" w:eastAsia="zh-CN"/>
        </w:rPr>
        <w:t>需要</w:t>
      </w:r>
      <w:r>
        <w:rPr>
          <w:rFonts w:hint="eastAsia" w:ascii="宋体" w:hAnsi="宋体" w:eastAsia="宋体" w:cs="宋体"/>
          <w:b/>
          <w:bCs/>
          <w:color w:val="FF0000"/>
          <w:lang w:val="zh-CN"/>
        </w:rPr>
        <w:t>现场踏</w:t>
      </w:r>
      <w:r>
        <w:rPr>
          <w:rFonts w:hint="eastAsia" w:ascii="宋体" w:hAnsi="宋体" w:eastAsia="宋体" w:cs="宋体"/>
          <w:b/>
          <w:bCs/>
          <w:color w:val="FF0000"/>
          <w:highlight w:val="none"/>
          <w:lang w:val="zh-CN"/>
        </w:rPr>
        <w:t>勘。</w:t>
      </w:r>
    </w:p>
    <w:p>
      <w:pPr>
        <w:pStyle w:val="3"/>
        <w:jc w:val="center"/>
        <w:rPr>
          <w:rFonts w:hint="eastAsia" w:ascii="宋体" w:hAnsi="宋体" w:eastAsia="宋体" w:cs="宋体"/>
          <w:sz w:val="32"/>
          <w:szCs w:val="32"/>
          <w:lang w:eastAsia="zh-CN"/>
        </w:rPr>
      </w:pPr>
      <w:bookmarkStart w:id="85" w:name="_Toc183682351"/>
      <w:bookmarkStart w:id="86" w:name="_Toc77400780"/>
      <w:bookmarkStart w:id="87" w:name="_Toc183582214"/>
      <w:bookmarkStart w:id="88" w:name="_Toc89075876"/>
      <w:bookmarkStart w:id="89" w:name="_Toc217446042"/>
      <w:bookmarkStart w:id="90" w:name="_Toc14268"/>
      <w:r>
        <w:rPr>
          <w:rFonts w:hint="eastAsia" w:ascii="宋体" w:hAnsi="宋体" w:cs="宋体"/>
          <w:sz w:val="32"/>
          <w:szCs w:val="32"/>
        </w:rPr>
        <w:t>三、投标文件</w:t>
      </w:r>
      <w:bookmarkEnd w:id="85"/>
      <w:bookmarkEnd w:id="86"/>
      <w:bookmarkEnd w:id="87"/>
      <w:bookmarkEnd w:id="88"/>
      <w:bookmarkEnd w:id="89"/>
      <w:bookmarkStart w:id="91" w:name="_Toc183682352"/>
      <w:bookmarkStart w:id="92" w:name="_Toc217446043"/>
      <w:bookmarkStart w:id="93" w:name="_Toc183582215"/>
      <w:r>
        <w:rPr>
          <w:rFonts w:hint="eastAsia" w:ascii="宋体" w:hAnsi="宋体" w:cs="宋体"/>
          <w:sz w:val="32"/>
          <w:szCs w:val="32"/>
          <w:lang w:eastAsia="zh-CN"/>
        </w:rPr>
        <w:t>的编制</w:t>
      </w:r>
      <w:bookmarkEnd w:id="90"/>
    </w:p>
    <w:bookmarkEnd w:id="91"/>
    <w:bookmarkEnd w:id="92"/>
    <w:bookmarkEnd w:id="93"/>
    <w:p>
      <w:pPr>
        <w:pStyle w:val="209"/>
        <w:spacing w:line="360" w:lineRule="auto"/>
        <w:jc w:val="both"/>
        <w:rPr>
          <w:rFonts w:hint="eastAsia" w:ascii="宋体" w:hAnsi="宋体" w:eastAsia="宋体" w:cs="宋体"/>
          <w:b/>
          <w:bCs/>
          <w:lang w:val="zh-CN"/>
        </w:rPr>
      </w:pPr>
      <w:bookmarkStart w:id="94" w:name="_Toc3462"/>
      <w:bookmarkStart w:id="95" w:name="_Toc30487"/>
      <w:bookmarkStart w:id="96" w:name="_Toc21300"/>
      <w:bookmarkStart w:id="97" w:name="_Toc183582223"/>
      <w:bookmarkStart w:id="98" w:name="_Toc28112"/>
      <w:bookmarkStart w:id="99" w:name="_Toc217446050"/>
      <w:bookmarkStart w:id="100" w:name="_Toc23893"/>
      <w:bookmarkStart w:id="101" w:name="_Toc183682360"/>
      <w:r>
        <w:rPr>
          <w:rFonts w:hint="eastAsia" w:ascii="宋体" w:hAnsi="宋体" w:eastAsia="宋体" w:cs="宋体"/>
          <w:b/>
          <w:bCs/>
          <w:lang w:val="zh-CN"/>
        </w:rPr>
        <w:t>8．要求</w:t>
      </w:r>
      <w:bookmarkEnd w:id="94"/>
      <w:bookmarkEnd w:id="95"/>
      <w:bookmarkEnd w:id="96"/>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09"/>
        <w:spacing w:line="360" w:lineRule="auto"/>
        <w:jc w:val="both"/>
        <w:rPr>
          <w:rFonts w:hint="eastAsia" w:ascii="宋体" w:hAnsi="宋体" w:eastAsia="宋体" w:cs="宋体"/>
          <w:b/>
          <w:bCs/>
          <w:lang w:val="zh-CN"/>
        </w:rPr>
      </w:pPr>
      <w:bookmarkStart w:id="102" w:name="_Toc4905"/>
      <w:bookmarkStart w:id="103" w:name="_Toc9029"/>
      <w:bookmarkStart w:id="104" w:name="_Toc1665"/>
      <w:r>
        <w:rPr>
          <w:rFonts w:hint="eastAsia" w:ascii="宋体" w:hAnsi="宋体" w:eastAsia="宋体" w:cs="宋体"/>
          <w:b/>
          <w:bCs/>
        </w:rPr>
        <w:t>9.</w:t>
      </w:r>
      <w:r>
        <w:rPr>
          <w:rFonts w:hint="eastAsia" w:ascii="宋体" w:hAnsi="宋体" w:eastAsia="宋体" w:cs="宋体"/>
          <w:b/>
          <w:bCs/>
          <w:lang w:val="zh-CN"/>
        </w:rPr>
        <w:t>投标文件的语言及计量单位</w:t>
      </w:r>
      <w:bookmarkEnd w:id="102"/>
      <w:bookmarkEnd w:id="103"/>
      <w:bookmarkEnd w:id="104"/>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5" w:name="_Toc183582216"/>
      <w:bookmarkStart w:id="106" w:name="_Toc217446044"/>
      <w:bookmarkStart w:id="107" w:name="_Toc183682353"/>
      <w:r>
        <w:rPr>
          <w:rFonts w:hint="eastAsia" w:ascii="宋体" w:hAnsi="宋体" w:eastAsia="宋体" w:cs="宋体"/>
          <w:lang w:val="zh-CN"/>
        </w:rPr>
        <w:t>除签名、盖章、专用名称等特殊情形外，以中文以外的文字表述的投标文件，评标委员会有权拒绝其投标。</w:t>
      </w:r>
    </w:p>
    <w:bookmarkEnd w:id="105"/>
    <w:bookmarkEnd w:id="106"/>
    <w:bookmarkEnd w:id="107"/>
    <w:p>
      <w:pPr>
        <w:pStyle w:val="209"/>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8" w:name="_Toc217446045"/>
    </w:p>
    <w:p>
      <w:pPr>
        <w:pStyle w:val="209"/>
        <w:spacing w:line="360" w:lineRule="auto"/>
        <w:ind w:left="420" w:hanging="420" w:hangingChars="175"/>
        <w:jc w:val="both"/>
        <w:rPr>
          <w:rFonts w:hint="eastAsia" w:ascii="宋体" w:hAnsi="宋体" w:eastAsia="宋体" w:cs="宋体"/>
          <w:lang w:val="zh-CN"/>
        </w:rPr>
      </w:pPr>
      <w:bookmarkStart w:id="109" w:name="_Toc28136"/>
      <w:bookmarkStart w:id="110" w:name="_Toc14511"/>
      <w:bookmarkStart w:id="111" w:name="_Toc27390"/>
      <w:r>
        <w:rPr>
          <w:rFonts w:hint="eastAsia" w:ascii="宋体" w:hAnsi="宋体" w:eastAsia="宋体" w:cs="宋体"/>
          <w:lang w:val="zh-CN"/>
        </w:rPr>
        <w:t>10.投标货币</w:t>
      </w:r>
      <w:bookmarkEnd w:id="108"/>
      <w:bookmarkEnd w:id="109"/>
      <w:bookmarkEnd w:id="110"/>
      <w:bookmarkEnd w:id="111"/>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12" w:name="_Toc217446046"/>
    </w:p>
    <w:p>
      <w:pPr>
        <w:pStyle w:val="209"/>
        <w:spacing w:line="360" w:lineRule="auto"/>
        <w:jc w:val="both"/>
        <w:rPr>
          <w:rFonts w:hint="eastAsia" w:ascii="宋体" w:hAnsi="宋体" w:eastAsia="宋体" w:cs="宋体"/>
          <w:b/>
          <w:bCs/>
          <w:lang w:val="zh-CN"/>
        </w:rPr>
      </w:pPr>
      <w:bookmarkStart w:id="113" w:name="_Toc12531"/>
      <w:bookmarkStart w:id="114" w:name="_Toc24706"/>
      <w:bookmarkStart w:id="115" w:name="_Toc4857"/>
      <w:r>
        <w:rPr>
          <w:rFonts w:hint="eastAsia" w:ascii="宋体" w:hAnsi="宋体" w:eastAsia="宋体" w:cs="宋体"/>
          <w:b/>
          <w:bCs/>
          <w:lang w:val="zh-CN"/>
        </w:rPr>
        <w:t>11.联合投标</w:t>
      </w:r>
      <w:bookmarkEnd w:id="112"/>
      <w:bookmarkEnd w:id="113"/>
      <w:bookmarkEnd w:id="114"/>
      <w:bookmarkEnd w:id="115"/>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6" w:name="_Toc217446047"/>
    </w:p>
    <w:p>
      <w:pPr>
        <w:pStyle w:val="209"/>
        <w:spacing w:line="360" w:lineRule="auto"/>
        <w:jc w:val="both"/>
        <w:rPr>
          <w:rFonts w:hint="eastAsia" w:ascii="宋体" w:hAnsi="宋体" w:eastAsia="宋体" w:cs="宋体"/>
          <w:b/>
          <w:bCs/>
          <w:lang w:val="zh-CN"/>
        </w:rPr>
      </w:pPr>
      <w:bookmarkStart w:id="117" w:name="_Toc8100"/>
      <w:bookmarkStart w:id="118" w:name="_Toc13413"/>
      <w:bookmarkStart w:id="119" w:name="_Toc20228"/>
      <w:r>
        <w:rPr>
          <w:rFonts w:hint="eastAsia" w:ascii="宋体" w:hAnsi="宋体" w:eastAsia="宋体" w:cs="宋体"/>
          <w:b/>
          <w:bCs/>
          <w:lang w:val="zh-CN"/>
        </w:rPr>
        <w:t>12.知识产权</w:t>
      </w:r>
      <w:bookmarkEnd w:id="116"/>
      <w:bookmarkEnd w:id="117"/>
      <w:bookmarkEnd w:id="118"/>
      <w:bookmarkEnd w:id="119"/>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09"/>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20" w:name="_Toc183582217"/>
      <w:bookmarkStart w:id="121" w:name="_Toc183682354"/>
      <w:bookmarkStart w:id="122" w:name="_Toc217446048"/>
    </w:p>
    <w:p>
      <w:pPr>
        <w:pStyle w:val="209"/>
        <w:spacing w:line="360" w:lineRule="auto"/>
        <w:jc w:val="both"/>
        <w:rPr>
          <w:rFonts w:hint="eastAsia" w:ascii="宋体" w:hAnsi="宋体" w:eastAsia="宋体" w:cs="宋体"/>
          <w:b/>
          <w:bCs/>
          <w:lang w:val="zh-CN"/>
        </w:rPr>
      </w:pPr>
      <w:bookmarkStart w:id="123" w:name="_Toc14077"/>
      <w:bookmarkStart w:id="124" w:name="_Toc30454"/>
      <w:bookmarkStart w:id="125" w:name="_Toc22291"/>
      <w:r>
        <w:rPr>
          <w:rFonts w:hint="eastAsia" w:ascii="宋体" w:hAnsi="宋体" w:eastAsia="宋体" w:cs="宋体"/>
          <w:b/>
          <w:bCs/>
          <w:lang w:val="zh-CN"/>
        </w:rPr>
        <w:t>13．投标文件的组成</w:t>
      </w:r>
      <w:bookmarkEnd w:id="120"/>
      <w:bookmarkEnd w:id="121"/>
      <w:bookmarkEnd w:id="122"/>
      <w:bookmarkEnd w:id="123"/>
      <w:bookmarkEnd w:id="124"/>
      <w:bookmarkEnd w:id="125"/>
    </w:p>
    <w:p>
      <w:pPr>
        <w:pStyle w:val="209"/>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09"/>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09"/>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09"/>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09"/>
        <w:spacing w:line="360" w:lineRule="auto"/>
        <w:ind w:firstLine="480" w:firstLineChars="200"/>
        <w:jc w:val="both"/>
        <w:rPr>
          <w:lang w:val="zh-CN"/>
        </w:rPr>
      </w:pPr>
      <w:r>
        <w:rPr>
          <w:rFonts w:hint="eastAsia"/>
          <w:lang w:val="zh-CN"/>
        </w:rPr>
        <w:t>（1）投标产品的品牌、型号；</w:t>
      </w:r>
    </w:p>
    <w:p>
      <w:pPr>
        <w:pStyle w:val="209"/>
        <w:spacing w:line="360" w:lineRule="auto"/>
        <w:ind w:firstLine="480" w:firstLineChars="200"/>
        <w:jc w:val="both"/>
        <w:rPr>
          <w:lang w:val="zh-CN"/>
        </w:rPr>
      </w:pPr>
      <w:r>
        <w:rPr>
          <w:rFonts w:hint="eastAsia"/>
          <w:lang w:val="zh-CN"/>
        </w:rPr>
        <w:t>（2）详细的技术指标和参数；</w:t>
      </w:r>
    </w:p>
    <w:p>
      <w:pPr>
        <w:pStyle w:val="209"/>
        <w:spacing w:line="360" w:lineRule="auto"/>
        <w:ind w:firstLine="480" w:firstLineChars="200"/>
        <w:jc w:val="both"/>
        <w:rPr>
          <w:lang w:val="zh-CN"/>
        </w:rPr>
      </w:pPr>
      <w:r>
        <w:rPr>
          <w:rFonts w:hint="eastAsia"/>
          <w:lang w:val="zh-CN"/>
        </w:rPr>
        <w:t>（3）技术方案；</w:t>
      </w:r>
    </w:p>
    <w:p>
      <w:pPr>
        <w:pStyle w:val="209"/>
        <w:spacing w:line="360" w:lineRule="auto"/>
        <w:ind w:firstLine="480" w:firstLineChars="200"/>
        <w:jc w:val="both"/>
        <w:rPr>
          <w:lang w:val="zh-CN"/>
        </w:rPr>
      </w:pPr>
      <w:r>
        <w:rPr>
          <w:rFonts w:hint="eastAsia"/>
          <w:lang w:val="zh-CN"/>
        </w:rPr>
        <w:t>（4）技术偏离表；</w:t>
      </w:r>
    </w:p>
    <w:p>
      <w:pPr>
        <w:pStyle w:val="209"/>
        <w:spacing w:line="360" w:lineRule="auto"/>
        <w:ind w:firstLine="480" w:firstLineChars="200"/>
        <w:jc w:val="both"/>
        <w:rPr>
          <w:lang w:val="zh-CN"/>
        </w:rPr>
      </w:pPr>
      <w:r>
        <w:rPr>
          <w:rFonts w:hint="eastAsia"/>
          <w:lang w:val="zh-CN"/>
        </w:rPr>
        <w:t>（5）说明书或产品介绍或产品合格证等证明材料；</w:t>
      </w:r>
    </w:p>
    <w:p>
      <w:pPr>
        <w:pStyle w:val="209"/>
        <w:spacing w:line="360" w:lineRule="auto"/>
        <w:ind w:firstLine="480" w:firstLineChars="200"/>
        <w:jc w:val="both"/>
        <w:rPr>
          <w:lang w:val="zh-CN"/>
        </w:rPr>
      </w:pPr>
      <w:r>
        <w:rPr>
          <w:rFonts w:hint="eastAsia"/>
          <w:lang w:val="zh-CN"/>
        </w:rPr>
        <w:t>（6）产品工作环境条件；</w:t>
      </w:r>
    </w:p>
    <w:p>
      <w:pPr>
        <w:pStyle w:val="209"/>
        <w:spacing w:line="360" w:lineRule="auto"/>
        <w:ind w:firstLine="480" w:firstLineChars="200"/>
        <w:jc w:val="both"/>
        <w:rPr>
          <w:lang w:val="zh-CN"/>
        </w:rPr>
      </w:pPr>
      <w:r>
        <w:rPr>
          <w:rFonts w:hint="eastAsia"/>
          <w:lang w:val="zh-CN"/>
        </w:rPr>
        <w:t>（7）产品验收标准和验收方法；</w:t>
      </w:r>
    </w:p>
    <w:p>
      <w:pPr>
        <w:pStyle w:val="209"/>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09"/>
        <w:spacing w:line="360" w:lineRule="auto"/>
        <w:ind w:firstLine="480" w:firstLineChars="200"/>
        <w:jc w:val="both"/>
        <w:rPr>
          <w:highlight w:val="green"/>
          <w:lang w:val="zh-CN"/>
        </w:rPr>
      </w:pPr>
      <w:r>
        <w:rPr>
          <w:rFonts w:hint="eastAsia"/>
          <w:lang w:val="zh-CN"/>
        </w:rPr>
        <w:t>（9）投标人认为需要提供的文件和资料。</w:t>
      </w:r>
    </w:p>
    <w:p>
      <w:pPr>
        <w:pStyle w:val="209"/>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09"/>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09"/>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09"/>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09"/>
        <w:spacing w:line="360" w:lineRule="auto"/>
        <w:jc w:val="both"/>
        <w:rPr>
          <w:rFonts w:hint="eastAsia" w:ascii="宋体" w:hAnsi="宋体" w:eastAsia="宋体" w:cs="宋体"/>
        </w:rPr>
      </w:pPr>
      <w:r>
        <w:rPr>
          <w:rFonts w:hint="eastAsia" w:ascii="宋体" w:hAnsi="宋体" w:eastAsia="宋体" w:cs="宋体"/>
        </w:rPr>
        <w:t>（1）投标函</w:t>
      </w:r>
    </w:p>
    <w:p>
      <w:pPr>
        <w:pStyle w:val="209"/>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09"/>
        <w:spacing w:line="360" w:lineRule="auto"/>
        <w:jc w:val="both"/>
        <w:rPr>
          <w:rFonts w:hint="eastAsia" w:ascii="宋体" w:hAnsi="宋体" w:eastAsia="宋体" w:cs="宋体"/>
        </w:rPr>
      </w:pPr>
      <w:r>
        <w:rPr>
          <w:rFonts w:hint="eastAsia" w:ascii="宋体" w:hAnsi="宋体" w:eastAsia="宋体" w:cs="宋体"/>
        </w:rPr>
        <w:t>（3）商务偏离表</w:t>
      </w:r>
    </w:p>
    <w:p>
      <w:pPr>
        <w:pStyle w:val="209"/>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09"/>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09"/>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09"/>
        <w:spacing w:line="360" w:lineRule="auto"/>
        <w:jc w:val="both"/>
        <w:rPr>
          <w:rFonts w:hint="eastAsia" w:ascii="宋体" w:hAnsi="宋体" w:eastAsia="宋体" w:cs="宋体"/>
          <w:b/>
          <w:bCs/>
          <w:lang w:val="zh-CN"/>
        </w:rPr>
      </w:pPr>
      <w:bookmarkStart w:id="126" w:name="_Toc28852"/>
      <w:bookmarkStart w:id="127" w:name="_Toc183582218"/>
      <w:bookmarkStart w:id="128" w:name="_Toc183682355"/>
      <w:bookmarkStart w:id="129" w:name="_Toc5810"/>
      <w:bookmarkStart w:id="130" w:name="_Toc29764"/>
      <w:bookmarkStart w:id="131" w:name="_Toc217446049"/>
      <w:r>
        <w:rPr>
          <w:rFonts w:hint="eastAsia" w:ascii="宋体" w:hAnsi="宋体" w:eastAsia="宋体" w:cs="宋体"/>
          <w:b/>
          <w:bCs/>
          <w:lang w:val="zh-CN"/>
        </w:rPr>
        <w:t>14．投标文件格式</w:t>
      </w:r>
      <w:bookmarkEnd w:id="126"/>
      <w:bookmarkEnd w:id="127"/>
      <w:bookmarkEnd w:id="128"/>
      <w:bookmarkEnd w:id="129"/>
      <w:bookmarkEnd w:id="130"/>
      <w:bookmarkEnd w:id="131"/>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p>
    <w:p>
      <w:pPr>
        <w:pStyle w:val="13"/>
        <w:ind w:left="0" w:leftChars="0" w:firstLine="0" w:firstLineChars="0"/>
        <w:rPr>
          <w:rFonts w:hint="eastAsia" w:ascii="宋体" w:hAnsi="宋体" w:eastAsia="宋体" w:cs="宋体"/>
          <w:sz w:val="24"/>
          <w:lang w:val="en-US" w:eastAsia="zh-CN"/>
        </w:rPr>
      </w:pPr>
      <w:r>
        <w:rPr>
          <w:rFonts w:hint="eastAsia" w:ascii="宋体" w:hAnsi="宋体" w:cs="宋体"/>
          <w:b/>
          <w:bCs/>
          <w:sz w:val="24"/>
          <w:lang w:val="en-US" w:eastAsia="zh-CN"/>
        </w:rPr>
        <w:t>15.</w:t>
      </w:r>
      <w:r>
        <w:rPr>
          <w:rFonts w:hint="eastAsia" w:ascii="宋体" w:hAnsi="宋体" w:cs="宋体"/>
          <w:b/>
          <w:bCs/>
          <w:sz w:val="24"/>
          <w:lang w:val="zh-CN"/>
        </w:rPr>
        <w:t>投标保证金</w:t>
      </w:r>
      <w:bookmarkEnd w:id="97"/>
      <w:bookmarkEnd w:id="98"/>
      <w:bookmarkEnd w:id="99"/>
      <w:bookmarkEnd w:id="100"/>
      <w:bookmarkEnd w:id="101"/>
      <w:r>
        <w:rPr>
          <w:rFonts w:hint="eastAsia" w:ascii="宋体" w:hAnsi="宋体" w:cs="宋体"/>
          <w:b/>
          <w:bCs/>
          <w:sz w:val="24"/>
          <w:lang w:val="en-US" w:eastAsia="zh-CN"/>
        </w:rPr>
        <w:t xml:space="preserve"> 无</w:t>
      </w:r>
    </w:p>
    <w:p>
      <w:pPr>
        <w:pStyle w:val="4"/>
        <w:jc w:val="both"/>
        <w:rPr>
          <w:rFonts w:ascii="宋体" w:hAnsi="宋体" w:cs="宋体"/>
          <w:sz w:val="24"/>
          <w:lang w:val="zh-CN"/>
        </w:rPr>
      </w:pPr>
      <w:bookmarkStart w:id="132" w:name="_Toc183582224"/>
      <w:bookmarkStart w:id="133" w:name="_Toc183682361"/>
      <w:bookmarkStart w:id="134" w:name="_Toc31286"/>
      <w:bookmarkStart w:id="135" w:name="_Toc217446051"/>
      <w:bookmarkStart w:id="136" w:name="_Toc28500"/>
      <w:r>
        <w:rPr>
          <w:rFonts w:hint="eastAsia" w:ascii="宋体" w:hAnsi="宋体" w:cs="宋体"/>
          <w:sz w:val="24"/>
          <w:lang w:val="zh-CN"/>
        </w:rPr>
        <w:t>16．投标有效期</w:t>
      </w:r>
      <w:bookmarkEnd w:id="132"/>
      <w:bookmarkEnd w:id="133"/>
      <w:bookmarkEnd w:id="134"/>
      <w:bookmarkEnd w:id="135"/>
      <w:bookmarkEnd w:id="136"/>
    </w:p>
    <w:p>
      <w:pPr>
        <w:pStyle w:val="209"/>
        <w:spacing w:line="360" w:lineRule="auto"/>
        <w:jc w:val="both"/>
        <w:rPr>
          <w:rFonts w:hint="eastAsia" w:ascii="宋体" w:hAnsi="宋体" w:eastAsia="宋体" w:cs="宋体"/>
          <w:lang w:val="zh-CN"/>
        </w:rPr>
      </w:pPr>
      <w:bookmarkStart w:id="137" w:name="_Toc16741"/>
      <w:bookmarkStart w:id="138" w:name="_Toc217446052"/>
      <w:bookmarkStart w:id="139" w:name="_Toc596"/>
      <w:bookmarkStart w:id="140" w:name="_Toc183582225"/>
      <w:bookmarkStart w:id="141" w:name="_Toc183682362"/>
      <w:r>
        <w:rPr>
          <w:rFonts w:hint="eastAsia" w:ascii="宋体" w:hAnsi="宋体" w:eastAsia="宋体" w:cs="宋体"/>
          <w:lang w:val="zh-CN"/>
        </w:rPr>
        <w:t>16.1投标有效期见投标单位须知前附表。投标有效期短于此规定期限的投标，将被拒绝。</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p>
    <w:p>
      <w:pPr>
        <w:pStyle w:val="4"/>
        <w:jc w:val="both"/>
        <w:rPr>
          <w:rFonts w:hint="eastAsia" w:ascii="宋体" w:hAnsi="宋体" w:eastAsia="宋体" w:cs="宋体"/>
          <w:b w:val="0"/>
          <w:bCs w:val="0"/>
          <w:sz w:val="24"/>
        </w:rPr>
      </w:pPr>
      <w:r>
        <w:rPr>
          <w:rFonts w:hint="eastAsia" w:ascii="宋体" w:hAnsi="宋体" w:cs="宋体"/>
          <w:b w:val="0"/>
          <w:bCs w:val="0"/>
          <w:sz w:val="24"/>
          <w:lang w:val="zh-CN"/>
        </w:rPr>
        <w:t>17</w:t>
      </w:r>
      <w:bookmarkEnd w:id="137"/>
      <w:bookmarkEnd w:id="138"/>
      <w:bookmarkEnd w:id="139"/>
      <w:bookmarkEnd w:id="140"/>
      <w:bookmarkEnd w:id="141"/>
      <w:r>
        <w:rPr>
          <w:rFonts w:hint="eastAsia" w:ascii="宋体" w:hAnsi="宋体" w:cs="宋体"/>
          <w:b w:val="0"/>
          <w:bCs w:val="0"/>
          <w:sz w:val="24"/>
          <w:lang w:val="en-US" w:eastAsia="zh-CN"/>
        </w:rPr>
        <w:t>.1</w:t>
      </w:r>
      <w:bookmarkStart w:id="142" w:name="_Toc89075877"/>
      <w:bookmarkStart w:id="143" w:name="_Toc22719"/>
      <w:bookmarkStart w:id="144" w:name="_Toc183682363"/>
      <w:bookmarkStart w:id="145" w:name="_Toc217446053"/>
      <w:bookmarkStart w:id="146" w:name="_Toc183582226"/>
      <w:bookmarkStart w:id="147" w:name="_Toc17395"/>
      <w:bookmarkStart w:id="148" w:name="_Toc77400781"/>
      <w:r>
        <w:rPr>
          <w:rFonts w:hint="eastAsia" w:ascii="宋体" w:hAnsi="宋体" w:eastAsia="宋体" w:cs="宋体"/>
          <w:b w:val="0"/>
          <w:bCs w:val="0"/>
          <w:sz w:val="24"/>
        </w:rPr>
        <w:t>投标文件的印制和签署</w:t>
      </w:r>
    </w:p>
    <w:p>
      <w:pPr>
        <w:numPr>
          <w:ilvl w:val="0"/>
          <w:numId w:val="3"/>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)应分开包装在内层封套内，分别加贴封条，内层封套的封口处应盖投标人单位章和投标人的法定代表人或其授权的代理人签姓名和盖章，最后统一把正本、副本、开标信封(</w:t>
      </w:r>
      <w:r>
        <w:rPr>
          <w:rFonts w:hint="eastAsia" w:ascii="宋体" w:hAnsi="宋体" w:cs="宋体"/>
          <w:bCs/>
          <w:sz w:val="24"/>
          <w:lang w:val="en-US" w:eastAsia="zh-CN"/>
        </w:rPr>
        <w:t>报价一览表</w:t>
      </w:r>
      <w:r>
        <w:rPr>
          <w:rFonts w:hint="eastAsia" w:ascii="宋体" w:hAnsi="宋体" w:eastAsia="宋体" w:cs="宋体"/>
          <w:bCs/>
          <w:sz w:val="24"/>
        </w:rPr>
        <w:t>)的内分套包封在外层封套内，并加贴封条。</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内层、外层封套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p>
    <w:bookmarkEnd w:id="142"/>
    <w:bookmarkEnd w:id="143"/>
    <w:bookmarkEnd w:id="144"/>
    <w:bookmarkEnd w:id="145"/>
    <w:bookmarkEnd w:id="146"/>
    <w:bookmarkEnd w:id="147"/>
    <w:bookmarkEnd w:id="148"/>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19．投标文件的递交</w:t>
      </w:r>
    </w:p>
    <w:p>
      <w:pPr>
        <w:pStyle w:val="209"/>
        <w:spacing w:line="360" w:lineRule="auto"/>
        <w:jc w:val="both"/>
        <w:rPr>
          <w:rFonts w:hint="eastAsia" w:ascii="宋体" w:hAnsi="宋体" w:eastAsia="宋体" w:cs="宋体"/>
          <w:highlight w:val="none"/>
        </w:rPr>
      </w:pPr>
      <w:bookmarkStart w:id="149" w:name="_Toc183682365"/>
      <w:bookmarkStart w:id="150" w:name="_Toc183582228"/>
      <w:bookmarkStart w:id="151" w:name="_Toc217446055"/>
      <w:r>
        <w:rPr>
          <w:rFonts w:hint="eastAsia" w:ascii="宋体" w:hAnsi="宋体" w:eastAsia="宋体" w:cs="宋体"/>
        </w:rPr>
        <w:t>19.1根据《中华人民共和国政府采购法》第四十二条的规定，投标单位无论中标与否，其投标文件不予退还。</w:t>
      </w:r>
    </w:p>
    <w:p>
      <w:pPr>
        <w:pStyle w:val="209"/>
        <w:spacing w:line="360" w:lineRule="auto"/>
        <w:jc w:val="both"/>
        <w:rPr>
          <w:rFonts w:hint="eastAsia" w:ascii="宋体" w:hAnsi="宋体" w:eastAsia="宋体" w:cs="宋体"/>
          <w:b/>
          <w:bCs/>
          <w:highlight w:val="none"/>
          <w:lang w:val="zh-CN"/>
        </w:rPr>
      </w:pPr>
      <w:bookmarkStart w:id="152" w:name="_Toc18381"/>
      <w:bookmarkStart w:id="153" w:name="_Toc15716"/>
      <w:bookmarkStart w:id="154" w:name="_Toc15644"/>
      <w:r>
        <w:rPr>
          <w:rFonts w:hint="eastAsia" w:ascii="宋体" w:hAnsi="宋体" w:eastAsia="宋体" w:cs="宋体"/>
          <w:b/>
          <w:bCs/>
          <w:highlight w:val="none"/>
          <w:lang w:val="zh-CN"/>
        </w:rPr>
        <w:t>20．投标文件的修改和撤</w:t>
      </w:r>
      <w:bookmarkEnd w:id="149"/>
      <w:bookmarkEnd w:id="150"/>
      <w:r>
        <w:rPr>
          <w:rFonts w:hint="eastAsia" w:ascii="宋体" w:hAnsi="宋体" w:eastAsia="宋体" w:cs="宋体"/>
          <w:b/>
          <w:bCs/>
          <w:highlight w:val="none"/>
          <w:lang w:val="zh-CN"/>
        </w:rPr>
        <w:t>回</w:t>
      </w:r>
      <w:bookmarkEnd w:id="151"/>
      <w:bookmarkEnd w:id="152"/>
      <w:bookmarkEnd w:id="153"/>
      <w:bookmarkEnd w:id="154"/>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09"/>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55" w:name="_Toc30700"/>
      <w:r>
        <w:rPr>
          <w:rFonts w:hint="eastAsia" w:ascii="宋体" w:hAnsi="宋体" w:cs="宋体"/>
          <w:sz w:val="32"/>
          <w:szCs w:val="32"/>
        </w:rPr>
        <w:t>四、开标和评标</w:t>
      </w:r>
      <w:bookmarkEnd w:id="155"/>
      <w:bookmarkStart w:id="156" w:name="_Toc183682369"/>
      <w:bookmarkStart w:id="157" w:name="_Toc217446057"/>
      <w:bookmarkStart w:id="158" w:name="_Toc183582232"/>
    </w:p>
    <w:bookmarkEnd w:id="156"/>
    <w:bookmarkEnd w:id="157"/>
    <w:bookmarkEnd w:id="158"/>
    <w:p>
      <w:pPr>
        <w:pStyle w:val="209"/>
        <w:spacing w:line="360" w:lineRule="auto"/>
        <w:jc w:val="both"/>
        <w:rPr>
          <w:rFonts w:hint="eastAsia" w:ascii="宋体" w:hAnsi="宋体" w:eastAsia="宋体" w:cs="宋体"/>
          <w:lang w:val="zh-CN"/>
        </w:rPr>
      </w:pPr>
      <w:bookmarkStart w:id="159" w:name="_Toc32678"/>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09"/>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09"/>
        <w:spacing w:line="360" w:lineRule="auto"/>
        <w:jc w:val="both"/>
        <w:rPr>
          <w:rFonts w:hint="eastAsia" w:ascii="宋体" w:hAnsi="宋体" w:eastAsia="宋体" w:cs="宋体"/>
          <w:b/>
          <w:bCs/>
          <w:lang w:val="zh-CN"/>
        </w:rPr>
      </w:pPr>
      <w:bookmarkStart w:id="160" w:name="_Toc217446059"/>
      <w:bookmarkStart w:id="161" w:name="_Toc20981"/>
      <w:bookmarkStart w:id="162" w:name="_Toc7344"/>
      <w:bookmarkStart w:id="163" w:name="_Toc29336"/>
      <w:r>
        <w:rPr>
          <w:rFonts w:hint="eastAsia" w:ascii="宋体" w:hAnsi="宋体" w:eastAsia="宋体" w:cs="宋体"/>
          <w:b/>
          <w:bCs/>
          <w:lang w:val="zh-CN"/>
        </w:rPr>
        <w:t>22.评标</w:t>
      </w:r>
      <w:bookmarkEnd w:id="160"/>
      <w:r>
        <w:rPr>
          <w:rFonts w:hint="eastAsia" w:ascii="宋体" w:hAnsi="宋体" w:eastAsia="宋体" w:cs="宋体"/>
          <w:b/>
          <w:bCs/>
          <w:lang w:val="zh-CN"/>
        </w:rPr>
        <w:t>委员会</w:t>
      </w:r>
      <w:bookmarkEnd w:id="161"/>
      <w:bookmarkEnd w:id="162"/>
      <w:bookmarkEnd w:id="163"/>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09"/>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09"/>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09"/>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09"/>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09"/>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09"/>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09"/>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09"/>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09"/>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09"/>
        <w:spacing w:line="360" w:lineRule="auto"/>
        <w:jc w:val="both"/>
        <w:rPr>
          <w:rFonts w:hint="eastAsia" w:ascii="宋体" w:hAnsi="宋体" w:eastAsia="宋体" w:cs="宋体"/>
        </w:rPr>
      </w:pPr>
      <w:r>
        <w:rPr>
          <w:rFonts w:hint="eastAsia" w:ascii="宋体" w:hAnsi="宋体" w:eastAsia="宋体" w:cs="宋体"/>
        </w:rPr>
        <w:t>26.1评标原则</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09"/>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09"/>
        <w:spacing w:line="360" w:lineRule="auto"/>
        <w:jc w:val="both"/>
        <w:rPr>
          <w:rFonts w:hint="eastAsia" w:ascii="宋体" w:hAnsi="宋体" w:eastAsia="宋体" w:cs="宋体"/>
        </w:rPr>
      </w:pPr>
      <w:r>
        <w:rPr>
          <w:rFonts w:hint="eastAsia" w:ascii="宋体" w:hAnsi="宋体" w:eastAsia="宋体" w:cs="宋体"/>
        </w:rPr>
        <w:t>26.2.1综合评分法</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09"/>
        <w:spacing w:line="360" w:lineRule="auto"/>
        <w:jc w:val="both"/>
        <w:rPr>
          <w:rFonts w:hint="eastAsia" w:ascii="宋体" w:hAnsi="宋体" w:eastAsia="宋体" w:cs="宋体"/>
        </w:rPr>
      </w:pPr>
      <w:r>
        <w:rPr>
          <w:rFonts w:hint="eastAsia" w:ascii="宋体" w:hAnsi="宋体" w:eastAsia="宋体" w:cs="宋体"/>
        </w:rPr>
        <w:t>26.2.2最低评标价法</w:t>
      </w:r>
    </w:p>
    <w:p>
      <w:pPr>
        <w:pStyle w:val="209"/>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09"/>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09"/>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3"/>
        <w:rPr>
          <w:rFonts w:hint="eastAsia" w:ascii="宋体" w:hAnsi="宋体" w:cs="宋体"/>
          <w:sz w:val="32"/>
          <w:szCs w:val="32"/>
        </w:rPr>
      </w:pPr>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59"/>
      <w:bookmarkStart w:id="164" w:name="_Toc217446061"/>
    </w:p>
    <w:bookmarkEnd w:id="164"/>
    <w:p>
      <w:pPr>
        <w:pStyle w:val="209"/>
        <w:spacing w:line="360" w:lineRule="auto"/>
        <w:jc w:val="both"/>
        <w:rPr>
          <w:rFonts w:hint="eastAsia" w:ascii="宋体" w:hAnsi="宋体" w:eastAsia="宋体" w:cs="宋体"/>
          <w:b/>
          <w:bCs/>
          <w:lang w:val="zh-CN"/>
        </w:rPr>
      </w:pPr>
      <w:bookmarkStart w:id="165" w:name="_Toc25683"/>
      <w:bookmarkStart w:id="166" w:name="_Toc2389"/>
      <w:bookmarkStart w:id="167" w:name="_Toc4921"/>
      <w:bookmarkStart w:id="168" w:name="_Toc9774"/>
      <w:bookmarkStart w:id="169" w:name="_Toc217446064"/>
      <w:bookmarkStart w:id="170" w:name="_Toc183582240"/>
      <w:bookmarkStart w:id="171" w:name="_Toc183682377"/>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.中标人的确定</w:t>
      </w:r>
      <w:bookmarkEnd w:id="165"/>
      <w:bookmarkEnd w:id="166"/>
      <w:bookmarkEnd w:id="167"/>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2"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2"/>
    <w:p>
      <w:pPr>
        <w:pStyle w:val="209"/>
        <w:spacing w:line="360" w:lineRule="auto"/>
        <w:ind w:left="420" w:hanging="420" w:hangingChars="175"/>
        <w:jc w:val="both"/>
        <w:rPr>
          <w:rFonts w:hint="eastAsia" w:ascii="宋体" w:hAnsi="宋体" w:eastAsia="宋体" w:cs="宋体"/>
          <w:lang w:val="zh-CN"/>
        </w:rPr>
      </w:pPr>
      <w:bookmarkStart w:id="173" w:name="_Toc183582238"/>
      <w:bookmarkStart w:id="174" w:name="_Toc183682375"/>
      <w:bookmarkStart w:id="175"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09"/>
        <w:spacing w:line="360" w:lineRule="auto"/>
        <w:jc w:val="both"/>
        <w:rPr>
          <w:rFonts w:hint="eastAsia" w:ascii="宋体" w:hAnsi="宋体" w:eastAsia="宋体" w:cs="宋体"/>
          <w:b/>
          <w:bCs/>
          <w:lang w:val="zh-CN"/>
        </w:rPr>
      </w:pPr>
      <w:bookmarkStart w:id="176" w:name="_Toc241"/>
      <w:bookmarkStart w:id="177" w:name="_Toc25170"/>
      <w:bookmarkStart w:id="178" w:name="_Toc2776"/>
      <w:r>
        <w:rPr>
          <w:rFonts w:hint="eastAsia" w:ascii="宋体" w:hAnsi="宋体" w:eastAsia="宋体" w:cs="宋体"/>
          <w:b/>
          <w:bCs/>
          <w:lang w:val="zh-CN"/>
        </w:rPr>
        <w:t>29．中标通知</w:t>
      </w:r>
      <w:bookmarkEnd w:id="173"/>
      <w:bookmarkEnd w:id="174"/>
      <w:r>
        <w:rPr>
          <w:rFonts w:hint="eastAsia" w:ascii="宋体" w:hAnsi="宋体" w:eastAsia="宋体" w:cs="宋体"/>
          <w:b/>
          <w:bCs/>
          <w:lang w:val="zh-CN"/>
        </w:rPr>
        <w:t>书</w:t>
      </w:r>
      <w:bookmarkEnd w:id="175"/>
      <w:bookmarkEnd w:id="176"/>
      <w:bookmarkEnd w:id="177"/>
      <w:bookmarkEnd w:id="178"/>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09"/>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p>
    <w:p>
      <w:pPr>
        <w:pStyle w:val="3"/>
        <w:rPr>
          <w:rFonts w:hint="eastAsia" w:ascii="宋体" w:hAnsi="宋体" w:cs="宋体"/>
          <w:sz w:val="32"/>
          <w:szCs w:val="32"/>
        </w:rPr>
      </w:pPr>
    </w:p>
    <w:p>
      <w:pPr>
        <w:pStyle w:val="3"/>
        <w:rPr>
          <w:rFonts w:ascii="宋体" w:hAnsi="宋体" w:cs="宋体"/>
          <w:sz w:val="32"/>
          <w:szCs w:val="32"/>
        </w:rPr>
      </w:pPr>
      <w:r>
        <w:rPr>
          <w:rFonts w:hint="eastAsia" w:ascii="宋体" w:hAnsi="宋体" w:cs="宋体"/>
          <w:sz w:val="32"/>
          <w:szCs w:val="32"/>
        </w:rPr>
        <w:t>六、签订及履行合同</w:t>
      </w:r>
      <w:bookmarkEnd w:id="168"/>
      <w:bookmarkEnd w:id="169"/>
      <w:bookmarkStart w:id="179" w:name="_Toc217446065"/>
    </w:p>
    <w:bookmarkEnd w:id="49"/>
    <w:bookmarkEnd w:id="50"/>
    <w:bookmarkEnd w:id="51"/>
    <w:bookmarkEnd w:id="170"/>
    <w:bookmarkEnd w:id="171"/>
    <w:bookmarkEnd w:id="179"/>
    <w:p>
      <w:pPr>
        <w:pStyle w:val="209"/>
        <w:spacing w:line="360" w:lineRule="auto"/>
        <w:jc w:val="both"/>
        <w:rPr>
          <w:rFonts w:hint="eastAsia" w:ascii="宋体" w:hAnsi="宋体" w:eastAsia="宋体" w:cs="宋体"/>
          <w:b/>
          <w:bCs/>
          <w:lang w:val="zh-CN"/>
        </w:rPr>
      </w:pPr>
      <w:bookmarkStart w:id="180" w:name="_Toc6977"/>
      <w:bookmarkStart w:id="181" w:name="_Toc29693"/>
      <w:bookmarkStart w:id="182" w:name="_Toc26668"/>
      <w:bookmarkStart w:id="183" w:name="_Toc20581"/>
      <w:bookmarkStart w:id="184" w:name="_Toc327439465"/>
      <w:r>
        <w:rPr>
          <w:rFonts w:hint="eastAsia" w:ascii="宋体" w:hAnsi="宋体" w:eastAsia="宋体" w:cs="宋体"/>
          <w:b/>
          <w:bCs/>
        </w:rPr>
        <w:t>30</w:t>
      </w:r>
      <w:r>
        <w:rPr>
          <w:rFonts w:hint="eastAsia" w:ascii="宋体" w:hAnsi="宋体" w:eastAsia="宋体" w:cs="宋体"/>
          <w:b/>
          <w:bCs/>
          <w:lang w:val="zh-CN"/>
        </w:rPr>
        <w:t>.签订合同</w:t>
      </w:r>
      <w:bookmarkEnd w:id="180"/>
      <w:bookmarkEnd w:id="181"/>
      <w:bookmarkEnd w:id="182"/>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09"/>
        <w:spacing w:line="360" w:lineRule="auto"/>
        <w:jc w:val="both"/>
        <w:rPr>
          <w:rFonts w:hint="eastAsia" w:ascii="宋体" w:hAnsi="宋体" w:eastAsia="宋体" w:cs="宋体"/>
          <w:b/>
          <w:bCs/>
          <w:lang w:val="zh-CN"/>
        </w:rPr>
      </w:pPr>
      <w:bookmarkStart w:id="185" w:name="_Toc30973"/>
      <w:bookmarkStart w:id="186" w:name="_Toc19334"/>
      <w:bookmarkStart w:id="187" w:name="_Toc19056"/>
      <w:bookmarkStart w:id="188" w:name="_Toc217446066"/>
      <w:r>
        <w:rPr>
          <w:rFonts w:hint="eastAsia" w:ascii="宋体" w:hAnsi="宋体" w:eastAsia="宋体" w:cs="宋体"/>
          <w:b/>
          <w:bCs/>
          <w:lang w:val="zh-CN"/>
        </w:rPr>
        <w:t>31.合同分包</w:t>
      </w:r>
      <w:bookmarkEnd w:id="185"/>
      <w:bookmarkEnd w:id="186"/>
      <w:bookmarkEnd w:id="187"/>
      <w:bookmarkEnd w:id="188"/>
      <w:r>
        <w:rPr>
          <w:rFonts w:hint="eastAsia" w:ascii="宋体" w:hAnsi="宋体" w:eastAsia="宋体" w:cs="宋体"/>
          <w:b/>
          <w:bCs/>
          <w:lang w:val="zh-CN"/>
        </w:rPr>
        <w:t>：不允许分包</w:t>
      </w:r>
    </w:p>
    <w:p>
      <w:pPr>
        <w:pStyle w:val="209"/>
        <w:spacing w:line="360" w:lineRule="auto"/>
        <w:jc w:val="both"/>
        <w:rPr>
          <w:rFonts w:hint="eastAsia" w:ascii="宋体" w:hAnsi="宋体" w:eastAsia="宋体" w:cs="宋体"/>
          <w:b/>
          <w:bCs/>
          <w:lang w:val="zh-CN"/>
        </w:rPr>
      </w:pPr>
      <w:bookmarkStart w:id="189" w:name="_Toc217446067"/>
      <w:bookmarkStart w:id="190" w:name="_Toc13021"/>
      <w:bookmarkStart w:id="191" w:name="_Toc29975"/>
      <w:bookmarkStart w:id="192" w:name="_Toc22507"/>
      <w:r>
        <w:rPr>
          <w:rFonts w:hint="eastAsia" w:ascii="宋体" w:hAnsi="宋体" w:eastAsia="宋体" w:cs="宋体"/>
          <w:b/>
          <w:bCs/>
          <w:lang w:val="zh-CN"/>
        </w:rPr>
        <w:t>32.采购人增加合同标的权</w:t>
      </w:r>
      <w:bookmarkEnd w:id="189"/>
      <w:r>
        <w:rPr>
          <w:rFonts w:hint="eastAsia" w:ascii="宋体" w:hAnsi="宋体" w:eastAsia="宋体" w:cs="宋体"/>
          <w:b/>
          <w:bCs/>
          <w:lang w:val="zh-CN"/>
        </w:rPr>
        <w:t>利</w:t>
      </w:r>
      <w:bookmarkEnd w:id="190"/>
      <w:bookmarkEnd w:id="191"/>
      <w:bookmarkEnd w:id="192"/>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3" w:name="_Toc217446068"/>
    </w:p>
    <w:bookmarkEnd w:id="193"/>
    <w:p>
      <w:pPr>
        <w:pStyle w:val="209"/>
        <w:spacing w:line="360" w:lineRule="auto"/>
        <w:jc w:val="both"/>
        <w:rPr>
          <w:rFonts w:hint="eastAsia" w:ascii="宋体" w:hAnsi="宋体" w:eastAsia="宋体" w:cs="宋体"/>
          <w:b/>
          <w:bCs/>
          <w:lang w:val="zh-CN"/>
        </w:rPr>
      </w:pPr>
      <w:bookmarkStart w:id="194" w:name="_Toc17948"/>
      <w:bookmarkStart w:id="195" w:name="_Toc14355"/>
      <w:bookmarkStart w:id="196" w:name="_Toc18984"/>
      <w:bookmarkStart w:id="197" w:name="_Toc217446069"/>
      <w:r>
        <w:rPr>
          <w:rFonts w:hint="eastAsia" w:ascii="宋体" w:hAnsi="宋体" w:eastAsia="宋体" w:cs="宋体"/>
          <w:b/>
          <w:bCs/>
        </w:rPr>
        <w:t>33</w:t>
      </w:r>
      <w:r>
        <w:rPr>
          <w:rFonts w:hint="eastAsia" w:ascii="宋体" w:hAnsi="宋体" w:eastAsia="宋体" w:cs="宋体"/>
          <w:b/>
          <w:bCs/>
          <w:lang w:val="zh-CN"/>
        </w:rPr>
        <w:t>.履行合同</w:t>
      </w:r>
      <w:bookmarkEnd w:id="194"/>
      <w:bookmarkEnd w:id="195"/>
      <w:bookmarkEnd w:id="196"/>
      <w:bookmarkEnd w:id="197"/>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09"/>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198" w:name="_Toc217446071"/>
    </w:p>
    <w:p>
      <w:pPr>
        <w:pStyle w:val="3"/>
        <w:rPr>
          <w:rFonts w:hint="eastAsia" w:ascii="宋体" w:hAnsi="宋体" w:eastAsia="宋体" w:cs="宋体"/>
          <w:sz w:val="32"/>
          <w:szCs w:val="32"/>
        </w:rPr>
      </w:pPr>
      <w:bookmarkStart w:id="199" w:name="_Toc12481"/>
      <w:bookmarkStart w:id="200" w:name="_Toc28359"/>
      <w:r>
        <w:rPr>
          <w:rFonts w:hint="eastAsia" w:ascii="宋体" w:hAnsi="宋体" w:eastAsia="宋体" w:cs="宋体"/>
          <w:sz w:val="32"/>
          <w:szCs w:val="32"/>
        </w:rPr>
        <w:t>七、废标</w:t>
      </w:r>
      <w:bookmarkEnd w:id="198"/>
      <w:bookmarkStart w:id="201" w:name="_Toc217446072"/>
      <w:bookmarkStart w:id="202" w:name="_Toc183682380"/>
      <w:bookmarkStart w:id="203" w:name="_Toc183582243"/>
      <w:r>
        <w:rPr>
          <w:rFonts w:hint="eastAsia" w:ascii="宋体" w:hAnsi="宋体" w:eastAsia="宋体" w:cs="宋体"/>
          <w:sz w:val="32"/>
          <w:szCs w:val="32"/>
        </w:rPr>
        <w:t>和串通投标</w:t>
      </w:r>
      <w:bookmarkEnd w:id="199"/>
      <w:bookmarkEnd w:id="200"/>
    </w:p>
    <w:p>
      <w:pPr>
        <w:pStyle w:val="209"/>
        <w:spacing w:line="360" w:lineRule="auto"/>
        <w:jc w:val="both"/>
        <w:rPr>
          <w:rFonts w:hint="eastAsia" w:ascii="宋体" w:hAnsi="宋体" w:eastAsia="宋体" w:cs="宋体"/>
          <w:b/>
          <w:bCs/>
          <w:lang w:val="zh-CN"/>
        </w:rPr>
      </w:pPr>
      <w:bookmarkStart w:id="204" w:name="_Toc21925"/>
      <w:bookmarkStart w:id="205" w:name="_Toc30781"/>
      <w:bookmarkStart w:id="206" w:name="_Toc16307"/>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1"/>
      <w:bookmarkEnd w:id="204"/>
      <w:bookmarkEnd w:id="205"/>
      <w:bookmarkEnd w:id="206"/>
    </w:p>
    <w:p>
      <w:pPr>
        <w:pStyle w:val="209"/>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07" w:name="_Toc217446074"/>
    </w:p>
    <w:p>
      <w:pPr>
        <w:pStyle w:val="209"/>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09"/>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08" w:name="_Toc8783"/>
      <w:bookmarkStart w:id="209" w:name="_Toc6807"/>
      <w:r>
        <w:rPr>
          <w:rFonts w:hint="eastAsia" w:ascii="宋体" w:hAnsi="宋体" w:eastAsia="宋体" w:cs="宋体"/>
          <w:sz w:val="32"/>
          <w:szCs w:val="32"/>
        </w:rPr>
        <w:t>八、投标纪律要求</w:t>
      </w:r>
      <w:bookmarkEnd w:id="207"/>
      <w:bookmarkEnd w:id="208"/>
      <w:bookmarkEnd w:id="209"/>
      <w:bookmarkStart w:id="210" w:name="_Toc217446075"/>
    </w:p>
    <w:p>
      <w:pPr>
        <w:pStyle w:val="209"/>
        <w:spacing w:line="360" w:lineRule="auto"/>
        <w:rPr>
          <w:rFonts w:hint="eastAsia" w:ascii="宋体" w:hAnsi="宋体" w:eastAsia="宋体" w:cs="宋体"/>
          <w:b/>
          <w:bCs/>
          <w:lang w:val="zh-CN"/>
        </w:rPr>
      </w:pPr>
      <w:bookmarkStart w:id="211" w:name="_Toc22938"/>
      <w:bookmarkStart w:id="212" w:name="_Toc31283"/>
      <w:bookmarkStart w:id="213" w:name="_Toc23216"/>
      <w:r>
        <w:rPr>
          <w:rFonts w:hint="eastAsia" w:ascii="宋体" w:hAnsi="宋体" w:eastAsia="宋体" w:cs="宋体"/>
          <w:b/>
          <w:bCs/>
          <w:lang w:val="zh-CN"/>
        </w:rPr>
        <w:t>37.投标单位不得具有的情形</w:t>
      </w:r>
      <w:bookmarkEnd w:id="210"/>
      <w:bookmarkEnd w:id="211"/>
      <w:bookmarkEnd w:id="212"/>
      <w:bookmarkEnd w:id="213"/>
    </w:p>
    <w:p>
      <w:pPr>
        <w:pStyle w:val="209"/>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09"/>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14" w:name="_Toc217446078"/>
    </w:p>
    <w:p>
      <w:pPr>
        <w:pStyle w:val="3"/>
        <w:rPr>
          <w:rFonts w:hint="eastAsia" w:ascii="宋体" w:hAnsi="宋体" w:eastAsia="宋体" w:cs="宋体"/>
          <w:sz w:val="32"/>
          <w:szCs w:val="32"/>
        </w:rPr>
      </w:pPr>
      <w:bookmarkStart w:id="215" w:name="_Toc13263"/>
      <w:bookmarkStart w:id="216" w:name="_Toc12361"/>
      <w:r>
        <w:rPr>
          <w:rFonts w:hint="eastAsia" w:ascii="宋体" w:hAnsi="宋体" w:eastAsia="宋体" w:cs="宋体"/>
          <w:sz w:val="32"/>
          <w:szCs w:val="32"/>
        </w:rPr>
        <w:t>九、资格审查</w:t>
      </w:r>
      <w:bookmarkEnd w:id="215"/>
      <w:bookmarkEnd w:id="216"/>
    </w:p>
    <w:p>
      <w:pPr>
        <w:pStyle w:val="209"/>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2"/>
      <w:bookmarkEnd w:id="203"/>
      <w:bookmarkEnd w:id="214"/>
    </w:p>
    <w:p>
      <w:pPr>
        <w:pStyle w:val="3"/>
        <w:rPr>
          <w:rFonts w:hint="eastAsia" w:ascii="宋体" w:hAnsi="宋体" w:eastAsia="宋体" w:cs="宋体"/>
          <w:sz w:val="32"/>
          <w:szCs w:val="32"/>
        </w:rPr>
      </w:pPr>
      <w:bookmarkStart w:id="217" w:name="_Toc5443"/>
      <w:bookmarkStart w:id="218" w:name="_Toc4686"/>
      <w:r>
        <w:rPr>
          <w:rFonts w:hint="eastAsia" w:ascii="宋体" w:hAnsi="宋体" w:eastAsia="宋体" w:cs="宋体"/>
          <w:sz w:val="32"/>
          <w:szCs w:val="32"/>
        </w:rPr>
        <w:t>十、询问和质疑</w:t>
      </w:r>
      <w:bookmarkEnd w:id="217"/>
      <w:bookmarkEnd w:id="218"/>
    </w:p>
    <w:p>
      <w:pPr>
        <w:pStyle w:val="23"/>
        <w:spacing w:line="360" w:lineRule="auto"/>
        <w:ind w:firstLine="0"/>
        <w:rPr>
          <w:rFonts w:hint="eastAsia" w:ascii="宋体" w:hAnsi="宋体" w:eastAsia="宋体" w:cs="宋体"/>
          <w:b/>
          <w:bCs/>
        </w:rPr>
      </w:pPr>
      <w:bookmarkStart w:id="219" w:name="_Toc8012"/>
      <w:bookmarkStart w:id="220" w:name="_Toc32433"/>
      <w:bookmarkStart w:id="221" w:name="_Toc25131"/>
      <w:bookmarkStart w:id="222" w:name="_Toc10059"/>
      <w:r>
        <w:rPr>
          <w:rFonts w:hint="eastAsia" w:ascii="宋体" w:hAnsi="宋体" w:eastAsia="宋体" w:cs="宋体"/>
          <w:b/>
          <w:bCs/>
        </w:rPr>
        <w:t>39.综合说明</w:t>
      </w:r>
      <w:bookmarkEnd w:id="219"/>
      <w:bookmarkEnd w:id="220"/>
      <w:bookmarkEnd w:id="221"/>
      <w:bookmarkEnd w:id="222"/>
    </w:p>
    <w:p>
      <w:pPr>
        <w:pStyle w:val="23"/>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3"/>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3"/>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3"/>
        <w:spacing w:line="360" w:lineRule="auto"/>
        <w:ind w:firstLine="0"/>
        <w:rPr>
          <w:rFonts w:hint="eastAsia" w:ascii="宋体" w:hAnsi="宋体" w:eastAsia="宋体" w:cs="宋体"/>
          <w:b/>
          <w:bCs/>
          <w:lang w:val="zh-CN"/>
        </w:rPr>
      </w:pPr>
      <w:bookmarkStart w:id="223" w:name="_Toc32409"/>
      <w:bookmarkStart w:id="224" w:name="_Toc1308"/>
      <w:bookmarkStart w:id="225" w:name="_Toc23620"/>
      <w:bookmarkStart w:id="226" w:name="_Toc8085"/>
      <w:r>
        <w:rPr>
          <w:rFonts w:hint="eastAsia" w:ascii="宋体" w:hAnsi="宋体" w:eastAsia="宋体" w:cs="宋体"/>
          <w:b/>
          <w:bCs/>
        </w:rPr>
        <w:t>40</w:t>
      </w:r>
      <w:r>
        <w:rPr>
          <w:rFonts w:hint="eastAsia" w:ascii="宋体" w:hAnsi="宋体" w:eastAsia="宋体" w:cs="宋体"/>
          <w:b/>
          <w:bCs/>
          <w:lang w:val="zh-CN"/>
        </w:rPr>
        <w:t>.询问</w:t>
      </w:r>
      <w:bookmarkEnd w:id="223"/>
      <w:bookmarkEnd w:id="224"/>
      <w:bookmarkEnd w:id="225"/>
      <w:bookmarkEnd w:id="226"/>
    </w:p>
    <w:p>
      <w:pPr>
        <w:pStyle w:val="23"/>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3"/>
        <w:spacing w:line="360" w:lineRule="auto"/>
        <w:ind w:firstLine="0"/>
        <w:rPr>
          <w:rFonts w:hint="eastAsia" w:ascii="宋体" w:hAnsi="宋体" w:eastAsia="宋体" w:cs="宋体"/>
          <w:b/>
          <w:bCs/>
          <w:lang w:val="zh-CN"/>
        </w:rPr>
      </w:pPr>
      <w:bookmarkStart w:id="227" w:name="_Toc20085"/>
      <w:bookmarkStart w:id="228" w:name="_Toc30438"/>
      <w:bookmarkStart w:id="229" w:name="_Toc4489"/>
      <w:bookmarkStart w:id="230" w:name="_Toc3368"/>
      <w:r>
        <w:rPr>
          <w:rFonts w:hint="eastAsia" w:ascii="宋体" w:hAnsi="宋体" w:eastAsia="宋体" w:cs="宋体"/>
          <w:b/>
          <w:bCs/>
        </w:rPr>
        <w:t>41</w:t>
      </w:r>
      <w:r>
        <w:rPr>
          <w:rFonts w:hint="eastAsia" w:ascii="宋体" w:hAnsi="宋体" w:eastAsia="宋体" w:cs="宋体"/>
          <w:b/>
          <w:bCs/>
          <w:lang w:val="zh-CN"/>
        </w:rPr>
        <w:t>.质疑与答复</w:t>
      </w:r>
      <w:bookmarkEnd w:id="227"/>
      <w:bookmarkEnd w:id="228"/>
      <w:bookmarkEnd w:id="229"/>
      <w:bookmarkEnd w:id="230"/>
    </w:p>
    <w:p>
      <w:pPr>
        <w:pStyle w:val="23"/>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3"/>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3"/>
        <w:spacing w:line="360" w:lineRule="auto"/>
        <w:ind w:firstLine="0"/>
        <w:rPr>
          <w:rFonts w:hint="eastAsia" w:ascii="宋体" w:hAnsi="宋体" w:eastAsia="宋体" w:cs="宋体"/>
          <w:b/>
          <w:bCs/>
        </w:rPr>
      </w:pPr>
      <w:bookmarkStart w:id="231" w:name="_Toc6168"/>
      <w:bookmarkStart w:id="232" w:name="_Toc9205"/>
      <w:bookmarkStart w:id="233" w:name="_Toc16026"/>
      <w:bookmarkStart w:id="234" w:name="_Toc15623"/>
      <w:r>
        <w:rPr>
          <w:rFonts w:hint="eastAsia" w:ascii="宋体" w:hAnsi="宋体" w:eastAsia="宋体" w:cs="宋体"/>
          <w:b/>
          <w:bCs/>
        </w:rPr>
        <w:t>42.补充</w:t>
      </w:r>
      <w:bookmarkEnd w:id="231"/>
      <w:bookmarkEnd w:id="232"/>
      <w:bookmarkEnd w:id="233"/>
      <w:bookmarkEnd w:id="234"/>
    </w:p>
    <w:p>
      <w:pPr>
        <w:pStyle w:val="23"/>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3"/>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3"/>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3"/>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3"/>
        <w:spacing w:line="360" w:lineRule="auto"/>
        <w:ind w:firstLine="0"/>
        <w:rPr>
          <w:rFonts w:hint="eastAsia" w:ascii="宋体" w:hAnsi="宋体" w:eastAsia="宋体" w:cs="宋体"/>
          <w:b/>
          <w:bCs/>
          <w:lang w:val="zh-CN"/>
        </w:rPr>
      </w:pPr>
      <w:bookmarkStart w:id="235" w:name="_Toc8333"/>
      <w:bookmarkStart w:id="236" w:name="_Toc5112"/>
      <w:bookmarkStart w:id="237" w:name="_Toc28450"/>
      <w:bookmarkStart w:id="238" w:name="_Toc16202"/>
      <w:r>
        <w:rPr>
          <w:rFonts w:hint="eastAsia" w:ascii="宋体" w:hAnsi="宋体" w:eastAsia="宋体" w:cs="宋体"/>
          <w:b/>
          <w:bCs/>
          <w:lang w:val="zh-CN"/>
        </w:rPr>
        <w:t>43.质疑不予受理的情况</w:t>
      </w:r>
      <w:bookmarkEnd w:id="235"/>
      <w:bookmarkEnd w:id="236"/>
      <w:bookmarkEnd w:id="237"/>
      <w:bookmarkEnd w:id="238"/>
    </w:p>
    <w:p>
      <w:pPr>
        <w:pStyle w:val="23"/>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3"/>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3"/>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3"/>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3"/>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7"/>
        <w:rPr>
          <w:rFonts w:hint="eastAsia" w:ascii="宋体" w:hAnsi="宋体" w:eastAsia="宋体" w:cs="宋体"/>
          <w:b/>
          <w:bCs/>
          <w:kern w:val="0"/>
          <w:sz w:val="24"/>
          <w:lang w:val="zh-CN"/>
        </w:rPr>
      </w:pPr>
    </w:p>
    <w:p>
      <w:pPr>
        <w:pStyle w:val="49"/>
        <w:rPr>
          <w:rFonts w:hint="eastAsia" w:ascii="宋体" w:hAnsi="宋体" w:eastAsia="宋体" w:cs="宋体"/>
          <w:b/>
          <w:bCs/>
          <w:kern w:val="0"/>
          <w:sz w:val="24"/>
          <w:lang w:val="zh-CN"/>
        </w:rPr>
      </w:pPr>
    </w:p>
    <w:p>
      <w:pPr>
        <w:pStyle w:val="49"/>
        <w:rPr>
          <w:rFonts w:hint="eastAsia" w:ascii="宋体" w:hAnsi="宋体" w:eastAsia="宋体" w:cs="宋体"/>
          <w:b/>
          <w:bCs/>
          <w:kern w:val="0"/>
          <w:sz w:val="24"/>
          <w:lang w:val="zh-CN"/>
        </w:rPr>
      </w:pPr>
    </w:p>
    <w:p>
      <w:pPr>
        <w:pStyle w:val="17"/>
        <w:rPr>
          <w:rFonts w:hint="eastAsia" w:ascii="宋体" w:hAnsi="宋体" w:eastAsia="宋体" w:cs="宋体"/>
          <w:b/>
          <w:bCs/>
          <w:lang w:val="zh-CN"/>
        </w:rPr>
      </w:pPr>
    </w:p>
    <w:p>
      <w:pPr>
        <w:pStyle w:val="3"/>
        <w:numPr>
          <w:ilvl w:val="0"/>
          <w:numId w:val="4"/>
        </w:numPr>
        <w:rPr>
          <w:rFonts w:ascii="宋体" w:hAnsi="宋体" w:cs="宋体"/>
          <w:color w:val="FF0000"/>
          <w:sz w:val="32"/>
          <w:szCs w:val="32"/>
        </w:rPr>
      </w:pPr>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83"/>
    </w:p>
    <w:p>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lang w:val="zh-CN" w:eastAsia="zh-CN" w:bidi="ar-SA"/>
        </w:rPr>
        <w:t>负责我院政府采购项目和委托至院外的自行采购采购项目的代理招标工作，在委托的权限范围内依法开展代理招标工作，满足</w:t>
      </w:r>
      <w:r>
        <w:rPr>
          <w:rFonts w:hint="eastAsia" w:ascii="宋体" w:hAnsi="宋体" w:eastAsia="宋体" w:cs="宋体"/>
          <w:kern w:val="0"/>
          <w:sz w:val="24"/>
          <w:szCs w:val="24"/>
          <w:lang w:val="en-US" w:eastAsia="zh-CN" w:bidi="ar-SA"/>
        </w:rPr>
        <w:t>我院</w:t>
      </w:r>
      <w:r>
        <w:rPr>
          <w:rFonts w:hint="eastAsia" w:ascii="宋体" w:hAnsi="宋体" w:eastAsia="宋体" w:cs="宋体"/>
          <w:kern w:val="0"/>
          <w:sz w:val="24"/>
          <w:szCs w:val="24"/>
          <w:lang w:val="zh-CN" w:eastAsia="zh-CN" w:bidi="ar-SA"/>
        </w:rPr>
        <w:t>的采购需求。</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highlight w:val="none"/>
          <w:lang w:val="zh-CN" w:eastAsia="zh-CN" w:bidi="ar-SA"/>
        </w:rPr>
      </w:pPr>
      <w:r>
        <w:rPr>
          <w:rFonts w:hint="eastAsia" w:ascii="宋体" w:hAnsi="宋体" w:eastAsia="宋体" w:cs="宋体"/>
          <w:kern w:val="0"/>
          <w:sz w:val="24"/>
          <w:szCs w:val="24"/>
          <w:highlight w:val="none"/>
          <w:lang w:val="en-US" w:eastAsia="zh-CN" w:bidi="ar-SA"/>
        </w:rPr>
        <w:t>2.招标代理公司</w:t>
      </w:r>
      <w:r>
        <w:rPr>
          <w:rFonts w:hint="eastAsia" w:ascii="宋体" w:hAnsi="宋体" w:eastAsia="宋体" w:cs="宋体"/>
          <w:kern w:val="0"/>
          <w:sz w:val="24"/>
          <w:szCs w:val="24"/>
          <w:highlight w:val="none"/>
          <w:lang w:val="zh-CN" w:eastAsia="zh-CN" w:bidi="ar-SA"/>
        </w:rPr>
        <w:t>需配备专业的服务团队负责我院项目的代理招标工作，并指定专人负责我院采购项目的管理和对接，服务团队成员至少三人及以上，团队成员应熟练掌握政府采购和招投标的相关法律法规、熟知政府采购和招投标的各项工作程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3.</w:t>
      </w:r>
      <w:r>
        <w:rPr>
          <w:rFonts w:hint="eastAsia" w:ascii="宋体" w:hAnsi="宋体" w:eastAsia="宋体" w:cs="宋体"/>
          <w:kern w:val="0"/>
          <w:sz w:val="24"/>
          <w:szCs w:val="24"/>
          <w:lang w:val="zh-CN" w:eastAsia="zh-CN" w:bidi="ar-SA"/>
        </w:rPr>
        <w:t>负责编制和在采购监督管理部门指定的媒体上发布招标公告、变更公告、中标公示等信息。</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w:t>
      </w:r>
      <w:r>
        <w:rPr>
          <w:rFonts w:hint="eastAsia" w:ascii="宋体" w:hAnsi="宋体" w:eastAsia="宋体" w:cs="宋体"/>
          <w:kern w:val="0"/>
          <w:sz w:val="24"/>
          <w:szCs w:val="24"/>
          <w:lang w:val="zh-CN" w:eastAsia="zh-CN" w:bidi="ar-SA"/>
        </w:rPr>
        <w:t>负责编制和发布招标文件、招标文件的需澄清和修改，</w:t>
      </w:r>
      <w:r>
        <w:rPr>
          <w:rFonts w:hint="eastAsia" w:ascii="宋体" w:hAnsi="宋体" w:eastAsia="宋体" w:cs="宋体"/>
          <w:kern w:val="0"/>
          <w:sz w:val="24"/>
          <w:szCs w:val="24"/>
          <w:lang w:val="en-US" w:eastAsia="zh-CN" w:bidi="ar-SA"/>
        </w:rPr>
        <w:t>组织专家组对政府采购项目或复杂的自行采购项目进行招标文件的论证。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5.负责组织投标商踏勘现场、答疑及记录答疑纪要。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6.负责依法组建评标委员会聘请专业的评标专家进行招标评审、提供评审场地、</w:t>
      </w:r>
      <w:r>
        <w:rPr>
          <w:rFonts w:hint="eastAsia" w:ascii="宋体" w:hAnsi="宋体" w:eastAsia="宋体" w:cs="宋体"/>
          <w:kern w:val="0"/>
          <w:sz w:val="24"/>
          <w:szCs w:val="24"/>
          <w:lang w:val="zh-CN" w:eastAsia="zh-CN" w:bidi="ar-SA"/>
        </w:rPr>
        <w:t>接受投标文件、组织和主持开标评标工作、对投标商进行资格审查、</w:t>
      </w:r>
      <w:r>
        <w:rPr>
          <w:rFonts w:hint="eastAsia" w:ascii="宋体" w:hAnsi="宋体" w:eastAsia="宋体" w:cs="宋体"/>
          <w:kern w:val="0"/>
          <w:sz w:val="24"/>
          <w:szCs w:val="24"/>
          <w:lang w:val="en-US" w:eastAsia="zh-CN" w:bidi="ar-SA"/>
        </w:rPr>
        <w:t>做好招标评审记录、</w:t>
      </w:r>
      <w:r>
        <w:rPr>
          <w:rFonts w:hint="eastAsia" w:ascii="宋体" w:hAnsi="宋体" w:eastAsia="宋体" w:cs="宋体"/>
          <w:kern w:val="0"/>
          <w:sz w:val="24"/>
          <w:szCs w:val="24"/>
          <w:lang w:val="zh-CN" w:eastAsia="zh-CN" w:bidi="ar-SA"/>
        </w:rPr>
        <w:t>根据评标委员会的意见编写评标报告、对评标内容保密。对全部招标资料的准确性负责，若后期在审核过程发现资料有误，招标代理公司应及时更正，如不能及时更正或者出现直接影响评标结果的错误我院将终止委托服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highlight w:val="yellow"/>
          <w:lang w:val="en-US" w:eastAsia="zh-CN" w:bidi="ar-SA"/>
        </w:rPr>
      </w:pPr>
      <w:r>
        <w:rPr>
          <w:rFonts w:hint="eastAsia" w:ascii="宋体" w:hAnsi="宋体" w:eastAsia="宋体" w:cs="宋体"/>
          <w:kern w:val="0"/>
          <w:sz w:val="24"/>
          <w:szCs w:val="24"/>
          <w:lang w:val="en-US" w:eastAsia="zh-CN" w:bidi="ar-SA"/>
        </w:rPr>
        <w:t>7.负责投标商询问、质疑和投诉的答疑及回复，</w:t>
      </w:r>
      <w:r>
        <w:rPr>
          <w:rFonts w:hint="eastAsia" w:ascii="宋体" w:hAnsi="宋体" w:eastAsia="宋体" w:cs="宋体"/>
          <w:kern w:val="0"/>
          <w:sz w:val="24"/>
          <w:szCs w:val="24"/>
          <w:lang w:val="zh-CN" w:eastAsia="zh-CN" w:bidi="ar-SA"/>
        </w:rPr>
        <w:t>配合采购监督管理部门处理供应商投诉调查，</w:t>
      </w:r>
      <w:r>
        <w:rPr>
          <w:rFonts w:hint="eastAsia" w:ascii="宋体" w:hAnsi="宋体" w:eastAsia="宋体" w:cs="宋体"/>
          <w:kern w:val="0"/>
          <w:sz w:val="24"/>
          <w:szCs w:val="24"/>
          <w:lang w:val="en-US" w:eastAsia="zh-CN" w:bidi="ar-SA"/>
        </w:rPr>
        <w:t>组织评标专家进行复议。</w:t>
      </w:r>
    </w:p>
    <w:p>
      <w:pPr>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highlight w:val="none"/>
          <w:lang w:val="en-US" w:eastAsia="zh-CN" w:bidi="ar-SA"/>
        </w:rPr>
        <w:t>8.负责</w:t>
      </w:r>
      <w:r>
        <w:rPr>
          <w:rFonts w:hint="eastAsia" w:ascii="宋体" w:hAnsi="宋体" w:eastAsia="宋体" w:cs="宋体"/>
          <w:kern w:val="0"/>
          <w:sz w:val="24"/>
          <w:szCs w:val="24"/>
          <w:lang w:val="en-US" w:eastAsia="zh-CN" w:bidi="ar-SA"/>
        </w:rPr>
        <w:t>起草和发放中标通知书，联系中标商拟定和起草采购合同并在中标通知书下发后三个工作日内将草拟合同电子版发送给我院，我院审核修改后联系中标商签订合同，办理招标和合同的备案审批手续。</w:t>
      </w:r>
    </w:p>
    <w:p>
      <w:pPr>
        <w:pStyle w:val="2"/>
        <w:keepNext w:val="0"/>
        <w:keepLines w:val="0"/>
        <w:pageBreakBefore w:val="0"/>
        <w:kinsoku/>
        <w:wordWrap/>
        <w:overflowPunct/>
        <w:topLinePunct w:val="0"/>
        <w:autoSpaceDE/>
        <w:autoSpaceDN/>
        <w:bidi w:val="0"/>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9.负责整理和装订招标评审资料和招标档案，要求</w:t>
      </w:r>
      <w:r>
        <w:rPr>
          <w:rFonts w:hint="eastAsia" w:ascii="宋体" w:hAnsi="宋体" w:eastAsia="宋体" w:cs="宋体"/>
          <w:kern w:val="0"/>
          <w:sz w:val="24"/>
          <w:szCs w:val="24"/>
          <w:lang w:val="zh-CN" w:eastAsia="zh-CN" w:bidi="ar-SA"/>
        </w:rPr>
        <w:t>将合同、招标文件正本、评标报告等</w:t>
      </w:r>
      <w:r>
        <w:rPr>
          <w:rFonts w:hint="eastAsia" w:ascii="宋体" w:hAnsi="宋体" w:eastAsia="宋体" w:cs="宋体"/>
          <w:kern w:val="0"/>
          <w:sz w:val="24"/>
          <w:szCs w:val="24"/>
          <w:lang w:val="en-US" w:eastAsia="zh-CN" w:bidi="ar-SA"/>
        </w:rPr>
        <w:t>招标资料全部整理成册，纸质版及电子版档案各一份。纸质版档案需装至档案盒并粘贴标签，列明档案资料明细，电子版档案需存储至U盘、硬盘，所有档案资料在招标工作完全结束后三个工作日内送至我院。</w:t>
      </w:r>
    </w:p>
    <w:p>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kern w:val="0"/>
          <w:sz w:val="24"/>
          <w:szCs w:val="24"/>
          <w:lang w:val="en-US" w:eastAsia="zh-CN" w:bidi="ar-SA"/>
        </w:rPr>
        <w:t>10.负责建立我院委托招标项目的台账，包括招标项目明细台账、项目报名信息台账、项目中标台账等，</w:t>
      </w:r>
      <w:r>
        <w:rPr>
          <w:rFonts w:hint="eastAsia" w:ascii="宋体" w:hAnsi="宋体" w:eastAsia="宋体" w:cs="宋体"/>
          <w:kern w:val="0"/>
          <w:sz w:val="24"/>
          <w:szCs w:val="24"/>
          <w:highlight w:val="none"/>
          <w:lang w:val="zh-CN" w:eastAsia="zh-CN" w:bidi="ar-SA"/>
        </w:rPr>
        <w:t>应做到及时与我院沟通项目进度，保证采购的顺利实施。</w:t>
      </w:r>
    </w:p>
    <w:p>
      <w:pPr>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11.</w:t>
      </w:r>
      <w:r>
        <w:rPr>
          <w:rFonts w:hint="eastAsia" w:ascii="宋体" w:hAnsi="宋体" w:eastAsia="宋体" w:cs="宋体"/>
          <w:kern w:val="0"/>
          <w:sz w:val="24"/>
          <w:szCs w:val="24"/>
          <w:lang w:val="zh-CN" w:eastAsia="zh-CN" w:bidi="ar-SA"/>
        </w:rPr>
        <w:t>采购预算在1000万元以上的大型政府采购项目，应当协助我院邀请国家认可的质量检测机构或相关专业专家参加验收工作；</w:t>
      </w:r>
    </w:p>
    <w:p>
      <w:pPr>
        <w:pStyle w:val="2"/>
        <w:keepNext w:val="0"/>
        <w:keepLines w:val="0"/>
        <w:pageBreakBefore w:val="0"/>
        <w:kinsoku/>
        <w:wordWrap/>
        <w:overflowPunct/>
        <w:topLinePunct w:val="0"/>
        <w:autoSpaceDE/>
        <w:autoSpaceDN/>
        <w:bidi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SA"/>
        </w:rPr>
        <w:t>*12.代理公司负责支付和承担招标文件专家论证费用、开标评审专家费用、开标场地费用、专家复议费用等招标采购工作中产生的全部费用，我院不在另行支付相关费用。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en-US" w:eastAsia="zh-CN" w:bidi="ar-SA"/>
        </w:rPr>
        <w:t>13.应满足我院的合法、合理要求，</w:t>
      </w:r>
      <w:r>
        <w:rPr>
          <w:rFonts w:hint="eastAsia" w:ascii="宋体" w:hAnsi="宋体" w:eastAsia="宋体" w:cs="宋体"/>
          <w:kern w:val="0"/>
          <w:sz w:val="24"/>
          <w:szCs w:val="24"/>
          <w:lang w:val="zh-CN" w:eastAsia="zh-CN" w:bidi="ar-SA"/>
        </w:rPr>
        <w:t>严格遵守和落实政府采购和招投标相关的法律法规、政策制度。如果在代理招标过程中违反相关法律法规，我院有权终止委托代理服务。</w:t>
      </w:r>
    </w:p>
    <w:p>
      <w:pPr>
        <w:pStyle w:val="17"/>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14.招标代理公司不得接受与委托项目招标范围之内的相关的投标咨询业务，保护我院的合法权益。</w:t>
      </w:r>
    </w:p>
    <w:p>
      <w:pPr>
        <w:pStyle w:val="17"/>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s="宋体"/>
        </w:rPr>
        <w:sectPr>
          <w:headerReference r:id="rId8" w:type="first"/>
          <w:footerReference r:id="rId10" w:type="first"/>
          <w:headerReference r:id="rId7" w:type="default"/>
          <w:footerReference r:id="rId9"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eastAsia="宋体" w:cs="宋体"/>
          <w:kern w:val="0"/>
          <w:sz w:val="24"/>
          <w:szCs w:val="24"/>
          <w:lang w:val="en-US" w:eastAsia="zh-CN" w:bidi="ar-SA"/>
        </w:rPr>
        <w:t>15.招标代理公司能协助我院进行评标专家培训，协助我院联系外院专家对院内的部分招标项目进行评审，为我院招标采购工作人员提供相应的政策咨询和答疑服务。</w:t>
      </w:r>
    </w:p>
    <w:p>
      <w:pPr>
        <w:pStyle w:val="3"/>
        <w:jc w:val="center"/>
        <w:rPr>
          <w:rFonts w:hint="eastAsia" w:ascii="宋体" w:hAnsi="宋体" w:cs="宋体"/>
          <w:color w:val="auto"/>
          <w:sz w:val="32"/>
          <w:szCs w:val="32"/>
          <w:highlight w:val="none"/>
          <w:lang w:val="en-US" w:eastAsia="zh-CN"/>
        </w:rPr>
      </w:pPr>
      <w:bookmarkStart w:id="239" w:name="_Toc20396"/>
      <w:r>
        <w:rPr>
          <w:rFonts w:hint="eastAsia" w:ascii="宋体" w:hAnsi="宋体" w:cs="宋体"/>
          <w:sz w:val="32"/>
          <w:szCs w:val="32"/>
          <w:highlight w:val="none"/>
          <w:lang w:eastAsia="zh-CN"/>
        </w:rPr>
        <w:t>第四章</w:t>
      </w:r>
      <w:r>
        <w:rPr>
          <w:rFonts w:hint="eastAsia" w:ascii="宋体" w:hAnsi="宋体" w:cs="宋体"/>
          <w:sz w:val="32"/>
          <w:szCs w:val="32"/>
          <w:highlight w:val="none"/>
          <w:lang w:val="en-US" w:eastAsia="zh-CN"/>
        </w:rPr>
        <w:t xml:space="preserve">  </w:t>
      </w:r>
      <w:r>
        <w:rPr>
          <w:rFonts w:hint="eastAsia" w:ascii="宋体" w:hAnsi="宋体" w:cs="宋体"/>
          <w:color w:val="auto"/>
          <w:sz w:val="32"/>
          <w:szCs w:val="32"/>
          <w:highlight w:val="none"/>
          <w:lang w:val="en-US" w:eastAsia="zh-CN"/>
        </w:rPr>
        <w:t>资格证明文件</w:t>
      </w:r>
      <w:bookmarkEnd w:id="239"/>
    </w:p>
    <w:p>
      <w:pPr>
        <w:spacing w:line="360" w:lineRule="auto"/>
        <w:ind w:left="720" w:hanging="744" w:hangingChars="300"/>
        <w:rPr>
          <w:rFonts w:ascii="宋体" w:hAnsi="宋体" w:cs="宋体"/>
          <w:bCs/>
          <w:kern w:val="0"/>
          <w:sz w:val="24"/>
        </w:rPr>
      </w:pPr>
      <w:r>
        <w:rPr>
          <w:rFonts w:hint="eastAsia" w:ascii="宋体" w:hAnsi="宋体" w:eastAsia="宋体" w:cs="宋体"/>
          <w:b w:val="0"/>
          <w:bCs w:val="0"/>
          <w:spacing w:val="4"/>
          <w:sz w:val="24"/>
          <w:szCs w:val="24"/>
        </w:rPr>
        <w:t>一、</w:t>
      </w:r>
      <w:r>
        <w:rPr>
          <w:rFonts w:hint="eastAsia" w:ascii="宋体" w:hAnsi="宋体" w:cs="宋体"/>
          <w:bCs/>
          <w:kern w:val="0"/>
          <w:sz w:val="24"/>
        </w:rPr>
        <w:t>供应商须提供符合《中华人民共和国政府采购法》第二十二条规定条款的证明材料，并提供《中华人民共和国政府采购法实施条例》第十七条所要求的材料：</w:t>
      </w:r>
    </w:p>
    <w:p>
      <w:pPr>
        <w:spacing w:line="360" w:lineRule="auto"/>
        <w:ind w:firstLine="480" w:firstLineChars="200"/>
        <w:rPr>
          <w:rFonts w:ascii="宋体" w:hAnsi="宋体" w:cs="宋体"/>
          <w:bCs/>
          <w:kern w:val="0"/>
          <w:sz w:val="24"/>
        </w:rPr>
      </w:pPr>
      <w:r>
        <w:rPr>
          <w:rFonts w:hint="eastAsia" w:ascii="宋体" w:hAnsi="宋体" w:cs="宋体"/>
          <w:bCs/>
          <w:kern w:val="0"/>
          <w:sz w:val="24"/>
        </w:rPr>
        <w:t>①投标商须提供有效的法人或者其他组织的营业执照等证明文件，自然人的身份证明(复印件加盖公章)；</w:t>
      </w:r>
    </w:p>
    <w:p>
      <w:pPr>
        <w:spacing w:line="360" w:lineRule="auto"/>
        <w:ind w:firstLine="480" w:firstLineChars="200"/>
        <w:rPr>
          <w:rFonts w:ascii="宋体" w:hAnsi="宋体" w:cs="宋体"/>
          <w:bCs/>
          <w:sz w:val="24"/>
        </w:rPr>
      </w:pPr>
      <w:r>
        <w:rPr>
          <w:rFonts w:hint="eastAsia" w:ascii="宋体" w:hAnsi="宋体" w:cs="宋体"/>
          <w:bCs/>
          <w:sz w:val="24"/>
        </w:rPr>
        <w:t>②投标人须提供由会计事务所出具的2020年度</w:t>
      </w:r>
      <w:r>
        <w:rPr>
          <w:rFonts w:hint="eastAsia" w:ascii="宋体" w:hAnsi="宋体" w:cs="宋体"/>
          <w:bCs/>
          <w:sz w:val="24"/>
          <w:lang w:val="en-US" w:eastAsia="zh-CN"/>
        </w:rPr>
        <w:t>或2021年度</w:t>
      </w:r>
      <w:r>
        <w:rPr>
          <w:rFonts w:hint="eastAsia" w:ascii="宋体" w:hAnsi="宋体" w:cs="宋体"/>
          <w:bCs/>
          <w:sz w:val="24"/>
        </w:rPr>
        <w:t>审计报告（复印件加盖公章）或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ind w:firstLine="480" w:firstLineChars="200"/>
        <w:rPr>
          <w:rFonts w:ascii="宋体" w:hAnsi="宋体" w:cs="宋体"/>
          <w:bCs/>
          <w:kern w:val="0"/>
          <w:sz w:val="24"/>
        </w:rPr>
      </w:pPr>
      <w:r>
        <w:rPr>
          <w:rFonts w:hint="eastAsia" w:ascii="宋体" w:hAnsi="宋体" w:cs="宋体"/>
          <w:bCs/>
          <w:kern w:val="0"/>
          <w:sz w:val="24"/>
        </w:rPr>
        <w:t>③投标商须提供投标截止日前近半年任意一个月缴纳税收（增值税或企业所得税等）的有效票据凭证（复印件加盖公章），依法免税的投标商，应提供相应的证明文件；</w:t>
      </w:r>
    </w:p>
    <w:p>
      <w:pPr>
        <w:spacing w:line="360" w:lineRule="auto"/>
        <w:ind w:right="141" w:firstLine="480" w:firstLineChars="200"/>
        <w:rPr>
          <w:rFonts w:hint="eastAsia" w:ascii="宋体" w:hAnsi="宋体" w:eastAsia="宋体" w:cs="宋体"/>
          <w:sz w:val="24"/>
          <w:lang w:eastAsia="zh-CN"/>
        </w:rPr>
      </w:pPr>
      <w:r>
        <w:rPr>
          <w:rFonts w:hint="eastAsia" w:ascii="宋体" w:hAnsi="宋体" w:cs="宋体"/>
          <w:bCs/>
          <w:kern w:val="0"/>
          <w:sz w:val="24"/>
        </w:rPr>
        <w:t>④投标商须提供投标截止日前近半年任意一个月缴纳社保资金的有效票据凭证（复印件加盖公章）</w:t>
      </w:r>
      <w:r>
        <w:rPr>
          <w:rFonts w:hint="eastAsia" w:ascii="宋体" w:hAnsi="宋体" w:cs="宋体"/>
          <w:bCs/>
          <w:kern w:val="0"/>
          <w:sz w:val="24"/>
          <w:lang w:eastAsia="zh-CN"/>
        </w:rPr>
        <w:t>。</w:t>
      </w:r>
    </w:p>
    <w:p>
      <w:pPr>
        <w:pStyle w:val="2"/>
        <w:spacing w:line="360" w:lineRule="auto"/>
        <w:ind w:left="0" w:leftChars="0" w:firstLine="474" w:firstLineChars="200"/>
        <w:rPr>
          <w:rFonts w:ascii="宋体" w:hAnsi="宋体" w:cs="宋体"/>
          <w:b/>
          <w:bCs/>
          <w:spacing w:val="-2"/>
          <w:sz w:val="24"/>
        </w:rPr>
      </w:pPr>
      <w:r>
        <w:rPr>
          <w:rFonts w:ascii="宋体" w:hAnsi="宋体" w:cs="宋体"/>
          <w:b/>
          <w:bCs/>
          <w:spacing w:val="-2"/>
          <w:sz w:val="24"/>
        </w:rPr>
        <w:t>注：</w:t>
      </w:r>
    </w:p>
    <w:p>
      <w:pPr>
        <w:pStyle w:val="2"/>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w:t>
      </w:r>
    </w:p>
    <w:p>
      <w:pPr>
        <w:pStyle w:val="2"/>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2"/>
        <w:spacing w:line="360" w:lineRule="auto"/>
        <w:ind w:left="0" w:leftChars="0" w:firstLine="474" w:firstLineChars="200"/>
        <w:jc w:val="left"/>
        <w:rPr>
          <w:sz w:val="24"/>
        </w:rPr>
      </w:pPr>
      <w:bookmarkStart w:id="240" w:name="_Toc25803"/>
      <w:bookmarkStart w:id="241" w:name="_Toc9747"/>
      <w:bookmarkStart w:id="242" w:name="_Toc20553"/>
      <w:r>
        <w:rPr>
          <w:rFonts w:hint="eastAsia" w:ascii="宋体" w:hAnsi="宋体" w:cs="宋体"/>
          <w:b/>
          <w:bCs/>
          <w:spacing w:val="-2"/>
          <w:sz w:val="24"/>
        </w:rPr>
        <w:t>5.本章中“投标截止日前”是指以投标截止日为起始时间倒推每一项相应要求的时间。</w:t>
      </w:r>
      <w:bookmarkEnd w:id="240"/>
      <w:bookmarkEnd w:id="241"/>
      <w:bookmarkEnd w:id="242"/>
    </w:p>
    <w:p>
      <w:pPr>
        <w:pStyle w:val="17"/>
        <w:rPr>
          <w:rFonts w:hint="eastAsia" w:ascii="宋体" w:hAnsi="宋体" w:cs="宋体"/>
          <w:sz w:val="32"/>
          <w:szCs w:val="32"/>
        </w:rPr>
      </w:pPr>
    </w:p>
    <w:p>
      <w:pPr>
        <w:pStyle w:val="49"/>
        <w:rPr>
          <w:rFonts w:hint="eastAsia" w:ascii="宋体" w:hAnsi="宋体" w:cs="宋体"/>
          <w:sz w:val="32"/>
          <w:szCs w:val="32"/>
        </w:rPr>
      </w:pPr>
    </w:p>
    <w:p>
      <w:pPr>
        <w:pStyle w:val="49"/>
        <w:rPr>
          <w:rFonts w:hint="eastAsia" w:ascii="宋体" w:hAnsi="宋体" w:cs="宋体"/>
          <w:sz w:val="32"/>
          <w:szCs w:val="32"/>
        </w:rPr>
      </w:pPr>
    </w:p>
    <w:p>
      <w:pPr>
        <w:pStyle w:val="49"/>
        <w:rPr>
          <w:rFonts w:hint="eastAsia" w:ascii="宋体" w:hAnsi="宋体" w:cs="宋体"/>
          <w:sz w:val="32"/>
          <w:szCs w:val="32"/>
        </w:rPr>
      </w:pPr>
    </w:p>
    <w:p>
      <w:pPr>
        <w:pStyle w:val="49"/>
        <w:rPr>
          <w:rFonts w:hint="eastAsia" w:ascii="宋体" w:hAnsi="宋体" w:cs="宋体"/>
          <w:sz w:val="32"/>
          <w:szCs w:val="32"/>
        </w:rPr>
      </w:pPr>
    </w:p>
    <w:p>
      <w:pPr>
        <w:pStyle w:val="49"/>
        <w:rPr>
          <w:rFonts w:hint="eastAsia" w:ascii="宋体" w:hAnsi="宋体" w:cs="宋体"/>
          <w:sz w:val="32"/>
          <w:szCs w:val="32"/>
        </w:rPr>
      </w:pPr>
    </w:p>
    <w:p>
      <w:pPr>
        <w:pStyle w:val="49"/>
        <w:rPr>
          <w:rFonts w:hint="eastAsia" w:ascii="宋体" w:hAnsi="宋体" w:cs="宋体"/>
          <w:sz w:val="32"/>
          <w:szCs w:val="32"/>
        </w:rPr>
      </w:pPr>
      <w:bookmarkStart w:id="309" w:name="_GoBack"/>
      <w:bookmarkEnd w:id="309"/>
    </w:p>
    <w:p>
      <w:pPr>
        <w:pStyle w:val="3"/>
        <w:rPr>
          <w:rFonts w:ascii="宋体" w:hAnsi="宋体" w:cs="宋体"/>
          <w:sz w:val="32"/>
          <w:szCs w:val="32"/>
        </w:rPr>
      </w:pPr>
      <w:bookmarkStart w:id="243"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243"/>
    </w:p>
    <w:p>
      <w:pPr>
        <w:spacing w:line="360" w:lineRule="auto"/>
        <w:ind w:left="422" w:hanging="422" w:hangingChars="175"/>
        <w:rPr>
          <w:rFonts w:hint="eastAsia" w:ascii="宋体" w:hAnsi="宋体" w:eastAsia="宋体" w:cs="宋体"/>
          <w:b/>
          <w:bCs/>
          <w:sz w:val="24"/>
        </w:rPr>
      </w:pPr>
      <w:bookmarkStart w:id="244" w:name="_Toc19429"/>
      <w:bookmarkStart w:id="245" w:name="_Toc10288"/>
      <w:bookmarkStart w:id="246" w:name="_Toc7841"/>
      <w:r>
        <w:rPr>
          <w:rFonts w:hint="eastAsia" w:ascii="宋体" w:hAnsi="宋体" w:eastAsia="宋体" w:cs="宋体"/>
          <w:b/>
          <w:bCs/>
          <w:sz w:val="24"/>
        </w:rPr>
        <w:t>1.总则</w:t>
      </w:r>
      <w:bookmarkEnd w:id="244"/>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7"/>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47" w:name="_Toc28893"/>
      <w:r>
        <w:rPr>
          <w:rFonts w:hint="eastAsia" w:ascii="宋体" w:hAnsi="宋体" w:eastAsia="宋体" w:cs="宋体"/>
          <w:b/>
          <w:bCs/>
          <w:sz w:val="24"/>
        </w:rPr>
        <w:t>2.评标程序：对资格审查合格的投标单位，由评标委员会按以下程序进行。</w:t>
      </w:r>
      <w:bookmarkEnd w:id="247"/>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5"/>
        <w:tblW w:w="99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3116"/>
        <w:gridCol w:w="4299"/>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3116" w:type="dxa"/>
            <w:noWrap w:val="0"/>
            <w:vAlign w:val="center"/>
          </w:tcPr>
          <w:p>
            <w:pPr>
              <w:pStyle w:val="222"/>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jc w:val="center"/>
        </w:trPr>
        <w:tc>
          <w:tcPr>
            <w:tcW w:w="704" w:type="dxa"/>
            <w:noWrap w:val="0"/>
            <w:vAlign w:val="center"/>
          </w:tcPr>
          <w:p>
            <w:pPr>
              <w:pStyle w:val="222"/>
              <w:spacing w:before="197" w:line="360" w:lineRule="auto"/>
              <w:ind w:left="8"/>
              <w:jc w:val="center"/>
              <w:rPr>
                <w:rFonts w:hint="eastAsia" w:ascii="宋体" w:hAnsi="宋体" w:eastAsia="宋体" w:cs="宋体"/>
                <w:sz w:val="24"/>
                <w:highlight w:val="red"/>
              </w:rPr>
            </w:pPr>
            <w:r>
              <w:rPr>
                <w:rFonts w:hint="eastAsia" w:ascii="宋体" w:hAnsi="宋体" w:eastAsia="宋体" w:cs="宋体"/>
                <w:sz w:val="24"/>
                <w:highlight w:val="none"/>
              </w:rPr>
              <w:t>1</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highlight w:val="red"/>
              </w:rPr>
            </w:pPr>
            <w:r>
              <w:rPr>
                <w:rFonts w:hint="eastAsia" w:ascii="宋体" w:hAnsi="宋体" w:eastAsia="宋体" w:cs="宋体"/>
                <w:sz w:val="24"/>
              </w:rPr>
              <w:t>采购预算或最高限价</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highlight w:val="red"/>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投标文件的签署、盖章</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投标有效期</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lang w:val="en-US" w:eastAsia="zh-CN"/>
              </w:rPr>
              <w:t>服务</w:t>
            </w:r>
            <w:r>
              <w:rPr>
                <w:rFonts w:hint="eastAsia" w:ascii="宋体" w:hAnsi="宋体" w:eastAsia="宋体" w:cs="宋体"/>
                <w:sz w:val="24"/>
              </w:rPr>
              <w:t>期</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lang w:val="en-US" w:eastAsia="zh-CN"/>
              </w:rPr>
              <w:t>服务</w:t>
            </w:r>
            <w:r>
              <w:rPr>
                <w:rFonts w:hint="eastAsia" w:ascii="宋体" w:hAnsi="宋体" w:eastAsia="宋体" w:cs="宋体"/>
                <w:sz w:val="24"/>
              </w:rPr>
              <w:t>期是否响应招标文件的要求；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3116"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付款方式</w:t>
            </w:r>
          </w:p>
        </w:tc>
        <w:tc>
          <w:tcPr>
            <w:tcW w:w="4299" w:type="dxa"/>
            <w:noWrap w:val="0"/>
            <w:vAlign w:val="center"/>
          </w:tcPr>
          <w:p>
            <w:pPr>
              <w:pStyle w:val="222"/>
              <w:spacing w:before="145" w:line="360" w:lineRule="auto"/>
              <w:ind w:left="109" w:leftChars="0" w:right="101" w:rightChars="0"/>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w:t>
            </w:r>
            <w:r>
              <w:rPr>
                <w:rFonts w:hint="eastAsia" w:ascii="宋体" w:hAnsi="宋体" w:cs="宋体"/>
                <w:color w:val="auto"/>
                <w:kern w:val="0"/>
                <w:sz w:val="24"/>
                <w:szCs w:val="24"/>
                <w:highlight w:val="none"/>
                <w:lang w:val="en-US" w:eastAsia="zh-CN"/>
              </w:rPr>
              <w:t>服务</w:t>
            </w:r>
            <w:r>
              <w:rPr>
                <w:rFonts w:hint="eastAsia" w:ascii="宋体" w:hAnsi="宋体" w:eastAsia="宋体" w:cs="宋体"/>
                <w:color w:val="auto"/>
                <w:kern w:val="0"/>
                <w:sz w:val="24"/>
                <w:szCs w:val="24"/>
                <w:highlight w:val="none"/>
                <w:lang w:val="en-US" w:eastAsia="zh-CN"/>
              </w:rPr>
              <w:t>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50</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分）：</w:t>
            </w:r>
          </w:p>
          <w:p>
            <w:pPr>
              <w:spacing w:line="360" w:lineRule="auto"/>
              <w:ind w:firstLine="240" w:firstLineChars="100"/>
              <w:jc w:val="left"/>
              <w:rPr>
                <w:rFonts w:hint="eastAsia" w:ascii="宋体" w:hAnsi="宋体" w:eastAsia="宋体" w:cs="宋体"/>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20</w:t>
            </w:r>
            <w:r>
              <w:rPr>
                <w:rFonts w:hint="eastAsia" w:ascii="宋体" w:hAnsi="宋体" w:eastAsia="宋体" w:cs="宋体"/>
                <w:sz w:val="24"/>
                <w:szCs w:val="24"/>
                <w:highlight w:val="none"/>
              </w:rPr>
              <w:t>分。带“★”的为主要技术要求，有一项负偏离扣</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903"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公司具有招标代理的具体制度和流程，制度流程全面、完善的得5分，制度流程基本全面的得3分，制度流程不全面、不完善的得1分，没有制度流程的不得分</w:t>
            </w:r>
            <w:r>
              <w:rPr>
                <w:rFonts w:hint="eastAsia" w:ascii="宋体" w:hAnsi="宋体" w:eastAsia="宋体" w:cs="宋体"/>
                <w:color w:val="auto"/>
                <w:sz w:val="24"/>
                <w:szCs w:val="24"/>
                <w:highlight w:val="none"/>
                <w:lang w:val="en-US" w:eastAsia="zh-CN"/>
              </w:rPr>
              <w:t>；（满分</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903"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3.投标人</w:t>
            </w:r>
            <w:r>
              <w:rPr>
                <w:rFonts w:hint="eastAsia" w:ascii="宋体" w:hAnsi="宋体" w:eastAsia="宋体" w:cs="宋体"/>
                <w:sz w:val="24"/>
                <w:szCs w:val="32"/>
              </w:rPr>
              <w:t>针对本项目组建的固定服务团队</w:t>
            </w:r>
            <w:r>
              <w:rPr>
                <w:rFonts w:hint="eastAsia" w:ascii="宋体" w:hAnsi="宋体" w:cs="宋体"/>
                <w:sz w:val="24"/>
                <w:szCs w:val="32"/>
                <w:lang w:eastAsia="zh-CN"/>
              </w:rPr>
              <w:t>，</w:t>
            </w:r>
            <w:r>
              <w:rPr>
                <w:rFonts w:hint="eastAsia" w:ascii="宋体" w:hAnsi="宋体" w:eastAsia="宋体" w:cs="宋体"/>
                <w:sz w:val="24"/>
                <w:szCs w:val="32"/>
              </w:rPr>
              <w:t>评标委员会</w:t>
            </w:r>
            <w:r>
              <w:rPr>
                <w:rFonts w:hint="eastAsia" w:ascii="宋体" w:hAnsi="宋体" w:cs="宋体"/>
                <w:sz w:val="24"/>
                <w:szCs w:val="32"/>
                <w:lang w:eastAsia="zh-CN"/>
              </w:rPr>
              <w:t>根据服务团队成员稳定，分工明确，从业年限、行业经验、文化程度等方面横向比较打分，</w:t>
            </w:r>
            <w:r>
              <w:rPr>
                <w:rFonts w:hint="eastAsia" w:ascii="宋体" w:hAnsi="宋体" w:cs="宋体"/>
                <w:color w:val="auto"/>
                <w:sz w:val="24"/>
                <w:szCs w:val="24"/>
                <w:highlight w:val="none"/>
                <w:lang w:val="en-US" w:eastAsia="zh-CN"/>
              </w:rPr>
              <w:t>优秀的得7-10分，良好的得3-6分，一般的得1-2分，未提供的不得分。（满分10分）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903" w:type="dxa"/>
            <w:vMerge w:val="continue"/>
            <w:tcBorders>
              <w:left w:val="single" w:color="auto" w:sz="4" w:space="0"/>
              <w:right w:val="single" w:color="auto" w:sz="4" w:space="0"/>
            </w:tcBorders>
            <w:vAlign w:val="center"/>
          </w:tcPr>
          <w:p>
            <w:pPr>
              <w:spacing w:line="360" w:lineRule="auto"/>
              <w:jc w:val="left"/>
            </w:pPr>
          </w:p>
        </w:tc>
        <w:tc>
          <w:tcPr>
            <w:tcW w:w="1455" w:type="dxa"/>
            <w:vMerge w:val="continue"/>
            <w:tcBorders>
              <w:left w:val="single" w:color="auto" w:sz="4" w:space="0"/>
              <w:right w:val="single" w:color="auto" w:sz="4" w:space="0"/>
            </w:tcBorders>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4.投标人针对项目要求，具有与我院对接招标业务的服务方案，</w:t>
            </w:r>
            <w:r>
              <w:rPr>
                <w:rFonts w:hint="eastAsia" w:ascii="宋体" w:hAnsi="宋体" w:eastAsia="宋体" w:cs="宋体"/>
                <w:sz w:val="24"/>
                <w:szCs w:val="32"/>
              </w:rPr>
              <w:t>评标委员会根据</w:t>
            </w:r>
            <w:r>
              <w:rPr>
                <w:rFonts w:hint="eastAsia" w:ascii="宋体" w:hAnsi="宋体" w:cs="宋体"/>
                <w:sz w:val="24"/>
                <w:szCs w:val="32"/>
                <w:lang w:eastAsia="zh-CN"/>
              </w:rPr>
              <w:t>服务方案是否完整、全面、有效进行</w:t>
            </w:r>
            <w:r>
              <w:rPr>
                <w:rFonts w:hint="eastAsia" w:ascii="宋体" w:hAnsi="宋体" w:eastAsia="宋体" w:cs="宋体"/>
                <w:sz w:val="24"/>
                <w:szCs w:val="32"/>
              </w:rPr>
              <w:t>横向比较打分1-</w:t>
            </w:r>
            <w:r>
              <w:rPr>
                <w:rFonts w:hint="eastAsia" w:ascii="宋体" w:hAnsi="宋体" w:eastAsia="宋体" w:cs="宋体"/>
                <w:sz w:val="24"/>
                <w:szCs w:val="32"/>
                <w:lang w:val="en-US" w:eastAsia="zh-CN"/>
              </w:rPr>
              <w:t>5</w:t>
            </w:r>
            <w:r>
              <w:rPr>
                <w:rFonts w:hint="eastAsia" w:ascii="宋体" w:hAnsi="宋体" w:eastAsia="宋体" w:cs="宋体"/>
                <w:sz w:val="24"/>
                <w:szCs w:val="32"/>
                <w:lang w:eastAsia="zh-CN"/>
              </w:rPr>
              <w:t>。</w:t>
            </w:r>
            <w:r>
              <w:rPr>
                <w:rFonts w:hint="eastAsia" w:ascii="宋体" w:hAnsi="宋体" w:eastAsia="宋体" w:cs="宋体"/>
                <w:sz w:val="24"/>
                <w:szCs w:val="32"/>
              </w:rPr>
              <w:t>（</w:t>
            </w:r>
            <w:r>
              <w:rPr>
                <w:rFonts w:hint="eastAsia" w:ascii="宋体" w:hAnsi="宋体" w:eastAsia="宋体" w:cs="宋体"/>
                <w:sz w:val="24"/>
                <w:szCs w:val="32"/>
                <w:lang w:val="en-US" w:eastAsia="zh-CN"/>
              </w:rPr>
              <w:t>满分5</w:t>
            </w:r>
            <w:r>
              <w:rPr>
                <w:rFonts w:hint="eastAsia" w:ascii="宋体" w:hAnsi="宋体" w:eastAsia="宋体" w:cs="宋体"/>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5.投标人针对项目要求，提供代理招标服务的效率和质量保证措施或方案，</w:t>
            </w:r>
            <w:r>
              <w:rPr>
                <w:rFonts w:hint="eastAsia" w:ascii="宋体" w:hAnsi="宋体" w:eastAsia="宋体" w:cs="宋体"/>
                <w:sz w:val="24"/>
                <w:szCs w:val="32"/>
              </w:rPr>
              <w:t>评标委员会横向比较打分1-</w:t>
            </w: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color w:val="auto"/>
                <w:sz w:val="24"/>
                <w:szCs w:val="24"/>
                <w:highlight w:val="none"/>
                <w:lang w:val="en-US" w:eastAsia="zh-CN"/>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jc w:val="left"/>
            </w:pPr>
          </w:p>
        </w:tc>
        <w:tc>
          <w:tcPr>
            <w:tcW w:w="1455" w:type="dxa"/>
            <w:vMerge w:val="continue"/>
            <w:tcBorders>
              <w:left w:val="single" w:color="auto" w:sz="4" w:space="0"/>
              <w:bottom w:val="single" w:color="auto" w:sz="4" w:space="0"/>
              <w:right w:val="single" w:color="auto" w:sz="4" w:space="0"/>
            </w:tcBorders>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6.投标人有自己的评标专家库，根据评标专家库涵盖的专业、人数、资质等，</w:t>
            </w:r>
            <w:r>
              <w:rPr>
                <w:rFonts w:hint="eastAsia" w:ascii="宋体" w:hAnsi="宋体" w:eastAsia="宋体" w:cs="宋体"/>
                <w:sz w:val="24"/>
                <w:szCs w:val="32"/>
              </w:rPr>
              <w:t>评标委员会横向比较打分1-</w:t>
            </w: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color w:val="auto"/>
                <w:sz w:val="24"/>
                <w:szCs w:val="24"/>
                <w:highlight w:val="none"/>
                <w:lang w:val="en-US" w:eastAsia="zh-CN"/>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lang w:val="en-US" w:eastAsia="zh-CN" w:bidi="zh-CN"/>
              </w:rPr>
              <w:t>投标文件制作规范、完整、目录明晰，附件齐，得</w:t>
            </w:r>
            <w:r>
              <w:rPr>
                <w:rFonts w:hint="eastAsia" w:ascii="宋体" w:hAnsi="宋体" w:cs="宋体"/>
                <w:color w:val="auto"/>
                <w:sz w:val="24"/>
                <w:szCs w:val="24"/>
                <w:lang w:val="en-US" w:eastAsia="zh-CN" w:bidi="zh-CN"/>
              </w:rPr>
              <w:t>2</w:t>
            </w:r>
            <w:r>
              <w:rPr>
                <w:rFonts w:hint="eastAsia" w:ascii="宋体" w:hAnsi="宋体" w:eastAsia="宋体" w:cs="宋体"/>
                <w:color w:val="auto"/>
                <w:sz w:val="24"/>
                <w:szCs w:val="24"/>
                <w:lang w:val="en-US" w:eastAsia="zh-CN" w:bidi="zh-CN"/>
              </w:rPr>
              <w:t xml:space="preserve">分；投标文件制作较规范、完整、目录不够明晰，附件不齐全，得 </w:t>
            </w:r>
            <w:r>
              <w:rPr>
                <w:rFonts w:hint="eastAsia" w:ascii="宋体" w:hAnsi="宋体" w:cs="宋体"/>
                <w:color w:val="auto"/>
                <w:sz w:val="24"/>
                <w:szCs w:val="24"/>
                <w:lang w:val="en-US" w:eastAsia="zh-CN" w:bidi="zh-CN"/>
              </w:rPr>
              <w:t>1</w:t>
            </w:r>
            <w:r>
              <w:rPr>
                <w:rFonts w:hint="eastAsia" w:ascii="宋体" w:hAnsi="宋体" w:eastAsia="宋体" w:cs="宋体"/>
                <w:color w:val="auto"/>
                <w:sz w:val="24"/>
                <w:szCs w:val="24"/>
                <w:lang w:val="en-US" w:eastAsia="zh-CN" w:bidi="zh-CN"/>
              </w:rPr>
              <w:t xml:space="preserve"> 分；投标文件制作不规范不完整，附件不齐全得</w:t>
            </w:r>
            <w:r>
              <w:rPr>
                <w:rFonts w:hint="eastAsia" w:ascii="宋体" w:hAnsi="宋体" w:cs="宋体"/>
                <w:color w:val="auto"/>
                <w:sz w:val="24"/>
                <w:szCs w:val="24"/>
                <w:lang w:val="en-US" w:eastAsia="zh-CN" w:bidi="zh-CN"/>
              </w:rPr>
              <w:t>0</w:t>
            </w:r>
            <w:r>
              <w:rPr>
                <w:rFonts w:hint="eastAsia" w:ascii="宋体" w:hAnsi="宋体" w:eastAsia="宋体" w:cs="宋体"/>
                <w:color w:val="auto"/>
                <w:sz w:val="24"/>
                <w:szCs w:val="24"/>
                <w:lang w:val="en-US" w:eastAsia="zh-CN" w:bidi="zh-CN"/>
              </w:rPr>
              <w:t>分</w:t>
            </w:r>
            <w:r>
              <w:rPr>
                <w:rFonts w:hint="eastAsia" w:ascii="宋体" w:hAnsi="宋体" w:cs="宋体"/>
                <w:color w:val="auto"/>
                <w:sz w:val="24"/>
                <w:szCs w:val="24"/>
                <w:lang w:val="en-US" w:eastAsia="zh-CN" w:bidi="zh-CN"/>
              </w:rPr>
              <w:t>。</w:t>
            </w:r>
            <w:r>
              <w:rPr>
                <w:rFonts w:hint="eastAsia" w:ascii="宋体" w:hAnsi="宋体" w:eastAsia="宋体" w:cs="宋体"/>
                <w:color w:val="auto"/>
                <w:sz w:val="24"/>
                <w:szCs w:val="24"/>
                <w:lang w:val="en-US" w:eastAsia="zh-CN" w:bidi="zh-CN"/>
              </w:rPr>
              <w:t>（满分</w:t>
            </w:r>
            <w:r>
              <w:rPr>
                <w:rFonts w:hint="eastAsia" w:ascii="宋体" w:hAnsi="宋体" w:cs="宋体"/>
                <w:color w:val="auto"/>
                <w:sz w:val="24"/>
                <w:szCs w:val="24"/>
                <w:lang w:val="en-US" w:eastAsia="zh-CN" w:bidi="zh-CN"/>
              </w:rPr>
              <w:t>2</w:t>
            </w:r>
            <w:r>
              <w:rPr>
                <w:rFonts w:hint="eastAsia" w:ascii="宋体" w:hAnsi="宋体" w:eastAsia="宋体" w:cs="宋体"/>
                <w:color w:val="auto"/>
                <w:sz w:val="24"/>
                <w:szCs w:val="24"/>
                <w:lang w:val="en-US" w:eastAsia="zh-CN"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2.提供近三年</w:t>
            </w:r>
            <w:r>
              <w:rPr>
                <w:rFonts w:hint="eastAsia" w:ascii="宋体" w:hAnsi="宋体" w:cs="宋体"/>
                <w:color w:val="auto"/>
                <w:sz w:val="24"/>
                <w:szCs w:val="24"/>
                <w:highlight w:val="none"/>
                <w:lang w:eastAsia="zh-CN"/>
              </w:rPr>
              <w:t>相同服务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3" w:type="dxa"/>
            <w:vMerge w:val="continue"/>
            <w:tcBorders>
              <w:left w:val="single" w:color="auto" w:sz="4" w:space="0"/>
              <w:right w:val="single" w:color="auto" w:sz="4" w:space="0"/>
            </w:tcBorders>
            <w:vAlign w:val="center"/>
          </w:tcPr>
          <w:p>
            <w:pPr>
              <w:spacing w:line="360" w:lineRule="auto"/>
              <w:jc w:val="left"/>
            </w:pPr>
          </w:p>
        </w:tc>
        <w:tc>
          <w:tcPr>
            <w:tcW w:w="1455" w:type="dxa"/>
            <w:vMerge w:val="continue"/>
            <w:tcBorders>
              <w:left w:val="single" w:color="auto" w:sz="4" w:space="0"/>
              <w:right w:val="single" w:color="auto" w:sz="4" w:space="0"/>
            </w:tcBorders>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4.项目负责人</w:t>
            </w:r>
            <w:r>
              <w:rPr>
                <w:rFonts w:hint="eastAsia"/>
                <w:color w:val="auto"/>
                <w:sz w:val="24"/>
                <w:szCs w:val="32"/>
              </w:rPr>
              <w:t>具有</w:t>
            </w:r>
            <w:r>
              <w:rPr>
                <w:rFonts w:hint="eastAsia"/>
                <w:color w:val="auto"/>
                <w:sz w:val="24"/>
                <w:szCs w:val="32"/>
                <w:lang w:eastAsia="zh-CN"/>
              </w:rPr>
              <w:t>三年以上招标工作经验的，提供近三年负责项目的业绩证明材料（每年一例）和</w:t>
            </w:r>
            <w:r>
              <w:rPr>
                <w:rFonts w:hint="eastAsia"/>
                <w:color w:val="auto"/>
                <w:sz w:val="24"/>
                <w:szCs w:val="32"/>
              </w:rPr>
              <w:t>近6个月</w:t>
            </w:r>
            <w:r>
              <w:rPr>
                <w:rFonts w:hint="eastAsia"/>
                <w:color w:val="auto"/>
                <w:sz w:val="24"/>
                <w:szCs w:val="32"/>
                <w:lang w:val="en-US" w:eastAsia="zh-CN"/>
              </w:rPr>
              <w:t>任意一个月</w:t>
            </w:r>
            <w:r>
              <w:rPr>
                <w:rFonts w:hint="eastAsia"/>
                <w:color w:val="auto"/>
                <w:sz w:val="24"/>
                <w:szCs w:val="32"/>
              </w:rPr>
              <w:t>由劳动保障部门出具的社保证明</w:t>
            </w:r>
            <w:r>
              <w:rPr>
                <w:rFonts w:hint="eastAsia"/>
                <w:color w:val="auto"/>
                <w:sz w:val="24"/>
                <w:szCs w:val="32"/>
                <w:lang w:eastAsia="zh-CN"/>
              </w:rPr>
              <w:t>的</w:t>
            </w:r>
            <w:r>
              <w:rPr>
                <w:rFonts w:hint="eastAsia"/>
                <w:color w:val="auto"/>
                <w:sz w:val="24"/>
                <w:szCs w:val="32"/>
                <w:lang w:val="en-US" w:eastAsia="zh-CN"/>
              </w:rPr>
              <w:t>得3分（满分3分）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03"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.项目负责人</w:t>
            </w:r>
            <w:r>
              <w:rPr>
                <w:rFonts w:hint="eastAsia"/>
                <w:color w:val="auto"/>
                <w:sz w:val="24"/>
                <w:szCs w:val="32"/>
              </w:rPr>
              <w:t>具有</w:t>
            </w:r>
            <w:r>
              <w:rPr>
                <w:rFonts w:hint="eastAsia"/>
                <w:color w:val="auto"/>
                <w:sz w:val="24"/>
                <w:szCs w:val="32"/>
                <w:lang w:eastAsia="zh-CN"/>
              </w:rPr>
              <w:t>招标采购专业技术能力评价中级证书的得</w:t>
            </w:r>
            <w:r>
              <w:rPr>
                <w:rFonts w:hint="eastAsia"/>
                <w:color w:val="auto"/>
                <w:sz w:val="24"/>
                <w:szCs w:val="32"/>
                <w:lang w:val="en-US" w:eastAsia="zh-CN"/>
              </w:rPr>
              <w:t>2分，具有高级证书的得4分，没有的不得分（满分4分）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03"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6.除项目负责人以外，其他成员中具有中级证书的得2分，</w:t>
            </w:r>
            <w:r>
              <w:rPr>
                <w:rFonts w:hint="eastAsia"/>
                <w:color w:val="auto"/>
                <w:sz w:val="24"/>
                <w:szCs w:val="32"/>
                <w:lang w:val="en-US" w:eastAsia="zh-CN"/>
              </w:rPr>
              <w:t>具有高级证书的得4分，没有的不得分（满分4分）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03"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7.在兰州市有固定的办公场所，提供办公场所照片得1分，提供房屋租赁或购买合同的得2分，</w:t>
            </w:r>
            <w:r>
              <w:rPr>
                <w:rFonts w:hint="eastAsia" w:ascii="宋体" w:hAnsi="宋体" w:eastAsia="宋体" w:cs="宋体"/>
                <w:color w:val="auto"/>
                <w:sz w:val="24"/>
                <w:szCs w:val="24"/>
                <w:lang w:val="en-US" w:eastAsia="zh-CN" w:bidi="zh-CN"/>
              </w:rPr>
              <w:t>（满分</w:t>
            </w:r>
            <w:r>
              <w:rPr>
                <w:rFonts w:hint="eastAsia" w:ascii="宋体" w:hAnsi="宋体" w:cs="宋体"/>
                <w:color w:val="auto"/>
                <w:sz w:val="24"/>
                <w:szCs w:val="24"/>
                <w:lang w:val="en-US" w:eastAsia="zh-CN" w:bidi="zh-CN"/>
              </w:rPr>
              <w:t>3</w:t>
            </w:r>
            <w:r>
              <w:rPr>
                <w:rFonts w:hint="eastAsia" w:ascii="宋体" w:hAnsi="宋体" w:eastAsia="宋体" w:cs="宋体"/>
                <w:color w:val="auto"/>
                <w:sz w:val="24"/>
                <w:szCs w:val="24"/>
                <w:lang w:val="en-US" w:eastAsia="zh-CN"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03" w:type="dxa"/>
            <w:vMerge w:val="continue"/>
            <w:tcBorders>
              <w:left w:val="single" w:color="auto" w:sz="4" w:space="0"/>
              <w:right w:val="single" w:color="auto" w:sz="4" w:space="0"/>
            </w:tcBorders>
            <w:vAlign w:val="center"/>
          </w:tcPr>
          <w:p>
            <w:pPr>
              <w:spacing w:line="360" w:lineRule="auto"/>
              <w:jc w:val="left"/>
            </w:pPr>
          </w:p>
        </w:tc>
        <w:tc>
          <w:tcPr>
            <w:tcW w:w="1455" w:type="dxa"/>
            <w:vMerge w:val="continue"/>
            <w:tcBorders>
              <w:left w:val="single" w:color="auto" w:sz="4" w:space="0"/>
              <w:right w:val="single" w:color="auto" w:sz="4" w:space="0"/>
            </w:tcBorders>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公司具有专业的评标室科组织评标，提供评标室照片的得2分；评标室配备专业的监控、录音录像设备，提供证明材料的得2分；</w:t>
            </w:r>
            <w:r>
              <w:rPr>
                <w:rFonts w:hint="eastAsia"/>
                <w:color w:val="auto"/>
                <w:sz w:val="24"/>
                <w:szCs w:val="32"/>
                <w:lang w:val="en-US" w:eastAsia="zh-CN"/>
              </w:rPr>
              <w:t>（满分4分）</w:t>
            </w:r>
          </w:p>
        </w:tc>
      </w:tr>
    </w:tbl>
    <w:p>
      <w:pPr>
        <w:pStyle w:val="17"/>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48" w:name="_Toc32378"/>
      <w:r>
        <w:rPr>
          <w:rFonts w:hint="eastAsia" w:ascii="宋体" w:hAnsi="宋体" w:cs="宋体"/>
          <w:b/>
          <w:bCs/>
          <w:sz w:val="24"/>
          <w:lang w:val="en-US" w:eastAsia="zh-CN"/>
        </w:rPr>
        <w:t>4</w:t>
      </w:r>
      <w:r>
        <w:rPr>
          <w:rFonts w:hint="eastAsia" w:ascii="宋体" w:hAnsi="宋体" w:eastAsia="宋体" w:cs="宋体"/>
          <w:b/>
          <w:bCs/>
          <w:sz w:val="24"/>
        </w:rPr>
        <w:t>.评标专家在采购活动中承担以下义务</w:t>
      </w:r>
      <w:bookmarkEnd w:id="248"/>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49" w:name="_Toc1933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49"/>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cs="宋体"/>
          <w:sz w:val="32"/>
          <w:szCs w:val="32"/>
        </w:rPr>
      </w:pPr>
      <w:bookmarkStart w:id="250" w:name="_Toc101"/>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184"/>
      <w:bookmarkEnd w:id="245"/>
      <w:bookmarkEnd w:id="246"/>
      <w:bookmarkEnd w:id="250"/>
      <w:bookmarkStart w:id="251" w:name="_Toc327439487"/>
      <w:bookmarkStart w:id="252" w:name="_Toc23714"/>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17"/>
        <w:rPr>
          <w:rFonts w:hint="eastAsia" w:ascii="宋体" w:hAnsi="宋体" w:cs="宋体"/>
          <w:sz w:val="32"/>
          <w:szCs w:val="32"/>
        </w:rPr>
      </w:pPr>
    </w:p>
    <w:p>
      <w:pPr>
        <w:pStyle w:val="49"/>
        <w:rPr>
          <w:rFonts w:hint="eastAsia"/>
        </w:rPr>
      </w:pPr>
    </w:p>
    <w:p>
      <w:pPr>
        <w:pStyle w:val="3"/>
        <w:rPr>
          <w:rFonts w:ascii="宋体" w:hAnsi="宋体" w:cs="宋体"/>
          <w:spacing w:val="10"/>
          <w:sz w:val="32"/>
          <w:szCs w:val="32"/>
        </w:rPr>
      </w:pPr>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5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5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bookmarkStart w:id="253" w:name="_Toc13676"/>
      <w:bookmarkStart w:id="254" w:name="_Toc22178"/>
      <w:bookmarkStart w:id="255" w:name="_Toc23429"/>
    </w:p>
    <w:p>
      <w:pPr>
        <w:spacing w:line="360" w:lineRule="auto"/>
        <w:jc w:val="center"/>
        <w:rPr>
          <w:b/>
          <w:bCs/>
        </w:rPr>
      </w:pPr>
      <w:r>
        <w:rPr>
          <w:rFonts w:hint="eastAsia" w:ascii="宋体" w:hAnsi="宋体"/>
          <w:b/>
          <w:bCs/>
          <w:color w:val="auto"/>
          <w:sz w:val="28"/>
          <w:szCs w:val="28"/>
          <w:highlight w:val="none"/>
        </w:rPr>
        <w:t xml:space="preserve">1.投 </w:t>
      </w:r>
      <w:r>
        <w:rPr>
          <w:rFonts w:hint="eastAsia" w:ascii="宋体" w:hAnsi="宋体"/>
          <w:b/>
          <w:bCs/>
          <w:color w:val="auto"/>
          <w:sz w:val="28"/>
          <w:szCs w:val="28"/>
          <w:highlight w:val="none"/>
          <w:lang w:val="en-US" w:eastAsia="zh-CN"/>
        </w:rPr>
        <w:t xml:space="preserve">    </w:t>
      </w:r>
      <w:r>
        <w:rPr>
          <w:rFonts w:hint="eastAsia" w:ascii="宋体" w:hAnsi="宋体"/>
          <w:b/>
          <w:bCs/>
          <w:color w:val="auto"/>
          <w:sz w:val="28"/>
          <w:szCs w:val="28"/>
          <w:highlight w:val="none"/>
        </w:rPr>
        <w:t>标</w:t>
      </w:r>
      <w:r>
        <w:rPr>
          <w:rFonts w:hint="eastAsia" w:ascii="宋体" w:hAnsi="宋体"/>
          <w:b/>
          <w:bCs/>
          <w:color w:val="auto"/>
          <w:sz w:val="28"/>
          <w:szCs w:val="28"/>
          <w:highlight w:val="none"/>
          <w:lang w:val="en-US" w:eastAsia="zh-CN"/>
        </w:rPr>
        <w:t xml:space="preserve">   </w:t>
      </w:r>
      <w:r>
        <w:rPr>
          <w:rFonts w:hint="eastAsia" w:ascii="宋体" w:hAnsi="宋体"/>
          <w:b/>
          <w:bCs/>
          <w:color w:val="auto"/>
          <w:sz w:val="28"/>
          <w:szCs w:val="28"/>
          <w:highlight w:val="none"/>
        </w:rPr>
        <w:t xml:space="preserve"> 函</w:t>
      </w:r>
      <w:bookmarkEnd w:id="253"/>
      <w:bookmarkEnd w:id="254"/>
      <w:bookmarkEnd w:id="255"/>
    </w:p>
    <w:p>
      <w:pPr>
        <w:spacing w:line="360" w:lineRule="auto"/>
        <w:rPr>
          <w:rFonts w:hint="eastAsia" w:ascii="宋体" w:hAnsi="宋体" w:eastAsia="宋体" w:cs="宋体"/>
          <w:sz w:val="24"/>
          <w:lang w:eastAsia="zh-CN"/>
        </w:rPr>
      </w:pPr>
      <w:bookmarkStart w:id="256" w:name="_Toc16816"/>
      <w:bookmarkStart w:id="257" w:name="_Toc3146"/>
      <w:bookmarkStart w:id="258" w:name="_Toc10904"/>
      <w:bookmarkStart w:id="259" w:name="_Toc258923306"/>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w:t>
      </w:r>
      <w:r>
        <w:rPr>
          <w:rFonts w:hint="eastAsia" w:ascii="宋体" w:hAnsi="宋体" w:cs="宋体"/>
          <w:sz w:val="24"/>
          <w:lang w:val="en-US" w:eastAsia="zh-CN"/>
        </w:rPr>
        <w:t>偏离表</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cs="宋体"/>
          <w:sz w:val="24"/>
          <w:lang w:val="en-US" w:eastAsia="zh-CN"/>
        </w:rPr>
        <w:t>服务承诺</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4"/>
        <w:numPr>
          <w:ilvl w:val="0"/>
          <w:numId w:val="0"/>
        </w:numPr>
        <w:spacing w:before="0" w:after="0"/>
        <w:jc w:val="center"/>
        <w:rPr>
          <w:rFonts w:hint="eastAsia"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法定代表人身份证明</w:t>
      </w:r>
    </w:p>
    <w:p>
      <w:pPr>
        <w:spacing w:line="480" w:lineRule="auto"/>
        <w:jc w:val="center"/>
        <w:rPr>
          <w:rFonts w:hint="eastAsia" w:ascii="宋体" w:hAnsi="宋体" w:cs="宋体"/>
          <w:b/>
          <w:bCs/>
          <w:sz w:val="28"/>
          <w:szCs w:val="28"/>
        </w:rPr>
      </w:pPr>
      <w:r>
        <w:rPr>
          <w:rFonts w:hint="eastAsia" w:ascii="宋体" w:hAnsi="宋体" w:cs="宋体"/>
          <w:b/>
          <w:bCs/>
          <w:sz w:val="28"/>
          <w:szCs w:val="28"/>
        </w:rPr>
        <w:t>(法定代表人参加投标时提供</w:t>
      </w:r>
      <w:r>
        <w:rPr>
          <w:rFonts w:hint="eastAsia" w:ascii="宋体" w:hAnsi="宋体" w:cs="宋体"/>
          <w:b/>
          <w:bCs/>
          <w:sz w:val="28"/>
          <w:szCs w:val="28"/>
          <w:lang w:eastAsia="zh-CN"/>
        </w:rPr>
        <w:t>一份，标书里面装订一份</w:t>
      </w:r>
      <w:r>
        <w:rPr>
          <w:rFonts w:hint="eastAsia" w:ascii="宋体" w:hAnsi="宋体" w:cs="宋体"/>
          <w:b/>
          <w:bCs/>
          <w:sz w:val="28"/>
          <w:szCs w:val="28"/>
        </w:rPr>
        <w:t>)</w:t>
      </w:r>
      <w:bookmarkEnd w:id="256"/>
      <w:bookmarkEnd w:id="257"/>
      <w:bookmarkEnd w:id="258"/>
    </w:p>
    <w:p>
      <w:pPr>
        <w:spacing w:line="480" w:lineRule="auto"/>
        <w:jc w:val="both"/>
        <w:rPr>
          <w:rFonts w:hint="eastAsia" w:ascii="宋体" w:hAnsi="宋体" w:eastAsia="宋体" w:cs="宋体"/>
          <w:sz w:val="24"/>
          <w:u w:val="single"/>
        </w:rPr>
      </w:pPr>
      <w:r>
        <w:rPr>
          <w:rFonts w:hint="eastAsia" w:ascii="宋体" w:hAnsi="宋体" w:eastAsia="宋体" w:cs="宋体"/>
          <w:sz w:val="24"/>
        </w:rPr>
        <w:t>投标单位名称：</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49"/>
        <w:rPr>
          <w:rFonts w:hint="eastAsia" w:ascii="宋体" w:hAnsi="宋体" w:eastAsia="宋体" w:cs="宋体"/>
          <w:color w:val="auto"/>
        </w:rPr>
      </w:pPr>
    </w:p>
    <w:p>
      <w:pPr>
        <w:pStyle w:val="49"/>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0" o:spt="202" type="#_x0000_t202" style="position:absolute;left:0pt;margin-left:232.1pt;margin-top:8.45pt;height:116.45pt;width:187.55pt;z-index:251664384;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1" o:spt="202" type="#_x0000_t202" style="position:absolute;left:0pt;margin-left:-0.6pt;margin-top:7.2pt;height:117.7pt;width:194.4pt;z-index:251663360;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p>
    <w:p>
      <w:pPr>
        <w:rPr>
          <w:rFonts w:hint="eastAsia" w:ascii="宋体" w:hAnsi="宋体" w:eastAsia="宋体" w:cs="宋体"/>
          <w:sz w:val="28"/>
          <w:szCs w:val="28"/>
        </w:rPr>
      </w:pPr>
    </w:p>
    <w:p>
      <w:pPr>
        <w:pStyle w:val="2"/>
        <w:ind w:left="0" w:leftChars="0" w:firstLine="0" w:firstLineChars="0"/>
        <w:rPr>
          <w:rFonts w:ascii="宋体" w:hAnsi="宋体" w:cs="宋体"/>
        </w:rPr>
      </w:pPr>
      <w:bookmarkStart w:id="260" w:name="_Toc1230"/>
    </w:p>
    <w:p>
      <w:pPr>
        <w:pStyle w:val="4"/>
        <w:numPr>
          <w:ilvl w:val="0"/>
          <w:numId w:val="0"/>
        </w:numPr>
        <w:spacing w:before="0" w:after="0"/>
        <w:ind w:firstLine="3654" w:firstLineChars="1300"/>
        <w:jc w:val="left"/>
        <w:rPr>
          <w:rFonts w:hint="eastAsia" w:ascii="宋体" w:hAnsi="宋体" w:cs="宋体"/>
          <w:sz w:val="28"/>
          <w:szCs w:val="28"/>
        </w:rPr>
      </w:pPr>
      <w:bookmarkStart w:id="261" w:name="_Toc16103"/>
      <w:bookmarkStart w:id="262"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60"/>
      <w:bookmarkEnd w:id="261"/>
      <w:bookmarkEnd w:id="262"/>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52" o:spt="202" type="#_x0000_t202" style="position:absolute;left:0pt;margin-left:229.55pt;margin-top:26.6pt;height:113.05pt;width:185.8pt;z-index:251666432;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53" o:spt="202" type="#_x0000_t202" style="position:absolute;left:0pt;margin-left:1.1pt;margin-top:27.7pt;height:110.1pt;width:186.9pt;z-index:251665408;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59"/>
    <w:p>
      <w:pPr>
        <w:pStyle w:val="4"/>
        <w:spacing w:before="0" w:after="0"/>
        <w:jc w:val="both"/>
        <w:rPr>
          <w:rFonts w:hint="eastAsia" w:ascii="宋体" w:hAnsi="宋体" w:eastAsia="宋体" w:cs="宋体"/>
          <w:sz w:val="28"/>
          <w:szCs w:val="28"/>
          <w:lang w:val="en-US" w:eastAsia="zh-CN"/>
        </w:rPr>
      </w:pPr>
      <w:bookmarkStart w:id="263" w:name="_Toc8565"/>
      <w:bookmarkStart w:id="264" w:name="_Toc20796"/>
    </w:p>
    <w:p>
      <w:pPr>
        <w:rPr>
          <w:rFonts w:hint="eastAsia" w:ascii="宋体" w:hAnsi="宋体" w:eastAsia="宋体" w:cs="宋体"/>
          <w:sz w:val="28"/>
          <w:szCs w:val="28"/>
          <w:lang w:val="en-US" w:eastAsia="zh-CN"/>
        </w:rPr>
      </w:pPr>
    </w:p>
    <w:p>
      <w:pPr>
        <w:pStyle w:val="17"/>
        <w:rPr>
          <w:rFonts w:hint="eastAsia"/>
          <w:lang w:val="en-US" w:eastAsia="zh-CN"/>
        </w:rPr>
      </w:pPr>
    </w:p>
    <w:p>
      <w:pPr>
        <w:pStyle w:val="4"/>
        <w:spacing w:before="0" w:after="0"/>
        <w:jc w:val="center"/>
        <w:rPr>
          <w:rFonts w:hint="default" w:ascii="宋体" w:hAnsi="宋体" w:eastAsia="宋体" w:cs="宋体"/>
          <w:b/>
          <w:bCs/>
          <w:sz w:val="18"/>
          <w:szCs w:val="18"/>
        </w:rPr>
      </w:pPr>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63"/>
      <w:bookmarkEnd w:id="264"/>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2"/>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服务承诺</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13"/>
        <w:spacing w:line="480" w:lineRule="auto"/>
        <w:ind w:firstLine="0"/>
        <w:rPr>
          <w:rFonts w:hint="eastAsia" w:ascii="宋体" w:hAnsi="宋体" w:eastAsia="宋体" w:cs="宋体"/>
          <w:szCs w:val="24"/>
        </w:rPr>
      </w:pPr>
      <w:r>
        <w:rPr>
          <w:rFonts w:hint="eastAsia" w:ascii="宋体" w:hAnsi="宋体" w:eastAsia="宋体" w:cs="宋体"/>
          <w:szCs w:val="24"/>
        </w:rPr>
        <w:t>日期：  年  月   日</w:t>
      </w:r>
    </w:p>
    <w:p>
      <w:pPr>
        <w:pStyle w:val="17"/>
        <w:spacing w:before="0" w:line="360" w:lineRule="auto"/>
        <w:ind w:left="137" w:right="0" w:firstLine="480" w:firstLineChars="200"/>
        <w:jc w:val="left"/>
        <w:rPr>
          <w:rFonts w:hint="eastAsia"/>
          <w:u w:val="single"/>
          <w:lang w:val="en-US" w:eastAsia="zh-CN"/>
        </w:rPr>
      </w:pPr>
    </w:p>
    <w:p>
      <w:pPr>
        <w:pStyle w:val="49"/>
        <w:rPr>
          <w:rFonts w:hint="eastAsia"/>
          <w:u w:val="single"/>
          <w:lang w:val="en-US" w:eastAsia="zh-CN"/>
        </w:rPr>
      </w:pPr>
    </w:p>
    <w:p>
      <w:pPr>
        <w:pStyle w:val="49"/>
        <w:rPr>
          <w:rFonts w:hint="eastAsia"/>
          <w:u w:val="single"/>
          <w:lang w:val="en-US" w:eastAsia="zh-CN"/>
        </w:rPr>
      </w:pPr>
    </w:p>
    <w:p>
      <w:pPr>
        <w:pStyle w:val="49"/>
        <w:rPr>
          <w:rFonts w:hint="eastAsia"/>
          <w:u w:val="single"/>
          <w:lang w:val="en-US" w:eastAsia="zh-CN"/>
        </w:rPr>
      </w:pPr>
    </w:p>
    <w:p>
      <w:pPr>
        <w:pStyle w:val="17"/>
        <w:spacing w:before="0" w:line="360" w:lineRule="auto"/>
        <w:ind w:right="0"/>
        <w:jc w:val="left"/>
        <w:rPr>
          <w:rFonts w:hint="eastAsia"/>
          <w:u w:val="single"/>
          <w:lang w:val="en-US" w:eastAsia="zh-CN"/>
        </w:rPr>
      </w:pPr>
    </w:p>
    <w:p>
      <w:pPr>
        <w:pStyle w:val="4"/>
        <w:spacing w:before="0" w:after="100" w:afterAutospacing="1"/>
        <w:rPr>
          <w:rFonts w:ascii="宋体" w:hAnsi="宋体" w:cs="宋体"/>
          <w:spacing w:val="10"/>
          <w:sz w:val="28"/>
          <w:szCs w:val="28"/>
        </w:rPr>
      </w:pPr>
      <w:bookmarkStart w:id="265" w:name="_Toc17704"/>
      <w:bookmarkStart w:id="266" w:name="_Toc17348"/>
      <w:r>
        <w:rPr>
          <w:rFonts w:hint="eastAsia" w:ascii="宋体" w:hAnsi="宋体" w:cs="宋体"/>
          <w:spacing w:val="10"/>
          <w:sz w:val="28"/>
          <w:szCs w:val="28"/>
          <w:lang w:val="en-US" w:eastAsia="zh-CN"/>
        </w:rPr>
        <w:t>5</w:t>
      </w:r>
      <w:r>
        <w:rPr>
          <w:rFonts w:hint="eastAsia" w:ascii="宋体" w:hAnsi="宋体" w:cs="宋体"/>
          <w:spacing w:val="10"/>
          <w:sz w:val="28"/>
          <w:szCs w:val="28"/>
        </w:rPr>
        <w:t>.开标信封封面格式</w:t>
      </w:r>
      <w:bookmarkEnd w:id="265"/>
      <w:bookmarkEnd w:id="26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17"/>
      </w:pPr>
    </w:p>
    <w:p>
      <w:pPr>
        <w:pStyle w:val="4"/>
        <w:spacing w:before="0" w:after="100" w:afterAutospacing="1"/>
        <w:jc w:val="center"/>
        <w:rPr>
          <w:rFonts w:hint="eastAsia" w:ascii="宋体" w:hAnsi="宋体" w:eastAsia="宋体" w:cs="宋体"/>
          <w:spacing w:val="10"/>
          <w:sz w:val="28"/>
          <w:szCs w:val="28"/>
        </w:rPr>
      </w:pPr>
      <w:bookmarkStart w:id="267" w:name="_Toc258923307"/>
      <w:bookmarkStart w:id="268" w:name="_Toc13401"/>
      <w:bookmarkStart w:id="269" w:name="_Toc24708"/>
      <w:r>
        <w:rPr>
          <w:rFonts w:hint="eastAsia" w:ascii="宋体" w:hAnsi="宋体" w:eastAsia="宋体" w:cs="宋体"/>
          <w:spacing w:val="10"/>
          <w:sz w:val="28"/>
          <w:szCs w:val="28"/>
        </w:rPr>
        <w:t>6.投标文件封面模板</w:t>
      </w:r>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1"/>
        <w:spacing w:line="360" w:lineRule="auto"/>
        <w:rPr>
          <w:rFonts w:hint="eastAsia" w:ascii="宋体" w:hAnsi="宋体" w:eastAsia="宋体" w:cs="宋体"/>
          <w:b/>
          <w:szCs w:val="28"/>
        </w:rPr>
      </w:pPr>
    </w:p>
    <w:p>
      <w:pPr>
        <w:pStyle w:val="211"/>
        <w:spacing w:line="360" w:lineRule="auto"/>
        <w:rPr>
          <w:rFonts w:hint="eastAsia" w:ascii="宋体" w:hAnsi="宋体" w:eastAsia="宋体" w:cs="宋体"/>
          <w:b/>
          <w:szCs w:val="28"/>
        </w:rPr>
      </w:pPr>
    </w:p>
    <w:p>
      <w:pPr>
        <w:pStyle w:val="211"/>
        <w:spacing w:line="360" w:lineRule="auto"/>
        <w:rPr>
          <w:rFonts w:hint="eastAsia" w:ascii="宋体" w:hAnsi="宋体" w:eastAsia="宋体" w:cs="宋体"/>
          <w:b/>
          <w:szCs w:val="28"/>
        </w:rPr>
      </w:pPr>
    </w:p>
    <w:p>
      <w:pPr>
        <w:pStyle w:val="211"/>
        <w:spacing w:line="360" w:lineRule="auto"/>
        <w:jc w:val="center"/>
        <w:rPr>
          <w:rFonts w:hint="eastAsia" w:ascii="宋体" w:hAnsi="宋体" w:eastAsia="宋体" w:cs="宋体"/>
          <w:b/>
          <w:szCs w:val="28"/>
        </w:rPr>
      </w:pPr>
      <w:bookmarkStart w:id="270" w:name="_Toc26432"/>
      <w:bookmarkStart w:id="271" w:name="_Toc16887"/>
      <w:bookmarkStart w:id="272" w:name="_Toc3392"/>
      <w:bookmarkStart w:id="273" w:name="_Toc12836"/>
      <w:bookmarkStart w:id="274" w:name="_Toc27827"/>
      <w:bookmarkStart w:id="275" w:name="_Toc26303"/>
      <w:bookmarkStart w:id="276" w:name="_Toc10205"/>
      <w:bookmarkStart w:id="277" w:name="_Toc4270"/>
      <w:bookmarkStart w:id="278" w:name="_Toc27676"/>
      <w:bookmarkStart w:id="279" w:name="_Toc6233"/>
      <w:bookmarkStart w:id="280" w:name="_Toc8733"/>
      <w:bookmarkStart w:id="281" w:name="_Toc7146"/>
      <w:bookmarkStart w:id="282" w:name="_Toc14429"/>
      <w:r>
        <w:rPr>
          <w:rFonts w:hint="eastAsia" w:ascii="宋体" w:hAnsi="宋体" w:eastAsia="宋体" w:cs="宋体"/>
          <w:b/>
          <w:szCs w:val="28"/>
        </w:rPr>
        <w:t>此文件于 年 月 日</w:t>
      </w:r>
      <w:r>
        <w:rPr>
          <w:rFonts w:hint="eastAsia" w:ascii="宋体" w:hAnsi="宋体" w:cs="宋体"/>
          <w:b/>
          <w:szCs w:val="28"/>
          <w:lang w:val="en-US" w:eastAsia="zh-CN"/>
        </w:rPr>
        <w:t xml:space="preserve"> </w:t>
      </w:r>
      <w:r>
        <w:rPr>
          <w:rFonts w:hint="eastAsia" w:ascii="宋体" w:hAnsi="宋体" w:eastAsia="宋体" w:cs="宋体"/>
          <w:b/>
          <w:szCs w:val="28"/>
        </w:rPr>
        <w:t>时前不得启封</w:t>
      </w:r>
      <w:bookmarkEnd w:id="270"/>
      <w:bookmarkEnd w:id="271"/>
      <w:bookmarkEnd w:id="272"/>
      <w:bookmarkEnd w:id="273"/>
      <w:bookmarkEnd w:id="274"/>
      <w:bookmarkEnd w:id="275"/>
      <w:bookmarkEnd w:id="276"/>
      <w:bookmarkEnd w:id="277"/>
      <w:bookmarkEnd w:id="278"/>
      <w:bookmarkEnd w:id="279"/>
      <w:bookmarkEnd w:id="280"/>
      <w:bookmarkEnd w:id="281"/>
      <w:bookmarkEnd w:id="28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134" w:header="624" w:footer="850" w:gutter="0"/>
          <w:pgNumType w:fmt="decimal"/>
          <w:cols w:space="0" w:num="1"/>
          <w:titlePg/>
          <w:rtlGutter w:val="0"/>
          <w:docGrid w:type="lines" w:linePitch="322" w:charSpace="0"/>
        </w:sectPr>
      </w:pPr>
    </w:p>
    <w:p>
      <w:pPr>
        <w:pStyle w:val="4"/>
        <w:spacing w:before="0" w:after="100" w:afterAutospacing="1"/>
        <w:rPr>
          <w:rFonts w:ascii="宋体" w:hAnsi="宋体" w:cs="宋体"/>
          <w:spacing w:val="10"/>
          <w:sz w:val="28"/>
          <w:szCs w:val="28"/>
        </w:rPr>
      </w:pPr>
      <w:r>
        <w:rPr>
          <w:rFonts w:hint="eastAsia" w:ascii="宋体" w:hAnsi="宋体" w:cs="宋体"/>
          <w:spacing w:val="10"/>
          <w:sz w:val="28"/>
          <w:szCs w:val="28"/>
          <w:lang w:val="en-US" w:eastAsia="zh-CN"/>
        </w:rPr>
        <w:t>7</w:t>
      </w:r>
      <w:r>
        <w:rPr>
          <w:rFonts w:hint="eastAsia" w:ascii="宋体" w:hAnsi="宋体" w:cs="宋体"/>
          <w:spacing w:val="10"/>
          <w:sz w:val="28"/>
          <w:szCs w:val="28"/>
        </w:rPr>
        <w:t>.开标一览表</w:t>
      </w:r>
      <w:bookmarkEnd w:id="267"/>
      <w:bookmarkEnd w:id="268"/>
      <w:bookmarkEnd w:id="269"/>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w:t>
            </w:r>
            <w:r>
              <w:rPr>
                <w:rFonts w:hint="eastAsia" w:ascii="宋体" w:hAnsi="宋体"/>
                <w:sz w:val="24"/>
                <w:lang w:eastAsia="zh-CN"/>
              </w:rPr>
              <w:t>下浮率</w:t>
            </w:r>
            <w:r>
              <w:rPr>
                <w:rFonts w:hint="eastAsia" w:ascii="宋体" w:hAnsi="宋体"/>
                <w:sz w:val="24"/>
              </w:rPr>
              <w:t>）：</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autoSpaceDE w:val="0"/>
        <w:autoSpaceDN w:val="0"/>
        <w:spacing w:line="360" w:lineRule="auto"/>
        <w:rPr>
          <w:rFonts w:hint="eastAsia" w:ascii="宋体" w:hAnsi="宋体" w:eastAsia="宋体" w:cs="宋体"/>
          <w:b/>
          <w:bCs/>
          <w:sz w:val="24"/>
          <w:szCs w:val="24"/>
        </w:rPr>
      </w:pPr>
      <w:r>
        <w:rPr>
          <w:rFonts w:hint="eastAsia" w:ascii="宋体" w:hAnsi="宋体" w:eastAsia="宋体" w:cs="宋体"/>
          <w:b/>
          <w:bCs/>
          <w:spacing w:val="10"/>
          <w:kern w:val="2"/>
          <w:sz w:val="24"/>
          <w:szCs w:val="24"/>
          <w:u w:val="none"/>
          <w:lang w:val="en-US" w:eastAsia="zh-CN" w:bidi="ar-SA"/>
        </w:rPr>
        <w:t>注：1.</w:t>
      </w:r>
      <w:r>
        <w:rPr>
          <w:rFonts w:hint="eastAsia" w:ascii="宋体" w:hAnsi="宋体" w:cs="宋体"/>
          <w:b/>
          <w:bCs/>
          <w:color w:val="FF0000"/>
          <w:spacing w:val="10"/>
          <w:kern w:val="2"/>
          <w:sz w:val="24"/>
          <w:szCs w:val="24"/>
          <w:u w:val="none"/>
          <w:lang w:val="en-US" w:eastAsia="zh-CN" w:bidi="ar-SA"/>
        </w:rPr>
        <w:t>投标报价根据国家发改委《国家发展改革委办公厅关于招标代理服务费有关问题的通知》（发改办价格[2003]857号）文件的有关规定报下浮率</w:t>
      </w:r>
      <w:r>
        <w:rPr>
          <w:rFonts w:hint="eastAsia" w:ascii="宋体" w:hAnsi="宋体" w:cs="宋体"/>
          <w:b/>
          <w:bCs/>
          <w:spacing w:val="10"/>
          <w:kern w:val="2"/>
          <w:sz w:val="24"/>
          <w:szCs w:val="24"/>
          <w:u w:val="none"/>
          <w:lang w:val="en-US" w:eastAsia="zh-CN" w:bidi="ar-SA"/>
        </w:rPr>
        <w:t>。</w:t>
      </w:r>
      <w:r>
        <w:rPr>
          <w:rFonts w:hint="eastAsia" w:ascii="宋体" w:hAnsi="宋体" w:eastAsia="宋体" w:cs="宋体"/>
          <w:b/>
          <w:bCs/>
          <w:spacing w:val="10"/>
          <w:kern w:val="2"/>
          <w:sz w:val="24"/>
          <w:szCs w:val="24"/>
          <w:u w:val="none"/>
          <w:lang w:val="en-US" w:eastAsia="zh-CN" w:bidi="ar-SA"/>
        </w:rPr>
        <w:t>报价应是最终用户验收合格后的总价，包括招标文件规定、要求和涵盖的全部费用。</w:t>
      </w:r>
      <w:r>
        <w:rPr>
          <w:rFonts w:hint="eastAsia" w:ascii="宋体" w:hAnsi="宋体" w:eastAsia="宋体" w:cs="宋体"/>
          <w:b/>
          <w:bCs/>
          <w:sz w:val="24"/>
          <w:szCs w:val="24"/>
        </w:rPr>
        <w:t>此开标信应按“投标人须知”的规定密封标记密封单独提交。此表每一包一份，单独分开递交，除单独递交外，还应装订在投标文件中。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投标报价应包括</w:t>
      </w:r>
      <w:r>
        <w:rPr>
          <w:rFonts w:hint="eastAsia" w:ascii="宋体" w:hAnsi="宋体" w:eastAsia="宋体" w:cs="宋体"/>
          <w:b/>
          <w:bCs/>
          <w:sz w:val="24"/>
          <w:szCs w:val="24"/>
          <w:lang w:val="en-US" w:eastAsia="zh-CN"/>
        </w:rPr>
        <w:t>服务</w:t>
      </w:r>
      <w:r>
        <w:rPr>
          <w:rFonts w:hint="eastAsia" w:ascii="宋体" w:hAnsi="宋体" w:eastAsia="宋体" w:cs="宋体"/>
          <w:b/>
          <w:bCs/>
          <w:sz w:val="24"/>
          <w:szCs w:val="24"/>
        </w:rPr>
        <w:t>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bCs/>
          <w:sz w:val="24"/>
          <w:szCs w:val="24"/>
        </w:rPr>
      </w:pPr>
      <w:r>
        <w:rPr>
          <w:rFonts w:hint="eastAsia" w:ascii="宋体" w:hAnsi="宋体" w:eastAsia="宋体" w:cs="宋体"/>
          <w:b/>
          <w:bCs/>
          <w:sz w:val="24"/>
          <w:szCs w:val="24"/>
        </w:rPr>
        <w:t>4.投标报价具有唯一性，不允许提供备选投标报价和方案，否则视为无效投标。</w:t>
      </w:r>
    </w:p>
    <w:p>
      <w:pPr>
        <w:pStyle w:val="49"/>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6.不接受备选投标方案和多个报价，本项目只允许供应商有一个投标方案，不接受任何有选择的方案和报价（包括有条件的折扣）。供应商未按要求，提供了选择方案和/或报价的，其投标将被视为无效投标。</w:t>
      </w:r>
      <w:bookmarkStart w:id="283" w:name="_Toc11092"/>
      <w:bookmarkStart w:id="284" w:name="_Toc9716"/>
    </w:p>
    <w:p>
      <w:pPr>
        <w:pStyle w:val="49"/>
        <w:spacing w:line="360" w:lineRule="auto"/>
        <w:rPr>
          <w:rFonts w:hint="eastAsia" w:ascii="宋体" w:hAnsi="宋体" w:eastAsia="宋体" w:cs="宋体"/>
          <w:b/>
          <w:bCs/>
          <w:color w:val="auto"/>
          <w:sz w:val="24"/>
          <w:szCs w:val="24"/>
        </w:rPr>
      </w:pPr>
    </w:p>
    <w:p>
      <w:pPr>
        <w:pStyle w:val="49"/>
        <w:spacing w:line="360" w:lineRule="auto"/>
        <w:rPr>
          <w:rFonts w:hint="eastAsia" w:ascii="宋体" w:hAnsi="宋体" w:eastAsia="宋体" w:cs="宋体"/>
          <w:b/>
          <w:bCs/>
          <w:color w:val="auto"/>
          <w:sz w:val="24"/>
          <w:szCs w:val="24"/>
          <w:lang w:val="en-US" w:eastAsia="zh-CN"/>
        </w:rPr>
      </w:pPr>
    </w:p>
    <w:p>
      <w:pPr>
        <w:pStyle w:val="4"/>
        <w:spacing w:before="0" w:after="100" w:afterAutospacing="1"/>
        <w:jc w:val="center"/>
        <w:rPr>
          <w:rFonts w:ascii="宋体" w:hAnsi="宋体" w:cs="宋体"/>
          <w:spacing w:val="10"/>
          <w:sz w:val="28"/>
          <w:szCs w:val="28"/>
        </w:rPr>
      </w:pPr>
      <w:r>
        <w:rPr>
          <w:rFonts w:hint="eastAsia" w:ascii="宋体" w:hAnsi="宋体" w:cs="宋体"/>
          <w:spacing w:val="10"/>
          <w:sz w:val="28"/>
          <w:szCs w:val="28"/>
          <w:lang w:val="en-US" w:eastAsia="zh-CN"/>
        </w:rPr>
        <w:t>8</w:t>
      </w:r>
      <w:r>
        <w:rPr>
          <w:rFonts w:hint="eastAsia" w:ascii="宋体" w:hAnsi="宋体" w:cs="宋体"/>
          <w:spacing w:val="10"/>
          <w:sz w:val="28"/>
          <w:szCs w:val="28"/>
        </w:rPr>
        <w:t>.报价</w:t>
      </w:r>
      <w:r>
        <w:rPr>
          <w:rFonts w:hint="eastAsia" w:ascii="宋体" w:hAnsi="宋体" w:cs="宋体"/>
          <w:spacing w:val="10"/>
          <w:sz w:val="28"/>
          <w:szCs w:val="28"/>
          <w:lang w:eastAsia="zh-CN"/>
        </w:rPr>
        <w:t>明细</w:t>
      </w:r>
      <w:r>
        <w:rPr>
          <w:rFonts w:hint="eastAsia" w:ascii="宋体" w:hAnsi="宋体" w:cs="宋体"/>
          <w:spacing w:val="10"/>
          <w:sz w:val="28"/>
          <w:szCs w:val="28"/>
        </w:rPr>
        <w:t>表</w:t>
      </w:r>
      <w:bookmarkEnd w:id="283"/>
      <w:bookmarkEnd w:id="284"/>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593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5936"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3"/>
            <w:noWrap w:val="0"/>
            <w:vAlign w:val="center"/>
          </w:tcPr>
          <w:p>
            <w:pPr>
              <w:jc w:val="left"/>
              <w:rPr>
                <w:rFonts w:hint="eastAsia" w:ascii="宋体" w:hAnsi="Times New Roman"/>
                <w:sz w:val="24"/>
              </w:rPr>
            </w:pPr>
          </w:p>
        </w:tc>
      </w:tr>
    </w:tbl>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b/>
          <w:bCs/>
          <w:color w:val="auto"/>
          <w:sz w:val="24"/>
          <w:szCs w:val="32"/>
          <w:lang w:eastAsia="zh-CN"/>
        </w:rPr>
      </w:pPr>
      <w:bookmarkStart w:id="285" w:name="_Toc15259"/>
      <w:bookmarkStart w:id="286" w:name="_Toc15499"/>
      <w:r>
        <w:rPr>
          <w:rFonts w:hint="eastAsia" w:ascii="宋体" w:hAnsi="宋体" w:eastAsia="宋体" w:cs="宋体"/>
          <w:b/>
          <w:bCs/>
          <w:sz w:val="24"/>
          <w:szCs w:val="24"/>
        </w:rPr>
        <w:t>注：1、</w:t>
      </w:r>
      <w:r>
        <w:rPr>
          <w:rFonts w:hint="eastAsia" w:ascii="宋体" w:hAnsi="宋体" w:eastAsia="宋体" w:cs="宋体"/>
          <w:b/>
          <w:bCs/>
          <w:color w:val="auto"/>
          <w:sz w:val="24"/>
          <w:szCs w:val="32"/>
        </w:rPr>
        <w:t>投标</w:t>
      </w:r>
      <w:r>
        <w:rPr>
          <w:rFonts w:hint="eastAsia" w:ascii="宋体" w:hAnsi="宋体" w:cs="宋体"/>
          <w:b/>
          <w:bCs/>
          <w:color w:val="auto"/>
          <w:sz w:val="24"/>
          <w:szCs w:val="32"/>
          <w:lang w:eastAsia="zh-CN"/>
        </w:rPr>
        <w:t>人</w:t>
      </w:r>
      <w:r>
        <w:rPr>
          <w:rFonts w:hint="eastAsia" w:ascii="宋体" w:hAnsi="宋体" w:eastAsia="宋体" w:cs="宋体"/>
          <w:b/>
          <w:bCs/>
          <w:color w:val="auto"/>
          <w:sz w:val="24"/>
          <w:szCs w:val="32"/>
        </w:rPr>
        <w:t>必须按“报价明细表”的格式详细报出投标总价的各个组成部分的报价，否则作无效投标处理。</w:t>
      </w:r>
    </w:p>
    <w:p>
      <w:pPr>
        <w:numPr>
          <w:ilvl w:val="0"/>
          <w:numId w:val="0"/>
        </w:numPr>
        <w:spacing w:line="360" w:lineRule="auto"/>
        <w:ind w:firstLine="482" w:firstLineChars="200"/>
        <w:rPr>
          <w:rFonts w:hint="eastAsia" w:ascii="宋体" w:hAnsi="宋体" w:eastAsia="宋体" w:cs="宋体"/>
          <w:b/>
          <w:bCs/>
          <w:color w:val="auto"/>
          <w:sz w:val="24"/>
          <w:szCs w:val="32"/>
          <w:lang w:eastAsia="zh-CN"/>
        </w:rPr>
      </w:pPr>
      <w:r>
        <w:rPr>
          <w:rFonts w:hint="eastAsia" w:ascii="宋体" w:hAnsi="宋体" w:eastAsia="宋体" w:cs="宋体"/>
          <w:b/>
          <w:bCs/>
          <w:color w:val="auto"/>
          <w:sz w:val="24"/>
          <w:szCs w:val="32"/>
          <w:lang w:val="en-US" w:eastAsia="zh-CN"/>
        </w:rPr>
        <w:t>2、</w:t>
      </w:r>
      <w:r>
        <w:rPr>
          <w:rFonts w:hint="eastAsia" w:ascii="宋体" w:hAnsi="宋体" w:eastAsia="宋体" w:cs="宋体"/>
          <w:b/>
          <w:bCs/>
          <w:color w:val="auto"/>
          <w:sz w:val="24"/>
          <w:szCs w:val="32"/>
        </w:rPr>
        <w:t>“报价明细表”各分项报价合计应当与“</w:t>
      </w:r>
      <w:r>
        <w:rPr>
          <w:rFonts w:hint="eastAsia" w:ascii="宋体" w:hAnsi="宋体" w:cs="宋体"/>
          <w:b/>
          <w:bCs/>
          <w:color w:val="auto"/>
          <w:sz w:val="24"/>
          <w:szCs w:val="32"/>
          <w:lang w:val="en-US" w:eastAsia="zh-CN"/>
        </w:rPr>
        <w:t>磋商</w:t>
      </w:r>
      <w:r>
        <w:rPr>
          <w:rFonts w:hint="eastAsia" w:ascii="宋体" w:hAnsi="宋体" w:eastAsia="宋体" w:cs="宋体"/>
          <w:b/>
          <w:bCs/>
          <w:color w:val="auto"/>
          <w:sz w:val="24"/>
          <w:szCs w:val="32"/>
        </w:rPr>
        <w:t>一览表”报价合计相等</w:t>
      </w:r>
      <w:r>
        <w:rPr>
          <w:rFonts w:hint="eastAsia" w:ascii="宋体" w:hAnsi="宋体" w:eastAsia="宋体" w:cs="宋体"/>
          <w:b/>
          <w:bCs/>
          <w:color w:val="auto"/>
          <w:sz w:val="24"/>
          <w:szCs w:val="32"/>
          <w:lang w:eastAsia="zh-CN"/>
        </w:rPr>
        <w:t>。</w:t>
      </w:r>
    </w:p>
    <w:p>
      <w:pPr>
        <w:pStyle w:val="17"/>
        <w:widowControl w:val="0"/>
        <w:numPr>
          <w:ilvl w:val="0"/>
          <w:numId w:val="0"/>
        </w:numPr>
        <w:snapToGrid w:val="0"/>
        <w:spacing w:line="300" w:lineRule="auto"/>
        <w:jc w:val="both"/>
        <w:rPr>
          <w:rFonts w:hint="eastAsia"/>
        </w:rPr>
      </w:pPr>
    </w:p>
    <w:p>
      <w:pPr>
        <w:pStyle w:val="49"/>
        <w:rPr>
          <w:rFonts w:hint="eastAsia"/>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cs="宋体"/>
          <w:spacing w:val="10"/>
          <w:sz w:val="24"/>
        </w:rPr>
        <w:t>日期：</w:t>
      </w:r>
    </w:p>
    <w:p>
      <w:pPr>
        <w:pStyle w:val="4"/>
        <w:spacing w:before="0" w:after="100" w:afterAutospacing="1"/>
        <w:jc w:val="center"/>
        <w:rPr>
          <w:rFonts w:ascii="宋体" w:hAnsi="宋体" w:cs="宋体"/>
          <w:spacing w:val="10"/>
          <w:sz w:val="28"/>
          <w:szCs w:val="28"/>
        </w:rPr>
      </w:pPr>
      <w:r>
        <w:rPr>
          <w:rFonts w:hint="eastAsia" w:ascii="宋体" w:hAnsi="宋体" w:cs="宋体"/>
          <w:spacing w:val="10"/>
          <w:sz w:val="28"/>
          <w:szCs w:val="28"/>
          <w:lang w:val="en-US" w:eastAsia="zh-CN"/>
        </w:rPr>
        <w:t>9</w:t>
      </w:r>
      <w:r>
        <w:rPr>
          <w:rFonts w:hint="eastAsia" w:ascii="宋体" w:hAnsi="宋体" w:cs="宋体"/>
          <w:spacing w:val="10"/>
          <w:sz w:val="28"/>
          <w:szCs w:val="28"/>
        </w:rPr>
        <w:t>.投标人一般情况表</w:t>
      </w:r>
      <w:bookmarkEnd w:id="285"/>
      <w:bookmarkEnd w:id="286"/>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sz w:val="28"/>
          <w:szCs w:val="28"/>
        </w:rPr>
      </w:pPr>
      <w:bookmarkStart w:id="287" w:name="_Toc13727"/>
      <w:bookmarkStart w:id="288" w:name="_Toc8038"/>
      <w:r>
        <w:rPr>
          <w:rFonts w:hint="eastAsia" w:ascii="宋体" w:hAnsi="宋体" w:cs="宋体"/>
          <w:spacing w:val="10"/>
          <w:sz w:val="28"/>
          <w:szCs w:val="28"/>
        </w:rPr>
        <w:t>1</w:t>
      </w:r>
      <w:r>
        <w:rPr>
          <w:rFonts w:hint="eastAsia" w:ascii="宋体" w:hAnsi="宋体" w:cs="宋体"/>
          <w:spacing w:val="10"/>
          <w:sz w:val="28"/>
          <w:szCs w:val="28"/>
          <w:lang w:val="en-US" w:eastAsia="zh-CN"/>
        </w:rPr>
        <w:t>0</w:t>
      </w:r>
      <w:r>
        <w:rPr>
          <w:rFonts w:hint="eastAsia" w:ascii="宋体" w:hAnsi="宋体" w:cs="宋体"/>
          <w:spacing w:val="10"/>
          <w:sz w:val="28"/>
          <w:szCs w:val="28"/>
        </w:rPr>
        <w:t>.技术/服务偏离表</w:t>
      </w:r>
      <w:bookmarkEnd w:id="287"/>
      <w:bookmarkEnd w:id="288"/>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tbl>
      <w:tblPr>
        <w:tblStyle w:val="35"/>
        <w:tblW w:w="99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935" w:type="dxa"/>
            <w:noWrap w:val="0"/>
            <w:vAlign w:val="center"/>
          </w:tcPr>
          <w:p>
            <w:pP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w:t>
      </w:r>
      <w:r>
        <w:rPr>
          <w:rFonts w:hint="eastAsia" w:ascii="宋体" w:hAnsi="宋体" w:eastAsia="宋体" w:cs="宋体"/>
          <w:sz w:val="24"/>
          <w:lang w:eastAsia="zh-CN"/>
        </w:rPr>
        <w:t>，</w:t>
      </w:r>
      <w:r>
        <w:rPr>
          <w:rFonts w:hint="eastAsia" w:ascii="宋体" w:hAnsi="宋体" w:eastAsia="宋体" w:cs="宋体"/>
          <w:sz w:val="24"/>
          <w:lang w:val="en-US" w:eastAsia="zh-CN"/>
        </w:rPr>
        <w:t>不能实际满足参数要求，</w:t>
      </w:r>
      <w:r>
        <w:rPr>
          <w:rFonts w:hint="eastAsia" w:ascii="宋体" w:hAnsi="宋体" w:eastAsia="宋体" w:cs="宋体"/>
          <w:sz w:val="24"/>
        </w:rPr>
        <w:t>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4.“说明”系指投标投标单位提供的证明材料类型、证明材料与技术参数相对应的页码及条款号。如：x</w:t>
      </w:r>
      <w:r>
        <w:rPr>
          <w:rFonts w:hint="eastAsia" w:ascii="宋体" w:hAnsi="宋体" w:eastAsia="宋体" w:cs="宋体"/>
          <w:sz w:val="24"/>
          <w:lang w:val="en-US" w:eastAsia="zh-CN"/>
        </w:rPr>
        <w:t>证明材料</w:t>
      </w:r>
      <w:r>
        <w:rPr>
          <w:rFonts w:hint="eastAsia" w:ascii="宋体" w:hAnsi="宋体" w:eastAsia="宋体" w:cs="宋体"/>
          <w:sz w:val="24"/>
        </w:rPr>
        <w:t>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spacing w:line="360" w:lineRule="auto"/>
        <w:rPr>
          <w:rFonts w:hint="eastAsia" w:ascii="宋体" w:hAnsi="宋体" w:eastAsia="宋体" w:cs="宋体"/>
          <w:b/>
        </w:rPr>
      </w:pPr>
    </w:p>
    <w:p>
      <w:pPr>
        <w:spacing w:line="360" w:lineRule="auto"/>
        <w:rPr>
          <w:rFonts w:ascii="宋体" w:hAnsi="宋体" w:cs="宋体"/>
          <w:b/>
        </w:rPr>
      </w:pPr>
    </w:p>
    <w:p>
      <w:pPr>
        <w:pStyle w:val="4"/>
        <w:spacing w:before="0" w:after="100" w:afterAutospacing="1"/>
        <w:rPr>
          <w:rFonts w:ascii="宋体" w:hAnsi="宋体" w:cs="宋体"/>
          <w:spacing w:val="10"/>
          <w:sz w:val="24"/>
        </w:rPr>
      </w:pPr>
      <w:bookmarkStart w:id="289" w:name="_Toc25387"/>
      <w:bookmarkStart w:id="290" w:name="_Toc5303"/>
      <w:bookmarkStart w:id="291" w:name="_Toc258923313"/>
      <w:r>
        <w:rPr>
          <w:rFonts w:hint="eastAsia" w:ascii="宋体" w:hAnsi="宋体" w:cs="宋体"/>
          <w:spacing w:val="10"/>
          <w:sz w:val="28"/>
          <w:szCs w:val="28"/>
        </w:rPr>
        <w:t>1</w:t>
      </w:r>
      <w:r>
        <w:rPr>
          <w:rFonts w:hint="eastAsia" w:ascii="宋体" w:hAnsi="宋体" w:cs="宋体"/>
          <w:spacing w:val="10"/>
          <w:sz w:val="28"/>
          <w:szCs w:val="28"/>
          <w:lang w:val="en-US" w:eastAsia="zh-CN"/>
        </w:rPr>
        <w:t>1</w:t>
      </w:r>
      <w:r>
        <w:rPr>
          <w:rFonts w:hint="eastAsia" w:ascii="宋体" w:hAnsi="宋体" w:cs="宋体"/>
          <w:spacing w:val="10"/>
          <w:sz w:val="28"/>
          <w:szCs w:val="28"/>
        </w:rPr>
        <w:t>.商务偏离表</w:t>
      </w:r>
      <w:bookmarkEnd w:id="289"/>
      <w:bookmarkEnd w:id="290"/>
      <w:bookmarkEnd w:id="291"/>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5"/>
        <w:tblW w:w="9647"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sz w:val="28"/>
          <w:szCs w:val="28"/>
        </w:rPr>
      </w:pPr>
      <w:bookmarkStart w:id="292" w:name="_Toc258923314"/>
      <w:bookmarkStart w:id="293" w:name="_Toc4829"/>
      <w:bookmarkStart w:id="294" w:name="_Toc24409"/>
      <w:r>
        <w:rPr>
          <w:rFonts w:hint="eastAsia" w:ascii="宋体" w:hAnsi="宋体" w:cs="宋体"/>
          <w:spacing w:val="10"/>
          <w:sz w:val="28"/>
          <w:szCs w:val="28"/>
        </w:rPr>
        <w:t>1</w:t>
      </w:r>
      <w:r>
        <w:rPr>
          <w:rFonts w:hint="eastAsia" w:ascii="宋体" w:hAnsi="宋体" w:cs="宋体"/>
          <w:spacing w:val="10"/>
          <w:sz w:val="28"/>
          <w:szCs w:val="28"/>
          <w:lang w:val="en-US" w:eastAsia="zh-CN"/>
        </w:rPr>
        <w:t>2</w:t>
      </w:r>
      <w:r>
        <w:rPr>
          <w:rFonts w:hint="eastAsia" w:ascii="宋体" w:hAnsi="宋体" w:cs="宋体"/>
          <w:spacing w:val="10"/>
          <w:sz w:val="28"/>
          <w:szCs w:val="28"/>
        </w:rPr>
        <w:t>.</w:t>
      </w:r>
      <w:bookmarkEnd w:id="292"/>
      <w:bookmarkStart w:id="295" w:name="_Toc7169"/>
      <w:r>
        <w:rPr>
          <w:rFonts w:hint="eastAsia" w:ascii="宋体" w:hAnsi="宋体" w:cs="宋体"/>
          <w:spacing w:val="10"/>
          <w:sz w:val="28"/>
          <w:szCs w:val="28"/>
        </w:rPr>
        <w:t>投标人的相关资料和业绩证明材料</w:t>
      </w:r>
      <w:bookmarkEnd w:id="293"/>
      <w:bookmarkEnd w:id="294"/>
      <w:bookmarkEnd w:id="295"/>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21"/>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
        <w:rPr>
          <w:rFonts w:hint="eastAsia" w:eastAsia="宋体"/>
          <w:lang w:val="en-US" w:eastAsia="zh-CN"/>
        </w:rPr>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3"/>
        <w:rPr>
          <w:rFonts w:hint="eastAsia" w:ascii="宋体" w:hAnsi="宋体" w:eastAsia="宋体" w:cs="宋体"/>
          <w:spacing w:val="10"/>
          <w:kern w:val="0"/>
          <w:sz w:val="28"/>
          <w:szCs w:val="28"/>
        </w:rPr>
      </w:pPr>
      <w:bookmarkStart w:id="296" w:name="_Toc456166280"/>
      <w:bookmarkStart w:id="297" w:name="_Toc32144"/>
      <w:bookmarkStart w:id="298" w:name="_Toc11978"/>
      <w:bookmarkStart w:id="299" w:name="_Toc433806381"/>
      <w:r>
        <w:rPr>
          <w:rFonts w:hint="eastAsia" w:ascii="宋体" w:hAnsi="宋体" w:cs="宋体"/>
          <w:spacing w:val="10"/>
        </w:rPr>
        <w:br w:type="page"/>
      </w:r>
      <w:bookmarkEnd w:id="296"/>
      <w:bookmarkEnd w:id="297"/>
      <w:bookmarkEnd w:id="298"/>
      <w:bookmarkEnd w:id="299"/>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3</w:t>
      </w:r>
      <w:r>
        <w:rPr>
          <w:rFonts w:hint="eastAsia" w:ascii="宋体" w:hAnsi="宋体" w:eastAsia="宋体" w:cs="宋体"/>
          <w:spacing w:val="10"/>
          <w:kern w:val="0"/>
          <w:sz w:val="28"/>
          <w:szCs w:val="28"/>
        </w:rPr>
        <w:t>.非联合体投标承诺函</w:t>
      </w:r>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00"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4</w:t>
      </w:r>
      <w:r>
        <w:rPr>
          <w:rFonts w:hint="eastAsia" w:ascii="宋体" w:hAnsi="宋体" w:eastAsia="宋体" w:cs="宋体"/>
          <w:spacing w:val="10"/>
          <w:kern w:val="0"/>
          <w:sz w:val="28"/>
          <w:szCs w:val="28"/>
        </w:rPr>
        <w:t>.同意招标文件条款声明</w:t>
      </w:r>
      <w:bookmarkEnd w:id="300"/>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01" w:name="_Toc6592"/>
      <w:r>
        <w:rPr>
          <w:rFonts w:hint="eastAsia" w:ascii="宋体" w:hAnsi="宋体" w:eastAsia="宋体" w:cs="宋体"/>
          <w:b w:val="0"/>
          <w:bCs w:val="0"/>
          <w:spacing w:val="10"/>
          <w:sz w:val="24"/>
        </w:rPr>
        <w:t>日期：  年  月   日</w:t>
      </w:r>
      <w:bookmarkEnd w:id="301"/>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02"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.虚假应标承担责任声明</w:t>
      </w:r>
      <w:bookmarkEnd w:id="302"/>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03" w:name="_Toc27107"/>
      <w:r>
        <w:rPr>
          <w:rFonts w:hint="eastAsia" w:ascii="宋体" w:hAnsi="宋体" w:eastAsia="宋体" w:cs="宋体"/>
          <w:b w:val="0"/>
          <w:bCs w:val="0"/>
          <w:sz w:val="24"/>
          <w:szCs w:val="24"/>
        </w:rPr>
        <w:t>特此声明！</w:t>
      </w:r>
      <w:bookmarkEnd w:id="303"/>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jc w:val="left"/>
        <w:rPr>
          <w:rFonts w:ascii="宋体" w:hAnsi="宋体" w:cs="宋体"/>
        </w:rPr>
      </w:pPr>
    </w:p>
    <w:p>
      <w:pPr>
        <w:rPr>
          <w:rFonts w:ascii="宋体" w:hAnsi="宋体" w:cs="宋体"/>
        </w:rPr>
      </w:pPr>
    </w:p>
    <w:p>
      <w:pPr>
        <w:pStyle w:val="17"/>
        <w:rPr>
          <w:rFonts w:ascii="宋体" w:hAnsi="宋体" w:cs="宋体"/>
        </w:rPr>
      </w:pPr>
    </w:p>
    <w:p>
      <w:pPr>
        <w:pStyle w:val="49"/>
        <w:rPr>
          <w:rFonts w:ascii="宋体" w:hAnsi="宋体" w:cs="宋体"/>
        </w:rPr>
      </w:pPr>
    </w:p>
    <w:p>
      <w:pPr>
        <w:pStyle w:val="49"/>
        <w:rPr>
          <w:rFonts w:ascii="宋体" w:hAnsi="宋体" w:cs="宋体"/>
        </w:rPr>
      </w:pPr>
    </w:p>
    <w:p>
      <w:pPr>
        <w:pStyle w:val="49"/>
        <w:rPr>
          <w:rFonts w:ascii="宋体" w:hAnsi="宋体" w:cs="宋体"/>
        </w:rPr>
      </w:pPr>
    </w:p>
    <w:p>
      <w:pPr>
        <w:pStyle w:val="49"/>
        <w:rPr>
          <w:rFonts w:ascii="宋体" w:hAnsi="宋体" w:cs="宋体"/>
        </w:rPr>
      </w:pPr>
    </w:p>
    <w:p>
      <w:pPr>
        <w:pStyle w:val="49"/>
        <w:rPr>
          <w:rFonts w:ascii="宋体" w:hAnsi="宋体" w:cs="宋体"/>
        </w:rPr>
      </w:pPr>
    </w:p>
    <w:p>
      <w:pPr>
        <w:pStyle w:val="49"/>
        <w:rPr>
          <w:rFonts w:ascii="宋体" w:hAnsi="宋体" w:cs="宋体"/>
        </w:rPr>
      </w:pPr>
    </w:p>
    <w:p>
      <w:pPr>
        <w:pStyle w:val="49"/>
        <w:rPr>
          <w:rFonts w:ascii="宋体" w:hAnsi="宋体" w:cs="宋体"/>
        </w:rPr>
      </w:pPr>
    </w:p>
    <w:p>
      <w:pPr>
        <w:pStyle w:val="3"/>
        <w:jc w:val="both"/>
        <w:rPr>
          <w:rFonts w:hint="eastAsia" w:ascii="宋体" w:hAnsi="宋体" w:eastAsia="宋体" w:cs="宋体"/>
          <w:sz w:val="32"/>
          <w:szCs w:val="32"/>
        </w:rPr>
      </w:pPr>
    </w:p>
    <w:p>
      <w:pPr>
        <w:pStyle w:val="17"/>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16</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49"/>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both"/>
        <w:rPr>
          <w:rFonts w:hint="eastAsia" w:ascii="宋体" w:hAnsi="宋体" w:cs="宋体"/>
          <w:b/>
          <w:sz w:val="28"/>
          <w:szCs w:val="28"/>
          <w:lang w:val="en-US" w:eastAsia="zh-CN"/>
        </w:rPr>
      </w:pPr>
    </w:p>
    <w:p>
      <w:pPr>
        <w:pStyle w:val="17"/>
        <w:rPr>
          <w:rFonts w:hint="eastAsia" w:ascii="宋体" w:hAnsi="宋体" w:cs="宋体"/>
          <w:b/>
          <w:sz w:val="28"/>
          <w:szCs w:val="28"/>
          <w:lang w:val="en-US" w:eastAsia="zh-CN"/>
        </w:rPr>
      </w:pPr>
    </w:p>
    <w:p>
      <w:pPr>
        <w:pStyle w:val="49"/>
        <w:rPr>
          <w:rFonts w:hint="eastAsia" w:ascii="宋体" w:hAnsi="宋体" w:cs="宋体"/>
          <w:b/>
          <w:sz w:val="28"/>
          <w:szCs w:val="28"/>
          <w:lang w:val="en-US" w:eastAsia="zh-CN"/>
        </w:rPr>
      </w:pPr>
    </w:p>
    <w:p>
      <w:pPr>
        <w:pStyle w:val="49"/>
        <w:rPr>
          <w:rFonts w:hint="eastAsia" w:ascii="宋体" w:hAnsi="宋体" w:cs="宋体"/>
          <w:b/>
          <w:sz w:val="28"/>
          <w:szCs w:val="28"/>
          <w:lang w:val="en-US" w:eastAsia="zh-CN"/>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17</w:t>
      </w:r>
      <w:r>
        <w:rPr>
          <w:rFonts w:hint="eastAsia" w:ascii="宋体" w:hAnsi="宋体" w:eastAsia="宋体" w:cs="宋体"/>
          <w:b/>
          <w:sz w:val="28"/>
          <w:szCs w:val="28"/>
        </w:rPr>
        <w:t>、投 标 单 位 承 诺 书</w:t>
      </w:r>
      <w:bookmarkStart w:id="304" w:name="_Toc7853_WPSOffice_Level1"/>
    </w:p>
    <w:p>
      <w:pPr>
        <w:autoSpaceDE w:val="0"/>
        <w:autoSpaceDN w:val="0"/>
        <w:spacing w:line="360" w:lineRule="auto"/>
        <w:jc w:val="center"/>
        <w:rPr>
          <w:rFonts w:hint="eastAsia" w:ascii="宋体" w:hAnsi="宋体" w:eastAsia="宋体" w:cs="宋体"/>
          <w:b/>
          <w:sz w:val="24"/>
        </w:rPr>
      </w:pPr>
    </w:p>
    <w:bookmarkEnd w:id="304"/>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13"/>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pStyle w:val="49"/>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ind w:left="0" w:leftChars="0" w:firstLine="0" w:firstLineChars="0"/>
        <w:rPr>
          <w:rFonts w:hint="eastAsia"/>
        </w:rPr>
      </w:pPr>
      <w:bookmarkStart w:id="305" w:name="_Toc26527"/>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305"/>
      <w:r>
        <w:rPr>
          <w:rFonts w:hint="eastAsia" w:ascii="宋体" w:hAnsi="宋体" w:cs="宋体"/>
          <w:sz w:val="32"/>
          <w:szCs w:val="32"/>
          <w:lang w:val="en-US" w:eastAsia="zh-CN"/>
        </w:rPr>
        <w:t>(中标后双方协商拟定）</w:t>
      </w:r>
    </w:p>
    <w:p>
      <w:pPr>
        <w:pStyle w:val="4"/>
        <w:rPr>
          <w:rFonts w:ascii="宋体" w:hAnsi="宋体" w:cs="宋体"/>
          <w:sz w:val="28"/>
          <w:szCs w:val="20"/>
        </w:rPr>
      </w:pPr>
      <w:bookmarkStart w:id="306" w:name="_Toc23341"/>
      <w:bookmarkStart w:id="307" w:name="_Toc31613"/>
      <w:bookmarkStart w:id="308" w:name="_Toc27396"/>
      <w:r>
        <w:rPr>
          <w:rFonts w:hint="eastAsia" w:ascii="宋体" w:hAnsi="宋体" w:cs="宋体"/>
          <w:sz w:val="28"/>
          <w:szCs w:val="20"/>
        </w:rPr>
        <w:t>合同条款前附表</w:t>
      </w:r>
      <w:bookmarkEnd w:id="306"/>
      <w:bookmarkEnd w:id="307"/>
      <w:bookmarkEnd w:id="308"/>
    </w:p>
    <w:p>
      <w:pPr>
        <w:pStyle w:val="209"/>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0"/>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lang w:val="en-US" w:eastAsia="zh-CN"/>
              </w:rPr>
              <w:t>服务期限</w:t>
            </w:r>
            <w:r>
              <w:rPr>
                <w:rFonts w:hint="eastAsia" w:ascii="宋体" w:hAnsi="宋体" w:cs="宋体"/>
                <w:color w:val="auto"/>
                <w:spacing w:val="10"/>
                <w:sz w:val="24"/>
                <w:highlight w:val="none"/>
              </w:rPr>
              <w:t>：</w:t>
            </w:r>
            <w:r>
              <w:rPr>
                <w:rFonts w:hint="eastAsia" w:ascii="宋体" w:hAnsi="宋体" w:cs="宋体"/>
                <w:color w:val="auto"/>
                <w:spacing w:val="10"/>
                <w:sz w:val="24"/>
                <w:highlight w:val="none"/>
                <w:lang w:val="en-US" w:eastAsia="zh-CN"/>
              </w:rPr>
              <w:t>一年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7"/>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7"/>
              <w:spacing w:line="360" w:lineRule="auto"/>
              <w:ind w:firstLine="480" w:firstLineChars="200"/>
              <w:rPr>
                <w:rFonts w:ascii="宋体" w:hAnsi="宋体" w:cs="宋体"/>
                <w:color w:val="auto"/>
                <w:spacing w:val="4"/>
                <w:kern w:val="2"/>
                <w:highlight w:val="green"/>
                <w:lang w:val="en-US" w:eastAsia="zh-CN"/>
              </w:rPr>
            </w:pPr>
            <w:r>
              <w:rPr>
                <w:rFonts w:hint="eastAsia" w:cs="宋体"/>
                <w:color w:val="auto"/>
                <w:sz w:val="24"/>
                <w:szCs w:val="24"/>
                <w:highlight w:val="none"/>
                <w:lang w:eastAsia="zh-CN"/>
              </w:rPr>
              <w:t>代理服务费由中标公司支付，我院不在另行支付服务费用。</w:t>
            </w:r>
          </w:p>
        </w:tc>
      </w:tr>
    </w:tbl>
    <w:p>
      <w:pPr>
        <w:jc w:val="center"/>
        <w:rPr>
          <w:rFonts w:hint="eastAsia" w:ascii="宋体" w:hAnsi="宋体"/>
          <w:b/>
          <w:color w:val="000000"/>
          <w:sz w:val="84"/>
          <w:szCs w:val="84"/>
        </w:rPr>
      </w:pPr>
    </w:p>
    <w:p>
      <w:pPr>
        <w:jc w:val="center"/>
        <w:rPr>
          <w:rFonts w:hint="eastAsia" w:ascii="宋体" w:hAnsi="宋体"/>
          <w:b/>
          <w:color w:val="000000"/>
          <w:sz w:val="84"/>
          <w:szCs w:val="84"/>
        </w:rPr>
      </w:pPr>
    </w:p>
    <w:p>
      <w:pPr>
        <w:pStyle w:val="17"/>
        <w:rPr>
          <w:rFonts w:hint="eastAsia" w:ascii="宋体" w:hAnsi="宋体"/>
          <w:b/>
          <w:color w:val="000000"/>
          <w:sz w:val="84"/>
          <w:szCs w:val="84"/>
        </w:rPr>
      </w:pPr>
    </w:p>
    <w:p>
      <w:pPr>
        <w:pStyle w:val="49"/>
        <w:rPr>
          <w:rFonts w:hint="eastAsia" w:ascii="宋体" w:hAnsi="宋体"/>
          <w:b/>
          <w:color w:val="000000"/>
          <w:sz w:val="84"/>
          <w:szCs w:val="84"/>
        </w:rPr>
      </w:pPr>
    </w:p>
    <w:p>
      <w:pPr>
        <w:pStyle w:val="49"/>
        <w:rPr>
          <w:rFonts w:hint="eastAsia" w:ascii="宋体" w:hAnsi="宋体"/>
          <w:b/>
          <w:color w:val="000000"/>
          <w:sz w:val="84"/>
          <w:szCs w:val="84"/>
        </w:rPr>
      </w:pPr>
    </w:p>
    <w:p>
      <w:pPr>
        <w:tabs>
          <w:tab w:val="left" w:pos="1435"/>
        </w:tabs>
        <w:bidi w:val="0"/>
        <w:jc w:val="left"/>
        <w:rPr>
          <w:rFonts w:ascii="Times New Roman" w:hAnsi="Times New Roman" w:eastAsia="宋体" w:cs="Times New Roman"/>
          <w:kern w:val="2"/>
          <w:sz w:val="21"/>
          <w:szCs w:val="24"/>
          <w:lang w:val="en-US" w:eastAsia="zh-CN" w:bidi="ar-SA"/>
        </w:rPr>
      </w:pPr>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w:pict>
        <v:shape id="_x0000_s4108" o:spid="_x0000_s410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5"/>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w:pict>
        <v:shape id="_x0000_s4109" o:spid="_x0000_s410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w:pict>
        <v:shape id="_x0000_s4110" o:spid="_x0000_s411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5"/>
                </w:pPr>
                <w:r>
                  <w:t xml:space="preserve">第 </w:t>
                </w:r>
                <w:r>
                  <w:fldChar w:fldCharType="begin"/>
                </w:r>
                <w:r>
                  <w:instrText xml:space="preserve"> PAGE  \* MERGEFORMAT </w:instrText>
                </w:r>
                <w:r>
                  <w:fldChar w:fldCharType="separate"/>
                </w:r>
                <w:r>
                  <w:t>41</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left" w:pos="8755"/>
        <w:tab w:val="clear" w:pos="4153"/>
      </w:tabs>
      <w:ind w:firstLine="180" w:firstLineChars="10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9C8CB"/>
    <w:multiLevelType w:val="singleLevel"/>
    <w:tmpl w:val="4509C8CB"/>
    <w:lvl w:ilvl="0" w:tentative="0">
      <w:start w:val="1"/>
      <w:numFmt w:val="decimal"/>
      <w:suff w:val="space"/>
      <w:lvlText w:val="（%1）"/>
      <w:lvlJc w:val="left"/>
    </w:lvl>
  </w:abstractNum>
  <w:abstractNum w:abstractNumId="1">
    <w:nsid w:val="58EEE2A9"/>
    <w:multiLevelType w:val="singleLevel"/>
    <w:tmpl w:val="58EEE2A9"/>
    <w:lvl w:ilvl="0" w:tentative="0">
      <w:start w:val="1"/>
      <w:numFmt w:val="decimal"/>
      <w:suff w:val="space"/>
      <w:lvlText w:val="%1)"/>
      <w:lvlJc w:val="left"/>
    </w:lvl>
  </w:abstractNum>
  <w:abstractNum w:abstractNumId="2">
    <w:nsid w:val="5983EC99"/>
    <w:multiLevelType w:val="singleLevel"/>
    <w:tmpl w:val="5983EC99"/>
    <w:lvl w:ilvl="0" w:tentative="0">
      <w:start w:val="3"/>
      <w:numFmt w:val="chineseCounting"/>
      <w:suff w:val="space"/>
      <w:lvlText w:val="第%1章"/>
      <w:lvlJc w:val="left"/>
    </w:lvl>
  </w:abstractNum>
  <w:abstractNum w:abstractNumId="3">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62F66"/>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2B1E"/>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0F0A52"/>
    <w:rsid w:val="03115376"/>
    <w:rsid w:val="03122820"/>
    <w:rsid w:val="03182EA9"/>
    <w:rsid w:val="0319014C"/>
    <w:rsid w:val="031B3228"/>
    <w:rsid w:val="031D2510"/>
    <w:rsid w:val="03221295"/>
    <w:rsid w:val="032441FD"/>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267C0"/>
    <w:rsid w:val="06E709A1"/>
    <w:rsid w:val="06EC2979"/>
    <w:rsid w:val="06FA46A2"/>
    <w:rsid w:val="06FC2EE7"/>
    <w:rsid w:val="07052515"/>
    <w:rsid w:val="070A50DF"/>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01D01"/>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A5D68"/>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665B2"/>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8F6673"/>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153B3"/>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BD173C"/>
    <w:rsid w:val="18CD3DB8"/>
    <w:rsid w:val="18CD4F10"/>
    <w:rsid w:val="18D07312"/>
    <w:rsid w:val="18D7166E"/>
    <w:rsid w:val="18D84CAD"/>
    <w:rsid w:val="18DA2850"/>
    <w:rsid w:val="18DB3BE9"/>
    <w:rsid w:val="18DD3ED4"/>
    <w:rsid w:val="18DF3468"/>
    <w:rsid w:val="18E302E5"/>
    <w:rsid w:val="18E33A71"/>
    <w:rsid w:val="18EA446A"/>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BFE58FC"/>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4C3787"/>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2F00BB"/>
    <w:rsid w:val="1F3200CA"/>
    <w:rsid w:val="1F353AA3"/>
    <w:rsid w:val="1F382483"/>
    <w:rsid w:val="1F3C6787"/>
    <w:rsid w:val="1F3E269D"/>
    <w:rsid w:val="1F3E2E0D"/>
    <w:rsid w:val="1F4333D5"/>
    <w:rsid w:val="1F47030B"/>
    <w:rsid w:val="1F491104"/>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10E23"/>
    <w:rsid w:val="258514C6"/>
    <w:rsid w:val="25874E77"/>
    <w:rsid w:val="258D381A"/>
    <w:rsid w:val="25910832"/>
    <w:rsid w:val="259128F7"/>
    <w:rsid w:val="25914EA1"/>
    <w:rsid w:val="25937A93"/>
    <w:rsid w:val="25986B4C"/>
    <w:rsid w:val="25991737"/>
    <w:rsid w:val="259E0E92"/>
    <w:rsid w:val="259E27F7"/>
    <w:rsid w:val="25A403DC"/>
    <w:rsid w:val="25AA6324"/>
    <w:rsid w:val="25B1128D"/>
    <w:rsid w:val="25B630F6"/>
    <w:rsid w:val="25BC7F46"/>
    <w:rsid w:val="25CA1F75"/>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2153B"/>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DD275B"/>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97E5B"/>
    <w:rsid w:val="344B1281"/>
    <w:rsid w:val="344E78DE"/>
    <w:rsid w:val="345004D9"/>
    <w:rsid w:val="34526871"/>
    <w:rsid w:val="345904F9"/>
    <w:rsid w:val="345D63A4"/>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33A05"/>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43016"/>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7C3C40"/>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0A63CE"/>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71E6F"/>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60F17"/>
    <w:rsid w:val="3B4B0726"/>
    <w:rsid w:val="3B532815"/>
    <w:rsid w:val="3B551129"/>
    <w:rsid w:val="3B5555DA"/>
    <w:rsid w:val="3B570666"/>
    <w:rsid w:val="3B57331B"/>
    <w:rsid w:val="3B5D7AAF"/>
    <w:rsid w:val="3B64301A"/>
    <w:rsid w:val="3B643CB3"/>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625C0"/>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D7EC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846D55"/>
    <w:rsid w:val="4B99024A"/>
    <w:rsid w:val="4B9E15AA"/>
    <w:rsid w:val="4B9F1725"/>
    <w:rsid w:val="4BB31DA3"/>
    <w:rsid w:val="4BB352AC"/>
    <w:rsid w:val="4BB35CE8"/>
    <w:rsid w:val="4BB84F80"/>
    <w:rsid w:val="4BB905F9"/>
    <w:rsid w:val="4BB97E25"/>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60DD5"/>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362B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4FD6"/>
    <w:rsid w:val="521D6BC2"/>
    <w:rsid w:val="521F58C7"/>
    <w:rsid w:val="5220345A"/>
    <w:rsid w:val="5223394C"/>
    <w:rsid w:val="52250C6B"/>
    <w:rsid w:val="522A3648"/>
    <w:rsid w:val="52336C01"/>
    <w:rsid w:val="52357432"/>
    <w:rsid w:val="523C7E01"/>
    <w:rsid w:val="52411194"/>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426F4"/>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1DE6"/>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B78D0"/>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8E7E29"/>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36C6A"/>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96AD5"/>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211E2"/>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47EC6"/>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58B8"/>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9663A"/>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8584B"/>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8E467A"/>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71781"/>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AC6B93"/>
    <w:rsid w:val="66B60D63"/>
    <w:rsid w:val="66BC49E1"/>
    <w:rsid w:val="66BC4CA8"/>
    <w:rsid w:val="66C60964"/>
    <w:rsid w:val="66C90CE0"/>
    <w:rsid w:val="66C95C36"/>
    <w:rsid w:val="66CC1FEA"/>
    <w:rsid w:val="66D520EA"/>
    <w:rsid w:val="66D90CA5"/>
    <w:rsid w:val="66DD5A8F"/>
    <w:rsid w:val="66DF77BD"/>
    <w:rsid w:val="66E47725"/>
    <w:rsid w:val="66EE52AB"/>
    <w:rsid w:val="66FF6C68"/>
    <w:rsid w:val="67041718"/>
    <w:rsid w:val="67056169"/>
    <w:rsid w:val="671114B8"/>
    <w:rsid w:val="6719611E"/>
    <w:rsid w:val="671C71B3"/>
    <w:rsid w:val="67277E6F"/>
    <w:rsid w:val="672873B2"/>
    <w:rsid w:val="6729792C"/>
    <w:rsid w:val="673126E3"/>
    <w:rsid w:val="67397CFB"/>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5390"/>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23BDB"/>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56CD4"/>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3D46F8"/>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0498"/>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42048"/>
    <w:rsid w:val="789944A9"/>
    <w:rsid w:val="789B5BCC"/>
    <w:rsid w:val="789D32E3"/>
    <w:rsid w:val="78B9431E"/>
    <w:rsid w:val="78BC6A46"/>
    <w:rsid w:val="78BC79BE"/>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1C358E"/>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D7491"/>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2D0B"/>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99"/>
    <w:pPr>
      <w:spacing w:line="360" w:lineRule="auto"/>
      <w:jc w:val="center"/>
      <w:outlineLvl w:val="0"/>
    </w:pPr>
    <w:rPr>
      <w:b/>
      <w:bCs/>
      <w:kern w:val="44"/>
      <w:sz w:val="44"/>
      <w:szCs w:val="44"/>
    </w:rPr>
  </w:style>
  <w:style w:type="paragraph" w:styleId="4">
    <w:name w:val="heading 2"/>
    <w:basedOn w:val="1"/>
    <w:next w:val="1"/>
    <w:link w:val="51"/>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2"/>
    <w:qFormat/>
    <w:uiPriority w:val="99"/>
    <w:pPr>
      <w:spacing w:line="360" w:lineRule="auto"/>
      <w:ind w:firstLine="482" w:firstLineChars="200"/>
      <w:outlineLvl w:val="2"/>
    </w:pPr>
    <w:rPr>
      <w:b/>
      <w:bCs/>
      <w:kern w:val="0"/>
      <w:sz w:val="32"/>
      <w:szCs w:val="32"/>
    </w:rPr>
  </w:style>
  <w:style w:type="paragraph" w:styleId="6">
    <w:name w:val="heading 4"/>
    <w:basedOn w:val="1"/>
    <w:next w:val="1"/>
    <w:link w:val="53"/>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4"/>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5"/>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6"/>
    <w:qFormat/>
    <w:uiPriority w:val="99"/>
    <w:pPr>
      <w:keepNext/>
      <w:keepLines/>
      <w:spacing w:before="240" w:after="64" w:line="320" w:lineRule="auto"/>
      <w:outlineLvl w:val="6"/>
    </w:pPr>
    <w:rPr>
      <w:b/>
      <w:bCs/>
      <w:kern w:val="0"/>
      <w:sz w:val="24"/>
    </w:rPr>
  </w:style>
  <w:style w:type="paragraph" w:styleId="10">
    <w:name w:val="heading 8"/>
    <w:basedOn w:val="1"/>
    <w:next w:val="1"/>
    <w:link w:val="57"/>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8"/>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12">
    <w:name w:val="Note Heading"/>
    <w:basedOn w:val="1"/>
    <w:next w:val="1"/>
    <w:link w:val="59"/>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60"/>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next w:val="18"/>
    <w:link w:val="61"/>
    <w:qFormat/>
    <w:uiPriority w:val="99"/>
    <w:pPr>
      <w:snapToGrid w:val="0"/>
      <w:spacing w:line="300" w:lineRule="auto"/>
    </w:pPr>
    <w:rPr>
      <w:kern w:val="0"/>
      <w:sz w:val="24"/>
    </w:rPr>
  </w:style>
  <w:style w:type="paragraph" w:styleId="18">
    <w:name w:val="Body Text First Indent"/>
    <w:basedOn w:val="17"/>
    <w:qFormat/>
    <w:locked/>
    <w:uiPriority w:val="0"/>
    <w:pPr>
      <w:autoSpaceDE w:val="0"/>
      <w:autoSpaceDN w:val="0"/>
      <w:adjustRightInd w:val="0"/>
      <w:ind w:firstLine="420"/>
      <w:jc w:val="left"/>
    </w:pPr>
    <w:rPr>
      <w:rFonts w:ascii="宋体"/>
      <w:kern w:val="0"/>
      <w:sz w:val="20"/>
      <w:szCs w:val="20"/>
    </w:rPr>
  </w:style>
  <w:style w:type="paragraph" w:styleId="19">
    <w:name w:val="Body Text Indent"/>
    <w:basedOn w:val="1"/>
    <w:link w:val="62"/>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3"/>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4"/>
    <w:qFormat/>
    <w:uiPriority w:val="99"/>
    <w:pPr>
      <w:ind w:left="100" w:leftChars="2500"/>
    </w:pPr>
    <w:rPr>
      <w:kern w:val="0"/>
      <w:sz w:val="24"/>
    </w:rPr>
  </w:style>
  <w:style w:type="paragraph" w:styleId="23">
    <w:name w:val="Body Text Indent 2"/>
    <w:basedOn w:val="1"/>
    <w:link w:val="65"/>
    <w:qFormat/>
    <w:uiPriority w:val="99"/>
    <w:pPr>
      <w:spacing w:line="460" w:lineRule="exact"/>
      <w:ind w:firstLine="570"/>
    </w:pPr>
    <w:rPr>
      <w:kern w:val="0"/>
      <w:sz w:val="24"/>
    </w:rPr>
  </w:style>
  <w:style w:type="paragraph" w:styleId="24">
    <w:name w:val="Balloon Text"/>
    <w:basedOn w:val="1"/>
    <w:link w:val="66"/>
    <w:qFormat/>
    <w:uiPriority w:val="99"/>
    <w:rPr>
      <w:kern w:val="0"/>
      <w:sz w:val="16"/>
      <w:szCs w:val="16"/>
    </w:rPr>
  </w:style>
  <w:style w:type="paragraph" w:styleId="25">
    <w:name w:val="footer"/>
    <w:basedOn w:val="1"/>
    <w:link w:val="67"/>
    <w:qFormat/>
    <w:uiPriority w:val="99"/>
    <w:pPr>
      <w:tabs>
        <w:tab w:val="center" w:pos="4153"/>
        <w:tab w:val="right" w:pos="8306"/>
      </w:tabs>
      <w:snapToGrid w:val="0"/>
      <w:jc w:val="left"/>
    </w:pPr>
    <w:rPr>
      <w:kern w:val="0"/>
      <w:sz w:val="18"/>
      <w:szCs w:val="18"/>
    </w:rPr>
  </w:style>
  <w:style w:type="paragraph" w:styleId="26">
    <w:name w:val="header"/>
    <w:basedOn w:val="1"/>
    <w:link w:val="68"/>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9">
    <w:name w:val="Body Text Indent 3"/>
    <w:basedOn w:val="1"/>
    <w:link w:val="69"/>
    <w:qFormat/>
    <w:uiPriority w:val="99"/>
    <w:pPr>
      <w:spacing w:after="120"/>
      <w:ind w:left="420"/>
    </w:pPr>
    <w:rPr>
      <w:kern w:val="0"/>
      <w:sz w:val="16"/>
      <w:szCs w:val="16"/>
    </w:r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70"/>
    <w:qFormat/>
    <w:uiPriority w:val="99"/>
    <w:pPr>
      <w:spacing w:before="240" w:after="60"/>
      <w:jc w:val="center"/>
      <w:outlineLvl w:val="0"/>
    </w:pPr>
    <w:rPr>
      <w:rFonts w:ascii="Cambria" w:hAnsi="Cambria"/>
      <w:b/>
      <w:bCs/>
      <w:sz w:val="32"/>
      <w:szCs w:val="32"/>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basedOn w:val="37"/>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paragraph" w:customStyle="1" w:styleId="49">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0">
    <w:name w:val="标题 1 Char"/>
    <w:link w:val="3"/>
    <w:qFormat/>
    <w:locked/>
    <w:uiPriority w:val="99"/>
    <w:rPr>
      <w:rFonts w:cs="Times New Roman"/>
      <w:b/>
      <w:bCs/>
      <w:kern w:val="44"/>
      <w:sz w:val="44"/>
      <w:szCs w:val="44"/>
    </w:rPr>
  </w:style>
  <w:style w:type="character" w:customStyle="1" w:styleId="51">
    <w:name w:val="标题 2 Char"/>
    <w:link w:val="4"/>
    <w:semiHidden/>
    <w:qFormat/>
    <w:locked/>
    <w:uiPriority w:val="99"/>
    <w:rPr>
      <w:rFonts w:ascii="Cambria" w:hAnsi="Cambria" w:eastAsia="宋体" w:cs="黑体"/>
      <w:b/>
      <w:bCs/>
      <w:sz w:val="32"/>
      <w:szCs w:val="32"/>
    </w:rPr>
  </w:style>
  <w:style w:type="character" w:customStyle="1" w:styleId="52">
    <w:name w:val="标题 3 Char"/>
    <w:link w:val="5"/>
    <w:semiHidden/>
    <w:qFormat/>
    <w:locked/>
    <w:uiPriority w:val="99"/>
    <w:rPr>
      <w:rFonts w:cs="Times New Roman"/>
      <w:b/>
      <w:bCs/>
      <w:sz w:val="32"/>
      <w:szCs w:val="32"/>
    </w:rPr>
  </w:style>
  <w:style w:type="character" w:customStyle="1" w:styleId="53">
    <w:name w:val="标题 4 Char"/>
    <w:link w:val="6"/>
    <w:semiHidden/>
    <w:qFormat/>
    <w:locked/>
    <w:uiPriority w:val="99"/>
    <w:rPr>
      <w:rFonts w:ascii="Cambria" w:hAnsi="Cambria" w:eastAsia="宋体" w:cs="黑体"/>
      <w:b/>
      <w:bCs/>
      <w:sz w:val="28"/>
      <w:szCs w:val="28"/>
    </w:rPr>
  </w:style>
  <w:style w:type="character" w:customStyle="1" w:styleId="54">
    <w:name w:val="标题 5 Char"/>
    <w:link w:val="7"/>
    <w:semiHidden/>
    <w:qFormat/>
    <w:locked/>
    <w:uiPriority w:val="99"/>
    <w:rPr>
      <w:rFonts w:cs="Times New Roman"/>
      <w:b/>
      <w:bCs/>
      <w:sz w:val="28"/>
      <w:szCs w:val="28"/>
    </w:rPr>
  </w:style>
  <w:style w:type="character" w:customStyle="1" w:styleId="55">
    <w:name w:val="标题 6 Char"/>
    <w:link w:val="8"/>
    <w:semiHidden/>
    <w:qFormat/>
    <w:locked/>
    <w:uiPriority w:val="99"/>
    <w:rPr>
      <w:rFonts w:ascii="Cambria" w:hAnsi="Cambria" w:eastAsia="宋体" w:cs="黑体"/>
      <w:b/>
      <w:bCs/>
      <w:sz w:val="24"/>
      <w:szCs w:val="24"/>
    </w:rPr>
  </w:style>
  <w:style w:type="character" w:customStyle="1" w:styleId="56">
    <w:name w:val="标题 7 Char"/>
    <w:link w:val="9"/>
    <w:semiHidden/>
    <w:qFormat/>
    <w:locked/>
    <w:uiPriority w:val="99"/>
    <w:rPr>
      <w:rFonts w:cs="Times New Roman"/>
      <w:b/>
      <w:bCs/>
      <w:sz w:val="24"/>
      <w:szCs w:val="24"/>
    </w:rPr>
  </w:style>
  <w:style w:type="character" w:customStyle="1" w:styleId="57">
    <w:name w:val="标题 8 Char"/>
    <w:link w:val="10"/>
    <w:semiHidden/>
    <w:qFormat/>
    <w:locked/>
    <w:uiPriority w:val="99"/>
    <w:rPr>
      <w:rFonts w:ascii="Cambria" w:hAnsi="Cambria" w:eastAsia="宋体" w:cs="黑体"/>
      <w:sz w:val="24"/>
      <w:szCs w:val="24"/>
    </w:rPr>
  </w:style>
  <w:style w:type="character" w:customStyle="1" w:styleId="58">
    <w:name w:val="标题 9 Char"/>
    <w:link w:val="11"/>
    <w:semiHidden/>
    <w:qFormat/>
    <w:locked/>
    <w:uiPriority w:val="99"/>
    <w:rPr>
      <w:rFonts w:ascii="Cambria" w:hAnsi="Cambria" w:eastAsia="宋体" w:cs="黑体"/>
      <w:sz w:val="21"/>
      <w:szCs w:val="21"/>
    </w:rPr>
  </w:style>
  <w:style w:type="character" w:customStyle="1" w:styleId="59">
    <w:name w:val="注释标题 Char"/>
    <w:link w:val="12"/>
    <w:semiHidden/>
    <w:qFormat/>
    <w:locked/>
    <w:uiPriority w:val="99"/>
    <w:rPr>
      <w:rFonts w:cs="Times New Roman"/>
      <w:sz w:val="24"/>
      <w:szCs w:val="24"/>
    </w:rPr>
  </w:style>
  <w:style w:type="character" w:customStyle="1" w:styleId="60">
    <w:name w:val="文档结构图 Char"/>
    <w:link w:val="15"/>
    <w:semiHidden/>
    <w:qFormat/>
    <w:locked/>
    <w:uiPriority w:val="99"/>
    <w:rPr>
      <w:rFonts w:ascii="宋体" w:cs="Times New Roman"/>
      <w:kern w:val="2"/>
      <w:sz w:val="18"/>
      <w:szCs w:val="18"/>
    </w:rPr>
  </w:style>
  <w:style w:type="character" w:customStyle="1" w:styleId="61">
    <w:name w:val="正文文本 Char"/>
    <w:link w:val="17"/>
    <w:semiHidden/>
    <w:qFormat/>
    <w:locked/>
    <w:uiPriority w:val="99"/>
    <w:rPr>
      <w:rFonts w:cs="Times New Roman"/>
      <w:sz w:val="24"/>
      <w:szCs w:val="24"/>
    </w:rPr>
  </w:style>
  <w:style w:type="character" w:customStyle="1" w:styleId="62">
    <w:name w:val="正文文本缩进 Char"/>
    <w:link w:val="19"/>
    <w:semiHidden/>
    <w:qFormat/>
    <w:locked/>
    <w:uiPriority w:val="99"/>
    <w:rPr>
      <w:rFonts w:cs="Times New Roman"/>
      <w:sz w:val="24"/>
      <w:szCs w:val="24"/>
    </w:rPr>
  </w:style>
  <w:style w:type="character" w:customStyle="1" w:styleId="63">
    <w:name w:val="纯文本 Char"/>
    <w:link w:val="21"/>
    <w:semiHidden/>
    <w:qFormat/>
    <w:locked/>
    <w:uiPriority w:val="99"/>
    <w:rPr>
      <w:rFonts w:ascii="宋体" w:hAnsi="Courier New" w:cs="Courier New"/>
      <w:sz w:val="21"/>
      <w:szCs w:val="21"/>
    </w:rPr>
  </w:style>
  <w:style w:type="character" w:customStyle="1" w:styleId="64">
    <w:name w:val="日期 Char"/>
    <w:link w:val="22"/>
    <w:semiHidden/>
    <w:qFormat/>
    <w:locked/>
    <w:uiPriority w:val="99"/>
    <w:rPr>
      <w:rFonts w:cs="Times New Roman"/>
      <w:sz w:val="24"/>
      <w:szCs w:val="24"/>
    </w:rPr>
  </w:style>
  <w:style w:type="character" w:customStyle="1" w:styleId="65">
    <w:name w:val="正文文本缩进 2 Char"/>
    <w:link w:val="23"/>
    <w:semiHidden/>
    <w:qFormat/>
    <w:locked/>
    <w:uiPriority w:val="99"/>
    <w:rPr>
      <w:rFonts w:cs="Times New Roman"/>
      <w:sz w:val="24"/>
      <w:szCs w:val="24"/>
    </w:rPr>
  </w:style>
  <w:style w:type="character" w:customStyle="1" w:styleId="66">
    <w:name w:val="批注框文本 Char"/>
    <w:link w:val="24"/>
    <w:semiHidden/>
    <w:qFormat/>
    <w:locked/>
    <w:uiPriority w:val="99"/>
    <w:rPr>
      <w:rFonts w:cs="Times New Roman"/>
      <w:sz w:val="16"/>
      <w:szCs w:val="16"/>
    </w:rPr>
  </w:style>
  <w:style w:type="character" w:customStyle="1" w:styleId="67">
    <w:name w:val="页脚 Char"/>
    <w:link w:val="25"/>
    <w:semiHidden/>
    <w:qFormat/>
    <w:locked/>
    <w:uiPriority w:val="99"/>
    <w:rPr>
      <w:rFonts w:cs="Times New Roman"/>
      <w:sz w:val="18"/>
      <w:szCs w:val="18"/>
    </w:rPr>
  </w:style>
  <w:style w:type="character" w:customStyle="1" w:styleId="68">
    <w:name w:val="页眉 Char"/>
    <w:link w:val="26"/>
    <w:semiHidden/>
    <w:qFormat/>
    <w:locked/>
    <w:uiPriority w:val="99"/>
    <w:rPr>
      <w:rFonts w:cs="Times New Roman"/>
      <w:sz w:val="18"/>
      <w:szCs w:val="18"/>
    </w:rPr>
  </w:style>
  <w:style w:type="character" w:customStyle="1" w:styleId="69">
    <w:name w:val="正文文本缩进 3 Char"/>
    <w:link w:val="29"/>
    <w:semiHidden/>
    <w:qFormat/>
    <w:locked/>
    <w:uiPriority w:val="99"/>
    <w:rPr>
      <w:rFonts w:cs="Times New Roman"/>
      <w:sz w:val="16"/>
      <w:szCs w:val="16"/>
    </w:rPr>
  </w:style>
  <w:style w:type="character" w:customStyle="1" w:styleId="70">
    <w:name w:val="标题 Char"/>
    <w:link w:val="34"/>
    <w:qFormat/>
    <w:locked/>
    <w:uiPriority w:val="99"/>
    <w:rPr>
      <w:rFonts w:ascii="Cambria" w:hAnsi="Cambria" w:cs="Times New Roman"/>
      <w:b/>
      <w:bCs/>
      <w:kern w:val="2"/>
      <w:sz w:val="32"/>
      <w:szCs w:val="32"/>
    </w:rPr>
  </w:style>
  <w:style w:type="paragraph" w:customStyle="1" w:styleId="71">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2">
    <w:name w:val="表中"/>
    <w:basedOn w:val="1"/>
    <w:qFormat/>
    <w:uiPriority w:val="99"/>
    <w:pPr>
      <w:adjustRightInd w:val="0"/>
      <w:snapToGrid w:val="0"/>
      <w:spacing w:line="420" w:lineRule="atLeast"/>
      <w:jc w:val="center"/>
      <w:textAlignment w:val="baseline"/>
    </w:pPr>
    <w:rPr>
      <w:kern w:val="0"/>
      <w:szCs w:val="20"/>
    </w:rPr>
  </w:style>
  <w:style w:type="paragraph" w:customStyle="1" w:styleId="73">
    <w:name w:val="样式1"/>
    <w:basedOn w:val="1"/>
    <w:qFormat/>
    <w:uiPriority w:val="99"/>
    <w:pPr>
      <w:tabs>
        <w:tab w:val="left" w:pos="360"/>
      </w:tabs>
    </w:pPr>
  </w:style>
  <w:style w:type="paragraph" w:customStyle="1" w:styleId="74">
    <w:name w:val="附件正文"/>
    <w:basedOn w:val="1"/>
    <w:qFormat/>
    <w:uiPriority w:val="99"/>
    <w:pPr>
      <w:snapToGrid w:val="0"/>
    </w:pPr>
    <w:rPr>
      <w:kern w:val="0"/>
      <w:sz w:val="24"/>
    </w:rPr>
  </w:style>
  <w:style w:type="paragraph" w:customStyle="1" w:styleId="75">
    <w:name w:val="列出段落1"/>
    <w:basedOn w:val="1"/>
    <w:qFormat/>
    <w:uiPriority w:val="99"/>
    <w:pPr>
      <w:ind w:firstLine="420" w:firstLineChars="200"/>
    </w:pPr>
  </w:style>
  <w:style w:type="paragraph" w:customStyle="1" w:styleId="76">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7">
    <w:name w:val="注"/>
    <w:basedOn w:val="1"/>
    <w:qFormat/>
    <w:uiPriority w:val="99"/>
    <w:pPr>
      <w:adjustRightInd w:val="0"/>
      <w:spacing w:line="420" w:lineRule="atLeast"/>
      <w:ind w:firstLine="340"/>
      <w:textAlignment w:val="baseline"/>
    </w:pPr>
    <w:rPr>
      <w:kern w:val="0"/>
      <w:sz w:val="18"/>
      <w:szCs w:val="20"/>
    </w:rPr>
  </w:style>
  <w:style w:type="paragraph" w:customStyle="1" w:styleId="78">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9">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80">
    <w:name w:val="标题4"/>
    <w:basedOn w:val="1"/>
    <w:qFormat/>
    <w:uiPriority w:val="99"/>
    <w:pPr>
      <w:spacing w:beforeLines="100" w:afterLines="100" w:line="360" w:lineRule="auto"/>
    </w:pPr>
    <w:rPr>
      <w:sz w:val="28"/>
    </w:rPr>
  </w:style>
  <w:style w:type="paragraph" w:customStyle="1" w:styleId="81">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2">
    <w:name w:val="列出段落2"/>
    <w:basedOn w:val="1"/>
    <w:qFormat/>
    <w:uiPriority w:val="99"/>
    <w:pPr>
      <w:ind w:firstLine="420" w:firstLineChars="200"/>
    </w:pPr>
    <w:rPr>
      <w:rFonts w:ascii="Calibri" w:hAnsi="Calibri"/>
      <w:szCs w:val="22"/>
    </w:rPr>
  </w:style>
  <w:style w:type="paragraph" w:customStyle="1" w:styleId="83">
    <w:name w:val="列出段落3"/>
    <w:basedOn w:val="1"/>
    <w:qFormat/>
    <w:uiPriority w:val="99"/>
    <w:pPr>
      <w:ind w:firstLine="420" w:firstLineChars="200"/>
    </w:pPr>
    <w:rPr>
      <w:rFonts w:ascii="Calibri" w:hAnsi="Calibri"/>
      <w:szCs w:val="22"/>
    </w:rPr>
  </w:style>
  <w:style w:type="paragraph" w:customStyle="1" w:styleId="84">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5">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6">
    <w:name w:val="font7"/>
    <w:basedOn w:val="1"/>
    <w:qFormat/>
    <w:uiPriority w:val="99"/>
    <w:pPr>
      <w:widowControl/>
      <w:spacing w:before="100" w:beforeAutospacing="1" w:after="100" w:afterAutospacing="1"/>
      <w:jc w:val="left"/>
    </w:pPr>
    <w:rPr>
      <w:kern w:val="0"/>
      <w:sz w:val="20"/>
      <w:szCs w:val="20"/>
    </w:rPr>
  </w:style>
  <w:style w:type="paragraph" w:customStyle="1" w:styleId="87">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8">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9">
    <w:name w:val="font10"/>
    <w:basedOn w:val="1"/>
    <w:qFormat/>
    <w:uiPriority w:val="99"/>
    <w:pPr>
      <w:widowControl/>
      <w:spacing w:before="100" w:beforeAutospacing="1" w:after="100" w:afterAutospacing="1"/>
      <w:jc w:val="left"/>
    </w:pPr>
    <w:rPr>
      <w:kern w:val="0"/>
      <w:szCs w:val="21"/>
    </w:rPr>
  </w:style>
  <w:style w:type="paragraph" w:customStyle="1" w:styleId="90">
    <w:name w:val="font11"/>
    <w:basedOn w:val="1"/>
    <w:qFormat/>
    <w:uiPriority w:val="99"/>
    <w:pPr>
      <w:widowControl/>
      <w:spacing w:before="100" w:beforeAutospacing="1" w:after="100" w:afterAutospacing="1"/>
      <w:jc w:val="left"/>
    </w:pPr>
    <w:rPr>
      <w:kern w:val="0"/>
      <w:sz w:val="22"/>
      <w:szCs w:val="22"/>
    </w:rPr>
  </w:style>
  <w:style w:type="paragraph" w:customStyle="1" w:styleId="91">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2">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3">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4">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5">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6">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7">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1">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3">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4">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5">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8">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0">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1">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2">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5">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6">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0">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1">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6">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7">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8">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9">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2">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9">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0">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1">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5">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5">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6">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7">
    <w:name w:val="Char Char Char"/>
    <w:qFormat/>
    <w:uiPriority w:val="99"/>
    <w:rPr>
      <w:rFonts w:ascii="Arial" w:hAnsi="Arial" w:eastAsia="宋体" w:cs="Times New Roman"/>
      <w:b/>
      <w:bCs/>
      <w:kern w:val="2"/>
      <w:sz w:val="32"/>
      <w:szCs w:val="32"/>
      <w:lang w:val="en-US" w:eastAsia="zh-CN" w:bidi="ar-SA"/>
    </w:rPr>
  </w:style>
  <w:style w:type="character" w:customStyle="1" w:styleId="178">
    <w:name w:val="Char Char1"/>
    <w:qFormat/>
    <w:uiPriority w:val="99"/>
    <w:rPr>
      <w:rFonts w:eastAsia="宋体" w:cs="Times New Roman"/>
      <w:b/>
      <w:bCs/>
      <w:kern w:val="44"/>
      <w:sz w:val="44"/>
      <w:szCs w:val="44"/>
      <w:lang w:val="en-US" w:eastAsia="zh-CN" w:bidi="ar-SA"/>
    </w:rPr>
  </w:style>
  <w:style w:type="character" w:customStyle="1" w:styleId="179">
    <w:name w:val="标题 2 Char Char"/>
    <w:qFormat/>
    <w:uiPriority w:val="99"/>
    <w:rPr>
      <w:rFonts w:ascii="Arial" w:hAnsi="Arial" w:eastAsia="宋体" w:cs="Times New Roman"/>
      <w:b/>
      <w:bCs/>
      <w:kern w:val="2"/>
      <w:sz w:val="32"/>
      <w:szCs w:val="32"/>
      <w:lang w:val="en-US" w:eastAsia="zh-CN" w:bidi="ar-SA"/>
    </w:rPr>
  </w:style>
  <w:style w:type="character" w:customStyle="1" w:styleId="180">
    <w:name w:val="unnamed11"/>
    <w:qFormat/>
    <w:uiPriority w:val="99"/>
    <w:rPr>
      <w:rFonts w:cs="Times New Roman"/>
      <w:sz w:val="18"/>
      <w:szCs w:val="18"/>
    </w:rPr>
  </w:style>
  <w:style w:type="character" w:customStyle="1" w:styleId="181">
    <w:name w:val="页码1"/>
    <w:qFormat/>
    <w:uiPriority w:val="99"/>
    <w:rPr>
      <w:rFonts w:cs="Times New Roman"/>
    </w:rPr>
  </w:style>
  <w:style w:type="character" w:customStyle="1" w:styleId="182">
    <w:name w:val="font131"/>
    <w:qFormat/>
    <w:uiPriority w:val="99"/>
    <w:rPr>
      <w:rFonts w:ascii="宋体" w:hAnsi="宋体" w:eastAsia="宋体" w:cs="宋体"/>
      <w:color w:val="000000"/>
      <w:sz w:val="22"/>
      <w:szCs w:val="22"/>
      <w:u w:val="none"/>
    </w:rPr>
  </w:style>
  <w:style w:type="character" w:customStyle="1" w:styleId="183">
    <w:name w:val="font81"/>
    <w:qFormat/>
    <w:uiPriority w:val="99"/>
    <w:rPr>
      <w:rFonts w:ascii="Arial" w:hAnsi="Arial" w:cs="Arial"/>
      <w:color w:val="000000"/>
      <w:sz w:val="22"/>
      <w:szCs w:val="22"/>
      <w:u w:val="none"/>
    </w:rPr>
  </w:style>
  <w:style w:type="character" w:customStyle="1" w:styleId="184">
    <w:name w:val="font91"/>
    <w:qFormat/>
    <w:uiPriority w:val="99"/>
    <w:rPr>
      <w:rFonts w:ascii="宋体" w:hAnsi="宋体" w:eastAsia="宋体" w:cs="宋体"/>
      <w:color w:val="000000"/>
      <w:sz w:val="14"/>
      <w:szCs w:val="14"/>
      <w:u w:val="none"/>
    </w:rPr>
  </w:style>
  <w:style w:type="character" w:customStyle="1" w:styleId="185">
    <w:name w:val="font61"/>
    <w:qFormat/>
    <w:uiPriority w:val="99"/>
    <w:rPr>
      <w:rFonts w:ascii="宋体" w:hAnsi="宋体" w:eastAsia="宋体" w:cs="宋体"/>
      <w:color w:val="000000"/>
      <w:sz w:val="20"/>
      <w:szCs w:val="20"/>
      <w:u w:val="none"/>
    </w:rPr>
  </w:style>
  <w:style w:type="character" w:customStyle="1" w:styleId="186">
    <w:name w:val="font21"/>
    <w:qFormat/>
    <w:uiPriority w:val="99"/>
    <w:rPr>
      <w:rFonts w:ascii="宋体" w:hAnsi="宋体" w:eastAsia="宋体" w:cs="宋体"/>
      <w:color w:val="000000"/>
      <w:sz w:val="16"/>
      <w:szCs w:val="16"/>
      <w:u w:val="none"/>
    </w:rPr>
  </w:style>
  <w:style w:type="character" w:customStyle="1" w:styleId="187">
    <w:name w:val="font31"/>
    <w:qFormat/>
    <w:uiPriority w:val="99"/>
    <w:rPr>
      <w:rFonts w:ascii="Arial" w:hAnsi="Arial" w:cs="Arial"/>
      <w:b/>
      <w:color w:val="000000"/>
      <w:sz w:val="22"/>
      <w:szCs w:val="22"/>
      <w:u w:val="none"/>
    </w:rPr>
  </w:style>
  <w:style w:type="character" w:customStyle="1" w:styleId="188">
    <w:name w:val="font111"/>
    <w:qFormat/>
    <w:uiPriority w:val="99"/>
    <w:rPr>
      <w:rFonts w:ascii="宋体" w:hAnsi="宋体" w:eastAsia="宋体" w:cs="宋体"/>
      <w:b/>
      <w:color w:val="000000"/>
      <w:sz w:val="22"/>
      <w:szCs w:val="22"/>
      <w:u w:val="none"/>
    </w:rPr>
  </w:style>
  <w:style w:type="character" w:customStyle="1" w:styleId="189">
    <w:name w:val="font51"/>
    <w:qFormat/>
    <w:uiPriority w:val="99"/>
    <w:rPr>
      <w:rFonts w:ascii="Arial" w:hAnsi="Arial" w:cs="Arial"/>
      <w:b/>
      <w:color w:val="000000"/>
      <w:sz w:val="20"/>
      <w:szCs w:val="20"/>
      <w:u w:val="none"/>
    </w:rPr>
  </w:style>
  <w:style w:type="character" w:customStyle="1" w:styleId="190">
    <w:name w:val="font101"/>
    <w:qFormat/>
    <w:uiPriority w:val="99"/>
    <w:rPr>
      <w:rFonts w:ascii="宋体" w:hAnsi="宋体" w:eastAsia="宋体" w:cs="宋体"/>
      <w:b/>
      <w:color w:val="000000"/>
      <w:sz w:val="20"/>
      <w:szCs w:val="20"/>
      <w:u w:val="none"/>
    </w:rPr>
  </w:style>
  <w:style w:type="character" w:customStyle="1" w:styleId="191">
    <w:name w:val="font01"/>
    <w:qFormat/>
    <w:uiPriority w:val="99"/>
    <w:rPr>
      <w:rFonts w:ascii="Arial" w:hAnsi="Arial" w:cs="Arial"/>
      <w:color w:val="000000"/>
      <w:sz w:val="20"/>
      <w:szCs w:val="20"/>
      <w:u w:val="none"/>
    </w:rPr>
  </w:style>
  <w:style w:type="character" w:customStyle="1" w:styleId="192">
    <w:name w:val="font41"/>
    <w:qFormat/>
    <w:uiPriority w:val="99"/>
    <w:rPr>
      <w:rFonts w:ascii="微软雅黑" w:hAnsi="微软雅黑" w:eastAsia="微软雅黑" w:cs="微软雅黑"/>
      <w:color w:val="000000"/>
      <w:sz w:val="20"/>
      <w:szCs w:val="20"/>
      <w:u w:val="none"/>
    </w:rPr>
  </w:style>
  <w:style w:type="character" w:customStyle="1" w:styleId="193">
    <w:name w:val="font121"/>
    <w:qFormat/>
    <w:uiPriority w:val="99"/>
    <w:rPr>
      <w:rFonts w:ascii="宋体" w:hAnsi="宋体" w:eastAsia="宋体" w:cs="宋体"/>
      <w:color w:val="000000"/>
      <w:sz w:val="22"/>
      <w:szCs w:val="22"/>
      <w:u w:val="none"/>
    </w:rPr>
  </w:style>
  <w:style w:type="character" w:customStyle="1" w:styleId="194">
    <w:name w:val="font151"/>
    <w:qFormat/>
    <w:uiPriority w:val="99"/>
    <w:rPr>
      <w:rFonts w:ascii="Calibri" w:hAnsi="Calibri" w:cs="Calibri"/>
      <w:color w:val="000000"/>
      <w:sz w:val="20"/>
      <w:szCs w:val="20"/>
      <w:u w:val="none"/>
    </w:rPr>
  </w:style>
  <w:style w:type="character" w:customStyle="1" w:styleId="195">
    <w:name w:val="font141"/>
    <w:qFormat/>
    <w:uiPriority w:val="99"/>
    <w:rPr>
      <w:rFonts w:ascii="Calibri" w:hAnsi="Calibri" w:cs="Calibri"/>
      <w:color w:val="000000"/>
      <w:sz w:val="21"/>
      <w:szCs w:val="21"/>
      <w:u w:val="none"/>
    </w:rPr>
  </w:style>
  <w:style w:type="character" w:customStyle="1" w:styleId="196">
    <w:name w:val="font71"/>
    <w:qFormat/>
    <w:uiPriority w:val="99"/>
    <w:rPr>
      <w:rFonts w:ascii="宋体" w:hAnsi="宋体" w:eastAsia="宋体" w:cs="宋体"/>
      <w:color w:val="000000"/>
      <w:sz w:val="18"/>
      <w:szCs w:val="18"/>
      <w:u w:val="none"/>
    </w:rPr>
  </w:style>
  <w:style w:type="character" w:customStyle="1" w:styleId="197">
    <w:name w:val="l-btn-empty"/>
    <w:basedOn w:val="37"/>
    <w:qFormat/>
    <w:uiPriority w:val="0"/>
  </w:style>
  <w:style w:type="character" w:customStyle="1" w:styleId="198">
    <w:name w:val="l-btn-left2"/>
    <w:basedOn w:val="37"/>
    <w:qFormat/>
    <w:uiPriority w:val="0"/>
  </w:style>
  <w:style w:type="character" w:customStyle="1" w:styleId="199">
    <w:name w:val="l-btn-left3"/>
    <w:basedOn w:val="37"/>
    <w:qFormat/>
    <w:uiPriority w:val="0"/>
  </w:style>
  <w:style w:type="character" w:customStyle="1" w:styleId="200">
    <w:name w:val="l-btn-left4"/>
    <w:basedOn w:val="37"/>
    <w:qFormat/>
    <w:uiPriority w:val="0"/>
  </w:style>
  <w:style w:type="character" w:customStyle="1" w:styleId="201">
    <w:name w:val="l-btn-left5"/>
    <w:basedOn w:val="37"/>
    <w:qFormat/>
    <w:uiPriority w:val="0"/>
  </w:style>
  <w:style w:type="character" w:customStyle="1" w:styleId="202">
    <w:name w:val="l-btn-text"/>
    <w:basedOn w:val="37"/>
    <w:qFormat/>
    <w:uiPriority w:val="0"/>
  </w:style>
  <w:style w:type="character" w:customStyle="1" w:styleId="203">
    <w:name w:val="l-selected2"/>
    <w:qFormat/>
    <w:uiPriority w:val="0"/>
    <w:rPr>
      <w:color w:val="355686"/>
      <w:bdr w:val="single" w:color="DAB364" w:sz="6" w:space="0"/>
      <w:shd w:val="clear" w:color="auto" w:fill="FFFFFF"/>
    </w:rPr>
  </w:style>
  <w:style w:type="character" w:customStyle="1" w:styleId="204">
    <w:name w:val="l-open"/>
    <w:basedOn w:val="37"/>
    <w:qFormat/>
    <w:uiPriority w:val="0"/>
  </w:style>
  <w:style w:type="character" w:customStyle="1" w:styleId="205">
    <w:name w:val="l-over"/>
    <w:qFormat/>
    <w:uiPriority w:val="0"/>
    <w:rPr>
      <w:bdr w:val="single" w:color="DAB364" w:sz="6" w:space="0"/>
    </w:rPr>
  </w:style>
  <w:style w:type="character" w:customStyle="1" w:styleId="206">
    <w:name w:val="l-selected"/>
    <w:qFormat/>
    <w:uiPriority w:val="0"/>
    <w:rPr>
      <w:color w:val="355686"/>
      <w:bdr w:val="single" w:color="DAB364" w:sz="6" w:space="0"/>
      <w:shd w:val="clear" w:color="auto" w:fill="FFFFFF"/>
    </w:rPr>
  </w:style>
  <w:style w:type="character" w:customStyle="1" w:styleId="207">
    <w:name w:val="l-btn-left"/>
    <w:basedOn w:val="37"/>
    <w:qFormat/>
    <w:uiPriority w:val="0"/>
  </w:style>
  <w:style w:type="character" w:customStyle="1" w:styleId="208">
    <w:name w:val="l-btn-left1"/>
    <w:basedOn w:val="37"/>
    <w:qFormat/>
    <w:uiPriority w:val="0"/>
  </w:style>
  <w:style w:type="paragraph" w:customStyle="1" w:styleId="20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0">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1">
    <w:name w:val="样式3"/>
    <w:basedOn w:val="21"/>
    <w:qFormat/>
    <w:uiPriority w:val="0"/>
    <w:pPr>
      <w:spacing w:line="0" w:lineRule="atLeast"/>
      <w:outlineLvl w:val="0"/>
    </w:pPr>
    <w:rPr>
      <w:rFonts w:ascii="Times New Roman" w:hAnsi="Times New Roman"/>
      <w:sz w:val="28"/>
    </w:rPr>
  </w:style>
  <w:style w:type="paragraph" w:customStyle="1" w:styleId="212">
    <w:name w:val="列出段落4"/>
    <w:basedOn w:val="1"/>
    <w:qFormat/>
    <w:uiPriority w:val="34"/>
    <w:pPr>
      <w:ind w:firstLine="420" w:firstLineChars="200"/>
    </w:pPr>
  </w:style>
  <w:style w:type="character" w:customStyle="1" w:styleId="213">
    <w:name w:val="tcolor4"/>
    <w:qFormat/>
    <w:uiPriority w:val="0"/>
    <w:rPr>
      <w:rFonts w:ascii="lucida grande" w:hAnsi="lucida grande" w:eastAsia="lucida grande" w:cs="lucida grande"/>
      <w:color w:val="7F7F7F"/>
      <w:sz w:val="18"/>
      <w:szCs w:val="18"/>
    </w:rPr>
  </w:style>
  <w:style w:type="character" w:customStyle="1" w:styleId="214">
    <w:name w:val="apple-style-span"/>
    <w:qFormat/>
    <w:uiPriority w:val="0"/>
    <w:rPr>
      <w:rFonts w:cs="Times New Roman"/>
    </w:rPr>
  </w:style>
  <w:style w:type="paragraph" w:customStyle="1" w:styleId="215">
    <w:name w:val="_Style 1"/>
    <w:basedOn w:val="1"/>
    <w:qFormat/>
    <w:uiPriority w:val="0"/>
    <w:pPr>
      <w:ind w:firstLine="420" w:firstLineChars="200"/>
    </w:pPr>
    <w:rPr>
      <w:szCs w:val="22"/>
    </w:rPr>
  </w:style>
  <w:style w:type="character" w:customStyle="1" w:styleId="216">
    <w:name w:val="fontstyle21"/>
    <w:qFormat/>
    <w:uiPriority w:val="0"/>
    <w:rPr>
      <w:rFonts w:ascii="TimesNewRomanPSMT" w:hAnsi="TimesNewRomanPSMT" w:eastAsia="TimesNewRomanPSMT" w:cs="TimesNewRomanPSMT"/>
      <w:color w:val="000000"/>
      <w:sz w:val="18"/>
      <w:szCs w:val="18"/>
    </w:rPr>
  </w:style>
  <w:style w:type="character" w:customStyle="1" w:styleId="217">
    <w:name w:val="fontstyle01"/>
    <w:qFormat/>
    <w:uiPriority w:val="0"/>
    <w:rPr>
      <w:rFonts w:hint="eastAsia" w:ascii="宋体" w:hAnsi="宋体" w:eastAsia="宋体" w:cs="宋体"/>
      <w:color w:val="000000"/>
      <w:sz w:val="24"/>
      <w:szCs w:val="24"/>
    </w:rPr>
  </w:style>
  <w:style w:type="paragraph" w:customStyle="1" w:styleId="218">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9">
    <w:name w:val="标准段落正文"/>
    <w:basedOn w:val="220"/>
    <w:qFormat/>
    <w:uiPriority w:val="0"/>
    <w:pPr>
      <w:spacing w:beforeLines="0" w:afterLines="0"/>
      <w:ind w:left="0" w:leftChars="0" w:firstLine="480" w:firstLineChars="200"/>
      <w:jc w:val="left"/>
    </w:pPr>
    <w:rPr>
      <w:rFonts w:eastAsia="宋体"/>
    </w:rPr>
  </w:style>
  <w:style w:type="paragraph" w:customStyle="1" w:styleId="220">
    <w:name w:val="单括号小标题"/>
    <w:basedOn w:val="1"/>
    <w:qFormat/>
    <w:uiPriority w:val="0"/>
    <w:pPr>
      <w:spacing w:beforeLines="50" w:afterLines="100" w:line="360" w:lineRule="auto"/>
      <w:ind w:left="200" w:leftChars="200"/>
    </w:pPr>
    <w:rPr>
      <w:rFonts w:eastAsia="黑体"/>
      <w:sz w:val="24"/>
    </w:rPr>
  </w:style>
  <w:style w:type="paragraph" w:styleId="221">
    <w:name w:val="List Paragraph"/>
    <w:basedOn w:val="1"/>
    <w:qFormat/>
    <w:uiPriority w:val="34"/>
    <w:pPr>
      <w:ind w:firstLine="420" w:firstLineChars="200"/>
    </w:pPr>
  </w:style>
  <w:style w:type="paragraph" w:customStyle="1" w:styleId="222">
    <w:name w:val="Table Paragraph"/>
    <w:basedOn w:val="1"/>
    <w:qFormat/>
    <w:uiPriority w:val="1"/>
    <w:rPr>
      <w:rFonts w:ascii="宋体" w:hAnsi="宋体" w:cs="宋体"/>
    </w:rPr>
  </w:style>
  <w:style w:type="paragraph" w:customStyle="1" w:styleId="223">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4">
    <w:name w:val="add"/>
    <w:basedOn w:val="37"/>
    <w:qFormat/>
    <w:uiPriority w:val="0"/>
  </w:style>
  <w:style w:type="character" w:customStyle="1" w:styleId="225">
    <w:name w:val="hover9"/>
    <w:basedOn w:val="37"/>
    <w:qFormat/>
    <w:uiPriority w:val="0"/>
    <w:rPr>
      <w:color w:val="FF0000"/>
    </w:rPr>
  </w:style>
  <w:style w:type="character" w:customStyle="1" w:styleId="226">
    <w:name w:val="orange"/>
    <w:basedOn w:val="37"/>
    <w:qFormat/>
    <w:uiPriority w:val="0"/>
    <w:rPr>
      <w:color w:val="FF851A"/>
    </w:rPr>
  </w:style>
  <w:style w:type="character" w:customStyle="1" w:styleId="227">
    <w:name w:val="tradclose"/>
    <w:basedOn w:val="37"/>
    <w:qFormat/>
    <w:uiPriority w:val="0"/>
    <w:rPr>
      <w:sz w:val="30"/>
      <w:szCs w:val="30"/>
    </w:rPr>
  </w:style>
  <w:style w:type="character" w:customStyle="1" w:styleId="228">
    <w:name w:val="hover7"/>
    <w:basedOn w:val="37"/>
    <w:qFormat/>
    <w:uiPriority w:val="0"/>
    <w:rPr>
      <w:color w:val="FF0000"/>
    </w:rPr>
  </w:style>
  <w:style w:type="paragraph" w:customStyle="1" w:styleId="229">
    <w:name w:val="标题 2_0"/>
    <w:basedOn w:val="230"/>
    <w:next w:val="230"/>
    <w:qFormat/>
    <w:uiPriority w:val="0"/>
    <w:pPr>
      <w:keepNext/>
      <w:keepLines/>
      <w:spacing w:before="260" w:after="260" w:line="415" w:lineRule="auto"/>
      <w:outlineLvl w:val="1"/>
    </w:pPr>
    <w:rPr>
      <w:rFonts w:ascii="Cambria" w:hAnsi="Cambria"/>
      <w:b/>
      <w:bCs/>
      <w:kern w:val="0"/>
      <w:sz w:val="32"/>
      <w:szCs w:val="32"/>
    </w:rPr>
  </w:style>
  <w:style w:type="paragraph" w:customStyle="1" w:styleId="230">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108" textRotate="1"/>
    <customShpInfo spid="_x0000_s4109" textRotate="1"/>
    <customShpInfo spid="_x0000_s4097"/>
    <customShpInfo spid="_x0000_s4110" textRotate="1"/>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2</TotalTime>
  <ScaleCrop>false</ScaleCrop>
  <LinksUpToDate>false</LinksUpToDate>
  <CharactersWithSpaces>36057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2022-03-02T08:13:16Z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762AC8ED8C7F46DBBCB6FFDB99A947F2</vt:lpwstr>
  </property>
</Properties>
</file>