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cs="宋体"/>
          <w:b/>
          <w:kern w:val="0"/>
          <w:sz w:val="44"/>
          <w:szCs w:val="44"/>
          <w:highlight w:val="none"/>
        </w:rPr>
      </w:pPr>
      <w:bookmarkStart w:id="0" w:name="_Toc185307727"/>
    </w:p>
    <w:p>
      <w:pPr>
        <w:spacing w:line="360" w:lineRule="auto"/>
        <w:jc w:val="center"/>
        <w:rPr>
          <w:rFonts w:hint="eastAsia" w:ascii="宋体" w:hAnsi="宋体" w:cs="宋体"/>
          <w:b/>
          <w:kern w:val="0"/>
          <w:sz w:val="48"/>
          <w:szCs w:val="48"/>
          <w:highlight w:val="none"/>
          <w:lang w:val="en-US" w:eastAsia="zh-CN"/>
        </w:rPr>
      </w:pPr>
    </w:p>
    <w:p>
      <w:pPr>
        <w:spacing w:line="360" w:lineRule="auto"/>
        <w:jc w:val="center"/>
        <w:rPr>
          <w:rFonts w:hint="eastAsia" w:ascii="宋体" w:hAnsi="宋体" w:cs="宋体"/>
          <w:b/>
          <w:kern w:val="0"/>
          <w:sz w:val="48"/>
          <w:szCs w:val="48"/>
          <w:highlight w:val="none"/>
          <w:lang w:val="en-US" w:eastAsia="zh-CN"/>
        </w:rPr>
      </w:pPr>
    </w:p>
    <w:p>
      <w:pPr>
        <w:spacing w:line="271"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甘肃省第二人民医</w:t>
      </w:r>
      <w:r>
        <w:rPr>
          <w:rFonts w:hint="eastAsia" w:ascii="宋体" w:hAnsi="宋体" w:eastAsia="宋体" w:cs="宋体"/>
          <w:b/>
          <w:bCs/>
          <w:sz w:val="72"/>
          <w:szCs w:val="72"/>
          <w:highlight w:val="none"/>
          <w:lang w:val="en-US" w:eastAsia="zh-CN"/>
        </w:rPr>
        <w:t>院</w:t>
      </w:r>
      <w:r>
        <w:rPr>
          <w:rFonts w:hint="eastAsia" w:ascii="宋体" w:hAnsi="宋体" w:cs="宋体"/>
          <w:b/>
          <w:bCs/>
          <w:sz w:val="72"/>
          <w:szCs w:val="72"/>
          <w:highlight w:val="none"/>
          <w:lang w:val="en-US" w:eastAsia="zh-CN"/>
        </w:rPr>
        <w:t>金属浴、移液器、分光光度计、冰箱</w:t>
      </w:r>
      <w:r>
        <w:rPr>
          <w:rFonts w:hint="eastAsia" w:ascii="宋体" w:hAnsi="宋体" w:eastAsia="宋体" w:cs="宋体"/>
          <w:b/>
          <w:bCs/>
          <w:sz w:val="72"/>
          <w:szCs w:val="72"/>
          <w:highlight w:val="none"/>
        </w:rPr>
        <w:t>采购项目</w:t>
      </w:r>
    </w:p>
    <w:p>
      <w:pPr>
        <w:spacing w:line="271" w:lineRule="auto"/>
        <w:rPr>
          <w:rFonts w:hint="eastAsia" w:ascii="宋体" w:hAnsi="宋体" w:eastAsia="宋体" w:cs="宋体"/>
          <w:sz w:val="21"/>
          <w:highlight w:val="none"/>
        </w:rPr>
      </w:pPr>
    </w:p>
    <w:p>
      <w:pPr>
        <w:rPr>
          <w:rFonts w:hint="eastAsia" w:eastAsia="宋体"/>
          <w:highlight w:val="none"/>
          <w:lang w:val="en-US" w:eastAsia="zh-CN"/>
        </w:rPr>
      </w:pPr>
    </w:p>
    <w:p>
      <w:pPr>
        <w:pStyle w:val="37"/>
        <w:ind w:left="0" w:leftChars="0" w:firstLine="0" w:firstLineChars="0"/>
        <w:rPr>
          <w:rFonts w:ascii="宋体" w:hAnsi="宋体" w:cs="宋体"/>
          <w:b/>
          <w:sz w:val="52"/>
          <w:szCs w:val="52"/>
          <w:highlight w:val="none"/>
        </w:rPr>
      </w:pPr>
    </w:p>
    <w:p>
      <w:pPr>
        <w:pStyle w:val="37"/>
        <w:ind w:left="0" w:leftChars="0" w:firstLine="0" w:firstLineChars="0"/>
        <w:rPr>
          <w:rFonts w:ascii="宋体" w:hAnsi="宋体" w:cs="宋体"/>
          <w:b/>
          <w:sz w:val="52"/>
          <w:szCs w:val="52"/>
          <w:highlight w:val="none"/>
        </w:rPr>
      </w:pPr>
    </w:p>
    <w:p>
      <w:pPr>
        <w:pStyle w:val="37"/>
        <w:ind w:left="0" w:leftChars="0" w:firstLine="0" w:firstLineChars="0"/>
        <w:rPr>
          <w:rFonts w:ascii="宋体" w:hAnsi="宋体" w:cs="宋体"/>
          <w:b/>
          <w:sz w:val="52"/>
          <w:szCs w:val="52"/>
          <w:highlight w:val="none"/>
        </w:rPr>
      </w:pPr>
    </w:p>
    <w:p>
      <w:pPr>
        <w:spacing w:line="360" w:lineRule="auto"/>
        <w:jc w:val="center"/>
        <w:rPr>
          <w:rFonts w:ascii="宋体" w:hAnsi="宋体" w:cs="宋体"/>
          <w:b/>
          <w:sz w:val="30"/>
          <w:szCs w:val="30"/>
          <w:highlight w:val="none"/>
        </w:rPr>
      </w:pPr>
      <w:r>
        <w:rPr>
          <w:rFonts w:hint="eastAsia" w:ascii="宋体" w:hAnsi="宋体" w:cs="宋体"/>
          <w:b/>
          <w:sz w:val="72"/>
          <w:highlight w:val="none"/>
        </w:rPr>
        <w:t>招标文件</w:t>
      </w:r>
    </w:p>
    <w:p>
      <w:pPr>
        <w:spacing w:line="360" w:lineRule="auto"/>
        <w:jc w:val="center"/>
        <w:rPr>
          <w:rFonts w:hint="default" w:ascii="宋体" w:hAnsi="宋体" w:eastAsia="宋体" w:cs="宋体"/>
          <w:b/>
          <w:sz w:val="52"/>
          <w:szCs w:val="52"/>
          <w:highlight w:val="none"/>
          <w:lang w:val="en-US" w:eastAsia="zh-CN"/>
        </w:rPr>
      </w:pPr>
      <w:r>
        <w:rPr>
          <w:rFonts w:hint="eastAsia" w:ascii="宋体" w:hAnsi="宋体" w:cs="宋体"/>
          <w:b/>
          <w:sz w:val="30"/>
          <w:szCs w:val="30"/>
          <w:highlight w:val="none"/>
        </w:rPr>
        <w:t>招标编号：SEY-202</w:t>
      </w:r>
      <w:r>
        <w:rPr>
          <w:rFonts w:hint="eastAsia" w:ascii="宋体" w:hAnsi="宋体" w:cs="宋体"/>
          <w:b/>
          <w:sz w:val="30"/>
          <w:szCs w:val="30"/>
          <w:highlight w:val="none"/>
          <w:lang w:val="en-US" w:eastAsia="zh-CN"/>
        </w:rPr>
        <w:t>3</w:t>
      </w:r>
      <w:r>
        <w:rPr>
          <w:rFonts w:hint="eastAsia" w:ascii="宋体" w:hAnsi="宋体" w:cs="宋体"/>
          <w:b/>
          <w:sz w:val="30"/>
          <w:szCs w:val="30"/>
          <w:highlight w:val="none"/>
        </w:rPr>
        <w:t>YNCG-0</w:t>
      </w:r>
      <w:r>
        <w:rPr>
          <w:rFonts w:hint="eastAsia" w:ascii="宋体" w:hAnsi="宋体" w:cs="宋体"/>
          <w:b/>
          <w:sz w:val="30"/>
          <w:szCs w:val="30"/>
          <w:highlight w:val="none"/>
          <w:lang w:val="en-US" w:eastAsia="zh-CN"/>
        </w:rPr>
        <w:t>34</w:t>
      </w:r>
    </w:p>
    <w:p>
      <w:pPr>
        <w:pStyle w:val="30"/>
        <w:rPr>
          <w:highlight w:val="none"/>
        </w:rPr>
      </w:pPr>
    </w:p>
    <w:p>
      <w:pPr>
        <w:spacing w:line="360" w:lineRule="auto"/>
        <w:ind w:firstLine="590" w:firstLineChars="196"/>
        <w:jc w:val="center"/>
        <w:rPr>
          <w:rFonts w:ascii="宋体" w:hAnsi="宋体" w:cs="宋体"/>
          <w:b/>
          <w:sz w:val="30"/>
          <w:szCs w:val="30"/>
          <w:highlight w:val="none"/>
        </w:rPr>
      </w:pPr>
    </w:p>
    <w:p>
      <w:pPr>
        <w:pStyle w:val="30"/>
        <w:rPr>
          <w:highlight w:val="none"/>
        </w:rPr>
      </w:pPr>
    </w:p>
    <w:p>
      <w:pPr>
        <w:rPr>
          <w:highlight w:val="none"/>
        </w:rPr>
      </w:pPr>
    </w:p>
    <w:p>
      <w:pPr>
        <w:pStyle w:val="30"/>
        <w:rPr>
          <w:highlight w:val="none"/>
        </w:rPr>
      </w:pPr>
    </w:p>
    <w:p>
      <w:pPr>
        <w:spacing w:line="360" w:lineRule="auto"/>
        <w:rPr>
          <w:rFonts w:ascii="宋体" w:hAnsi="宋体" w:cs="宋体"/>
          <w:sz w:val="32"/>
          <w:highlight w:val="none"/>
        </w:rPr>
      </w:pPr>
    </w:p>
    <w:p>
      <w:pPr>
        <w:spacing w:line="360" w:lineRule="auto"/>
        <w:ind w:firstLine="2108" w:firstLineChars="700"/>
        <w:rPr>
          <w:rFonts w:ascii="宋体" w:hAnsi="宋体" w:cs="宋体"/>
          <w:b/>
          <w:sz w:val="30"/>
          <w:szCs w:val="30"/>
          <w:highlight w:val="none"/>
        </w:rPr>
      </w:pPr>
      <w:r>
        <w:rPr>
          <w:rFonts w:hint="eastAsia" w:ascii="宋体" w:hAnsi="宋体" w:cs="宋体"/>
          <w:b/>
          <w:sz w:val="30"/>
          <w:szCs w:val="30"/>
          <w:highlight w:val="none"/>
        </w:rPr>
        <w:t>采 购 人：甘肃省第二人民医院</w:t>
      </w:r>
    </w:p>
    <w:p>
      <w:pPr>
        <w:widowControl/>
        <w:spacing w:line="360" w:lineRule="auto"/>
        <w:jc w:val="center"/>
        <w:rPr>
          <w:rFonts w:ascii="宋体" w:hAnsi="宋体" w:cs="宋体"/>
          <w:b/>
          <w:bCs/>
          <w:kern w:val="0"/>
          <w:sz w:val="30"/>
          <w:szCs w:val="30"/>
          <w:highlight w:val="none"/>
        </w:rPr>
        <w:sectPr>
          <w:headerReference r:id="rId4" w:type="first"/>
          <w:footerReference r:id="rId6" w:type="first"/>
          <w:headerReference r:id="rId3" w:type="default"/>
          <w:footerReference r:id="rId5" w:type="default"/>
          <w:pgSz w:w="11906" w:h="16838"/>
          <w:pgMar w:top="1077" w:right="1134" w:bottom="1077" w:left="1418" w:header="720" w:footer="720" w:gutter="0"/>
          <w:pgNumType w:fmt="decimal" w:start="1"/>
          <w:cols w:space="720" w:num="1"/>
          <w:titlePg/>
          <w:docGrid w:type="lines" w:linePitch="312" w:charSpace="0"/>
        </w:sectPr>
      </w:pPr>
      <w:r>
        <w:rPr>
          <w:rFonts w:hint="eastAsia" w:ascii="宋体" w:hAnsi="宋体" w:cs="宋体"/>
          <w:b/>
          <w:bCs/>
          <w:kern w:val="0"/>
          <w:sz w:val="30"/>
          <w:szCs w:val="30"/>
          <w:highlight w:val="none"/>
        </w:rPr>
        <w:t>二〇二</w:t>
      </w:r>
      <w:r>
        <w:rPr>
          <w:rFonts w:hint="eastAsia" w:ascii="宋体" w:hAnsi="宋体" w:cs="宋体"/>
          <w:b/>
          <w:bCs/>
          <w:kern w:val="0"/>
          <w:sz w:val="30"/>
          <w:szCs w:val="30"/>
          <w:highlight w:val="none"/>
          <w:lang w:val="en-US" w:eastAsia="zh-CN"/>
        </w:rPr>
        <w:t>三</w:t>
      </w:r>
      <w:r>
        <w:rPr>
          <w:rFonts w:hint="eastAsia" w:ascii="宋体" w:hAnsi="宋体" w:cs="宋体"/>
          <w:b/>
          <w:bCs/>
          <w:kern w:val="0"/>
          <w:sz w:val="30"/>
          <w:szCs w:val="30"/>
          <w:highlight w:val="none"/>
        </w:rPr>
        <w:t>年</w:t>
      </w:r>
      <w:r>
        <w:rPr>
          <w:rFonts w:hint="eastAsia" w:ascii="宋体" w:hAnsi="宋体" w:cs="宋体"/>
          <w:b/>
          <w:bCs/>
          <w:kern w:val="0"/>
          <w:sz w:val="30"/>
          <w:szCs w:val="30"/>
          <w:highlight w:val="none"/>
          <w:lang w:val="en-US" w:eastAsia="zh-CN"/>
        </w:rPr>
        <w:t>四</w:t>
      </w:r>
      <w:r>
        <w:rPr>
          <w:rFonts w:hint="eastAsia" w:ascii="宋体" w:hAnsi="宋体" w:cs="宋体"/>
          <w:b/>
          <w:bCs/>
          <w:kern w:val="0"/>
          <w:sz w:val="30"/>
          <w:szCs w:val="30"/>
          <w:highlight w:val="none"/>
        </w:rPr>
        <w:t>月</w:t>
      </w:r>
    </w:p>
    <w:p>
      <w:pPr>
        <w:pStyle w:val="3"/>
        <w:rPr>
          <w:rFonts w:ascii="宋体" w:hAnsi="宋体" w:cs="宋体"/>
          <w:highlight w:val="none"/>
        </w:rPr>
      </w:pPr>
      <w:bookmarkStart w:id="1" w:name="_Toc9008"/>
      <w:bookmarkStart w:id="2" w:name="_Toc2876"/>
      <w:bookmarkStart w:id="3" w:name="_Toc17951"/>
      <w:bookmarkStart w:id="4" w:name="_Toc23188"/>
      <w:bookmarkStart w:id="5" w:name="_Toc6666"/>
      <w:r>
        <w:rPr>
          <w:rFonts w:hint="eastAsia" w:ascii="宋体" w:hAnsi="宋体" w:cs="宋体"/>
          <w:highlight w:val="none"/>
        </w:rPr>
        <w:t>目录</w:t>
      </w:r>
      <w:bookmarkEnd w:id="1"/>
      <w:bookmarkEnd w:id="2"/>
      <w:bookmarkEnd w:id="3"/>
      <w:bookmarkEnd w:id="4"/>
      <w:bookmarkEnd w:id="5"/>
    </w:p>
    <w:p>
      <w:pPr>
        <w:pStyle w:val="28"/>
        <w:tabs>
          <w:tab w:val="right" w:leader="dot" w:pos="9355"/>
          <w:tab w:val="clear" w:pos="9344"/>
        </w:tabs>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"_Toc14864" </w:instrText>
      </w:r>
      <w:r>
        <w:rPr>
          <w:highlight w:val="none"/>
        </w:rPr>
        <w:fldChar w:fldCharType="separate"/>
      </w:r>
      <w:r>
        <w:rPr>
          <w:rFonts w:hint="eastAsia" w:ascii="宋体" w:hAnsi="宋体" w:cs="宋体"/>
          <w:sz w:val="28"/>
          <w:szCs w:val="28"/>
          <w:highlight w:val="none"/>
        </w:rPr>
        <w:t>第一章  投标邀请</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_Toc14864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"_Toc24518" </w:instrText>
      </w:r>
      <w:r>
        <w:rPr>
          <w:highlight w:val="none"/>
        </w:rPr>
        <w:fldChar w:fldCharType="separate"/>
      </w:r>
      <w:r>
        <w:rPr>
          <w:rFonts w:hint="eastAsia" w:ascii="宋体" w:hAnsi="宋体" w:cs="宋体"/>
          <w:sz w:val="28"/>
          <w:szCs w:val="28"/>
          <w:highlight w:val="none"/>
        </w:rPr>
        <w:t>第二章  投标人须知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_Toc24518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"_Toc21275" </w:instrText>
      </w:r>
      <w:r>
        <w:rPr>
          <w:highlight w:val="none"/>
        </w:rPr>
        <w:fldChar w:fldCharType="separate"/>
      </w:r>
      <w:r>
        <w:rPr>
          <w:rFonts w:hint="eastAsia" w:ascii="宋体" w:hAnsi="宋体" w:cs="宋体"/>
          <w:sz w:val="28"/>
          <w:szCs w:val="28"/>
          <w:highlight w:val="none"/>
        </w:rPr>
        <w:t>第三章  采购需求及技术要求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_Toc21275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"_Toc22650" </w:instrText>
      </w:r>
      <w:r>
        <w:rPr>
          <w:highlight w:val="none"/>
        </w:rPr>
        <w:fldChar w:fldCharType="separate"/>
      </w:r>
      <w:r>
        <w:rPr>
          <w:rFonts w:hint="eastAsia" w:ascii="宋体" w:hAnsi="宋体" w:cs="宋体"/>
          <w:sz w:val="28"/>
          <w:szCs w:val="28"/>
          <w:highlight w:val="none"/>
        </w:rPr>
        <w:t>第四章  资格证明文件</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_Toc22650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"_Toc7707" </w:instrText>
      </w:r>
      <w:r>
        <w:rPr>
          <w:highlight w:val="none"/>
        </w:rPr>
        <w:fldChar w:fldCharType="separate"/>
      </w:r>
      <w:r>
        <w:rPr>
          <w:rFonts w:hint="eastAsia" w:ascii="宋体" w:hAnsi="宋体" w:cs="宋体"/>
          <w:sz w:val="28"/>
          <w:szCs w:val="28"/>
          <w:highlight w:val="none"/>
        </w:rPr>
        <w:t>第五章  评标办法</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_Toc7707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37</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"_Toc23448" </w:instrText>
      </w:r>
      <w:r>
        <w:rPr>
          <w:highlight w:val="none"/>
        </w:rPr>
        <w:fldChar w:fldCharType="separate"/>
      </w:r>
      <w:r>
        <w:rPr>
          <w:rFonts w:hint="eastAsia" w:ascii="宋体" w:hAnsi="宋体" w:cs="宋体"/>
          <w:sz w:val="28"/>
          <w:szCs w:val="28"/>
          <w:highlight w:val="none"/>
        </w:rPr>
        <w:t>第六章  投标文件格式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_Toc23448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tabs>
          <w:tab w:val="right" w:leader="dot" w:pos="9355"/>
          <w:tab w:val="clear" w:pos="9344"/>
        </w:tabs>
        <w:rPr>
          <w:rFonts w:ascii="宋体" w:hAnsi="宋体" w:cs="宋体"/>
          <w:sz w:val="28"/>
          <w:szCs w:val="28"/>
          <w:highlight w:val="none"/>
        </w:rPr>
      </w:pPr>
      <w:r>
        <w:rPr>
          <w:highlight w:val="none"/>
        </w:rPr>
        <w:fldChar w:fldCharType="begin"/>
      </w:r>
      <w:r>
        <w:rPr>
          <w:highlight w:val="none"/>
        </w:rPr>
        <w:instrText xml:space="preserve"> HYPERLINK \l "_Toc11150" </w:instrText>
      </w:r>
      <w:r>
        <w:rPr>
          <w:highlight w:val="none"/>
        </w:rPr>
        <w:fldChar w:fldCharType="separate"/>
      </w:r>
      <w:r>
        <w:rPr>
          <w:rFonts w:hint="eastAsia" w:ascii="宋体" w:hAnsi="宋体" w:cs="宋体"/>
          <w:sz w:val="28"/>
          <w:szCs w:val="28"/>
          <w:highlight w:val="none"/>
        </w:rPr>
        <w:t>第七章  合同条款及合同格式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_Toc11150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28"/>
        <w:spacing w:line="360" w:lineRule="auto"/>
        <w:rPr>
          <w:rFonts w:ascii="宋体" w:hAnsi="宋体" w:cs="宋体"/>
          <w:highlight w:val="none"/>
        </w:rPr>
      </w:pPr>
      <w:r>
        <w:rPr>
          <w:rFonts w:hint="eastAsia" w:ascii="宋体" w:hAnsi="宋体" w:cs="宋体"/>
          <w:sz w:val="28"/>
          <w:szCs w:val="28"/>
          <w:highlight w:val="none"/>
        </w:rPr>
        <w:fldChar w:fldCharType="end"/>
      </w:r>
      <w:bookmarkEnd w:id="0"/>
      <w:bookmarkStart w:id="6" w:name="_Toc139965325"/>
      <w:bookmarkStart w:id="7" w:name="_Toc128372729"/>
      <w:bookmarkStart w:id="8" w:name="_Toc128372051"/>
      <w:bookmarkStart w:id="9" w:name="_Toc327439434"/>
    </w:p>
    <w:p>
      <w:pPr>
        <w:pStyle w:val="3"/>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rFonts w:ascii="宋体" w:hAnsi="宋体" w:cs="宋体"/>
          <w:highlight w:val="none"/>
        </w:rPr>
      </w:pPr>
    </w:p>
    <w:p>
      <w:pPr>
        <w:pStyle w:val="30"/>
        <w:rPr>
          <w:rFonts w:ascii="宋体" w:hAnsi="宋体" w:cs="宋体"/>
          <w:highlight w:val="none"/>
        </w:rPr>
      </w:pPr>
    </w:p>
    <w:p>
      <w:pPr>
        <w:rPr>
          <w:highlight w:val="none"/>
        </w:rPr>
      </w:pPr>
    </w:p>
    <w:p>
      <w:pPr>
        <w:pStyle w:val="13"/>
        <w:rPr>
          <w:highlight w:val="none"/>
        </w:rPr>
      </w:pPr>
    </w:p>
    <w:p>
      <w:pPr>
        <w:rPr>
          <w:highlight w:val="none"/>
        </w:rPr>
      </w:pPr>
    </w:p>
    <w:p>
      <w:pPr>
        <w:rPr>
          <w:rFonts w:ascii="宋体" w:hAnsi="宋体" w:cs="宋体"/>
          <w:highlight w:val="none"/>
        </w:rPr>
      </w:pPr>
    </w:p>
    <w:p>
      <w:pPr>
        <w:pStyle w:val="3"/>
        <w:rPr>
          <w:rFonts w:ascii="宋体" w:hAnsi="宋体" w:cs="宋体"/>
          <w:sz w:val="32"/>
          <w:szCs w:val="32"/>
          <w:highlight w:val="none"/>
        </w:rPr>
      </w:pPr>
      <w:bookmarkStart w:id="10" w:name="_Toc5582"/>
      <w:bookmarkStart w:id="11" w:name="_Toc14864"/>
      <w:bookmarkStart w:id="12" w:name="_Toc31039"/>
      <w:r>
        <w:rPr>
          <w:rFonts w:hint="eastAsia" w:ascii="宋体" w:hAnsi="宋体" w:cs="宋体"/>
          <w:sz w:val="32"/>
          <w:szCs w:val="32"/>
          <w:highlight w:val="none"/>
        </w:rPr>
        <w:t>第一章  投标邀请</w:t>
      </w:r>
      <w:bookmarkEnd w:id="10"/>
      <w:bookmarkEnd w:id="11"/>
      <w:bookmarkEnd w:id="12"/>
    </w:p>
    <w:p>
      <w:pPr>
        <w:spacing w:line="440" w:lineRule="exact"/>
        <w:ind w:firstLine="480" w:firstLineChars="200"/>
        <w:jc w:val="left"/>
        <w:rPr>
          <w:rFonts w:ascii="宋体" w:hAnsi="宋体" w:cs="宋体"/>
          <w:color w:val="auto"/>
          <w:sz w:val="24"/>
          <w:highlight w:val="none"/>
        </w:rPr>
      </w:pPr>
      <w:bookmarkStart w:id="13" w:name="_Toc27687"/>
      <w:bookmarkStart w:id="14" w:name="_Toc19002"/>
      <w:bookmarkStart w:id="15" w:name="_Toc24518"/>
      <w:r>
        <w:rPr>
          <w:rFonts w:hint="eastAsia" w:ascii="宋体" w:hAnsi="宋体" w:cs="宋体"/>
          <w:color w:val="auto"/>
          <w:sz w:val="24"/>
          <w:highlight w:val="none"/>
          <w:lang w:val="en-US" w:eastAsia="zh-CN"/>
        </w:rPr>
        <w:t>甘肃省第二人民医院金属浴、移液器、分光光度计、冰箱采购项目</w:t>
      </w:r>
      <w:r>
        <w:rPr>
          <w:rFonts w:hint="eastAsia" w:ascii="宋体" w:hAnsi="宋体" w:cs="宋体"/>
          <w:color w:val="auto"/>
          <w:sz w:val="24"/>
          <w:highlight w:val="none"/>
        </w:rPr>
        <w:t>以公开招标形式进行采购，欢迎符合资格条件的投标人前来参加。</w:t>
      </w:r>
    </w:p>
    <w:p>
      <w:pPr>
        <w:spacing w:line="440" w:lineRule="exact"/>
        <w:rPr>
          <w:rFonts w:hint="default" w:ascii="宋体" w:hAnsi="宋体" w:eastAsia="宋体" w:cs="宋体"/>
          <w:b/>
          <w:color w:val="auto"/>
          <w:sz w:val="24"/>
          <w:highlight w:val="none"/>
          <w:lang w:val="en-US" w:eastAsia="zh-CN"/>
        </w:rPr>
      </w:pPr>
      <w:r>
        <w:rPr>
          <w:rFonts w:hint="eastAsia" w:ascii="宋体" w:hAnsi="宋体" w:cs="宋体"/>
          <w:b/>
          <w:bCs/>
          <w:color w:val="auto"/>
          <w:sz w:val="24"/>
          <w:highlight w:val="none"/>
        </w:rPr>
        <w:t>1.招标文件编号：SEY-202</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YNCG-0</w:t>
      </w:r>
      <w:r>
        <w:rPr>
          <w:rFonts w:hint="eastAsia" w:ascii="宋体" w:hAnsi="宋体" w:cs="宋体"/>
          <w:b/>
          <w:bCs/>
          <w:color w:val="auto"/>
          <w:sz w:val="24"/>
          <w:highlight w:val="none"/>
          <w:lang w:val="en-US" w:eastAsia="zh-CN"/>
        </w:rPr>
        <w:t>34</w:t>
      </w:r>
    </w:p>
    <w:tbl>
      <w:tblPr>
        <w:tblStyle w:val="39"/>
        <w:tblpPr w:leftFromText="180" w:rightFromText="180" w:vertAnchor="text" w:horzAnchor="page" w:tblpX="1935" w:tblpY="461"/>
        <w:tblOverlap w:val="never"/>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33"/>
        <w:gridCol w:w="794"/>
        <w:gridCol w:w="838"/>
        <w:gridCol w:w="1758"/>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0" w:type="dxa"/>
            <w:vAlign w:val="center"/>
          </w:tcPr>
          <w:p>
            <w:pPr>
              <w:jc w:val="center"/>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序</w:t>
            </w:r>
            <w:r>
              <w:rPr>
                <w:rFonts w:hint="eastAsia" w:ascii="宋体" w:hAnsi="宋体" w:eastAsia="宋体" w:cs="宋体"/>
                <w:b/>
                <w:bCs/>
                <w:color w:val="auto"/>
                <w:kern w:val="0"/>
                <w:sz w:val="24"/>
                <w:szCs w:val="24"/>
                <w:highlight w:val="none"/>
              </w:rPr>
              <w:t>号</w:t>
            </w:r>
          </w:p>
        </w:tc>
        <w:tc>
          <w:tcPr>
            <w:tcW w:w="2233"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设备名称</w:t>
            </w:r>
          </w:p>
        </w:tc>
        <w:tc>
          <w:tcPr>
            <w:tcW w:w="794"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数量</w:t>
            </w:r>
          </w:p>
        </w:tc>
        <w:tc>
          <w:tcPr>
            <w:tcW w:w="838" w:type="dxa"/>
            <w:vAlign w:val="center"/>
          </w:tcPr>
          <w:p>
            <w:pPr>
              <w:jc w:val="center"/>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单位</w:t>
            </w:r>
          </w:p>
        </w:tc>
        <w:tc>
          <w:tcPr>
            <w:tcW w:w="1758" w:type="dxa"/>
            <w:vAlign w:val="center"/>
          </w:tcPr>
          <w:p>
            <w:pPr>
              <w:jc w:val="center"/>
              <w:rPr>
                <w:rFonts w:hint="default" w:ascii="宋体" w:hAnsi="宋体" w:eastAsia="宋体" w:cs="宋体"/>
                <w:b/>
                <w:bCs/>
                <w:color w:val="auto"/>
                <w:sz w:val="24"/>
                <w:szCs w:val="24"/>
                <w:highlight w:val="none"/>
                <w:lang w:val="en-US" w:eastAsia="zh-CN" w:bidi="zh-CN"/>
              </w:rPr>
            </w:pPr>
            <w:r>
              <w:rPr>
                <w:rFonts w:hint="eastAsia" w:ascii="宋体" w:hAnsi="宋体" w:cs="宋体"/>
                <w:b/>
                <w:bCs/>
                <w:color w:val="auto"/>
                <w:sz w:val="24"/>
                <w:szCs w:val="24"/>
                <w:highlight w:val="none"/>
                <w:lang w:val="en-US" w:eastAsia="zh-CN" w:bidi="zh-CN"/>
              </w:rPr>
              <w:t>预算（限价）</w:t>
            </w:r>
          </w:p>
        </w:tc>
        <w:tc>
          <w:tcPr>
            <w:tcW w:w="2179" w:type="dxa"/>
            <w:vAlign w:val="center"/>
          </w:tcPr>
          <w:p>
            <w:pPr>
              <w:jc w:val="center"/>
              <w:rPr>
                <w:rFonts w:hint="default" w:ascii="宋体" w:hAnsi="宋体" w:cs="宋体"/>
                <w:b/>
                <w:bCs/>
                <w:color w:val="auto"/>
                <w:sz w:val="24"/>
                <w:szCs w:val="24"/>
                <w:highlight w:val="none"/>
                <w:lang w:val="en-US" w:eastAsia="zh-CN" w:bidi="zh-CN"/>
              </w:rPr>
            </w:pPr>
            <w:r>
              <w:rPr>
                <w:rFonts w:hint="eastAsia" w:ascii="宋体" w:hAnsi="宋体" w:cs="宋体"/>
                <w:b/>
                <w:bCs/>
                <w:color w:val="auto"/>
                <w:sz w:val="24"/>
                <w:szCs w:val="24"/>
                <w:highlight w:val="none"/>
                <w:lang w:val="en-US" w:eastAsia="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233" w:type="dxa"/>
            <w:vAlign w:val="center"/>
          </w:tcPr>
          <w:p>
            <w:pPr>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金属浴（进口产品）</w:t>
            </w:r>
          </w:p>
        </w:tc>
        <w:tc>
          <w:tcPr>
            <w:tcW w:w="794"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838"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1758" w:type="dxa"/>
            <w:vMerge w:val="restart"/>
            <w:vAlign w:val="center"/>
          </w:tcPr>
          <w:p>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8.67万元</w:t>
            </w:r>
          </w:p>
        </w:tc>
        <w:tc>
          <w:tcPr>
            <w:tcW w:w="2179" w:type="dxa"/>
            <w:vMerge w:val="restart"/>
            <w:vAlign w:val="center"/>
          </w:tcPr>
          <w:p>
            <w:pPr>
              <w:jc w:val="both"/>
              <w:rPr>
                <w:rFonts w:hint="default"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移液器已完成进口论证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vAlign w:val="center"/>
          </w:tcPr>
          <w:p>
            <w:pPr>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2233" w:type="dxa"/>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移液器</w:t>
            </w:r>
          </w:p>
        </w:tc>
        <w:tc>
          <w:tcPr>
            <w:tcW w:w="794" w:type="dxa"/>
            <w:vAlign w:val="center"/>
          </w:tcPr>
          <w:p>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38" w:type="dxa"/>
            <w:vAlign w:val="center"/>
          </w:tcPr>
          <w:p>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套</w:t>
            </w:r>
            <w:bookmarkStart w:id="600" w:name="_GoBack"/>
            <w:bookmarkEnd w:id="600"/>
          </w:p>
        </w:tc>
        <w:tc>
          <w:tcPr>
            <w:tcW w:w="1758" w:type="dxa"/>
            <w:vMerge w:val="continue"/>
            <w:vAlign w:val="center"/>
          </w:tcPr>
          <w:p>
            <w:pPr>
              <w:jc w:val="center"/>
              <w:rPr>
                <w:rFonts w:hint="eastAsia" w:ascii="宋体" w:hAnsi="宋体" w:cs="宋体"/>
                <w:color w:val="auto"/>
                <w:sz w:val="24"/>
                <w:szCs w:val="24"/>
                <w:highlight w:val="none"/>
                <w:lang w:val="en-US" w:eastAsia="zh-CN"/>
              </w:rPr>
            </w:pPr>
          </w:p>
        </w:tc>
        <w:tc>
          <w:tcPr>
            <w:tcW w:w="2179" w:type="dxa"/>
            <w:vMerge w:val="continue"/>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vAlign w:val="center"/>
          </w:tcPr>
          <w:p>
            <w:pPr>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2233" w:type="dxa"/>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分光光度计</w:t>
            </w:r>
          </w:p>
        </w:tc>
        <w:tc>
          <w:tcPr>
            <w:tcW w:w="794" w:type="dxa"/>
            <w:vAlign w:val="center"/>
          </w:tcPr>
          <w:p>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838" w:type="dxa"/>
            <w:vAlign w:val="center"/>
          </w:tcPr>
          <w:p>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台</w:t>
            </w:r>
          </w:p>
        </w:tc>
        <w:tc>
          <w:tcPr>
            <w:tcW w:w="1758" w:type="dxa"/>
            <w:vMerge w:val="continue"/>
            <w:vAlign w:val="center"/>
          </w:tcPr>
          <w:p>
            <w:pPr>
              <w:jc w:val="center"/>
              <w:rPr>
                <w:rFonts w:hint="eastAsia" w:ascii="宋体" w:hAnsi="宋体" w:cs="宋体"/>
                <w:color w:val="auto"/>
                <w:sz w:val="24"/>
                <w:szCs w:val="24"/>
                <w:highlight w:val="none"/>
                <w:lang w:val="en-US" w:eastAsia="zh-CN"/>
              </w:rPr>
            </w:pPr>
          </w:p>
        </w:tc>
        <w:tc>
          <w:tcPr>
            <w:tcW w:w="2179" w:type="dxa"/>
            <w:vMerge w:val="continue"/>
            <w:vAlign w:val="center"/>
          </w:tcPr>
          <w:p>
            <w:pPr>
              <w:jc w:val="center"/>
              <w:rPr>
                <w:rFonts w:hint="eastAsia"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vAlign w:val="center"/>
          </w:tcPr>
          <w:p>
            <w:pPr>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2233" w:type="dxa"/>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冰箱</w:t>
            </w:r>
          </w:p>
        </w:tc>
        <w:tc>
          <w:tcPr>
            <w:tcW w:w="794" w:type="dxa"/>
            <w:vAlign w:val="center"/>
          </w:tcPr>
          <w:p>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38" w:type="dxa"/>
            <w:vAlign w:val="center"/>
          </w:tcPr>
          <w:p>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台</w:t>
            </w:r>
          </w:p>
        </w:tc>
        <w:tc>
          <w:tcPr>
            <w:tcW w:w="1758" w:type="dxa"/>
            <w:vMerge w:val="continue"/>
            <w:vAlign w:val="center"/>
          </w:tcPr>
          <w:p>
            <w:pPr>
              <w:jc w:val="center"/>
              <w:rPr>
                <w:rFonts w:hint="eastAsia" w:ascii="宋体" w:hAnsi="宋体" w:cs="宋体"/>
                <w:color w:val="auto"/>
                <w:sz w:val="24"/>
                <w:szCs w:val="24"/>
                <w:highlight w:val="none"/>
                <w:lang w:val="en-US" w:eastAsia="zh-CN"/>
              </w:rPr>
            </w:pPr>
          </w:p>
        </w:tc>
        <w:tc>
          <w:tcPr>
            <w:tcW w:w="2179" w:type="dxa"/>
            <w:vMerge w:val="continue"/>
            <w:vAlign w:val="center"/>
          </w:tcPr>
          <w:p>
            <w:pPr>
              <w:jc w:val="center"/>
              <w:rPr>
                <w:rFonts w:hint="eastAsia" w:ascii="宋体" w:hAnsi="宋体" w:cs="宋体"/>
                <w:color w:val="auto"/>
                <w:sz w:val="24"/>
                <w:szCs w:val="24"/>
                <w:highlight w:val="none"/>
                <w:lang w:val="en-US" w:eastAsia="zh-CN"/>
              </w:rPr>
            </w:pPr>
          </w:p>
        </w:tc>
      </w:tr>
    </w:tbl>
    <w:p>
      <w:pPr>
        <w:pStyle w:val="30"/>
        <w:spacing w:line="360" w:lineRule="auto"/>
        <w:ind w:left="0" w:leftChars="0" w:firstLine="0" w:firstLineChars="0"/>
        <w:rPr>
          <w:rFonts w:hint="eastAsia" w:ascii="宋体" w:hAnsi="宋体" w:cs="宋体"/>
          <w:color w:val="auto"/>
          <w:sz w:val="24"/>
          <w:highlight w:val="none"/>
        </w:rPr>
      </w:pPr>
      <w:r>
        <w:rPr>
          <w:rFonts w:hint="eastAsia" w:ascii="宋体" w:hAnsi="宋体" w:cs="宋体"/>
          <w:b/>
          <w:bCs/>
          <w:color w:val="auto"/>
          <w:sz w:val="24"/>
          <w:highlight w:val="none"/>
        </w:rPr>
        <w:t>2.招标内容：</w:t>
      </w:r>
      <w:r>
        <w:rPr>
          <w:rFonts w:hint="eastAsia" w:ascii="宋体" w:hAnsi="宋体" w:cs="宋体"/>
          <w:color w:val="auto"/>
          <w:sz w:val="24"/>
          <w:highlight w:val="none"/>
        </w:rPr>
        <w:t>(本项目</w:t>
      </w:r>
      <w:r>
        <w:rPr>
          <w:rFonts w:hint="eastAsia" w:ascii="宋体" w:hAnsi="宋体" w:cs="宋体"/>
          <w:color w:val="auto"/>
          <w:sz w:val="24"/>
          <w:highlight w:val="none"/>
          <w:lang w:val="en-US" w:eastAsia="zh-CN"/>
        </w:rPr>
        <w:t>共一</w:t>
      </w:r>
      <w:r>
        <w:rPr>
          <w:rFonts w:hint="eastAsia" w:ascii="宋体" w:hAnsi="宋体" w:cs="宋体"/>
          <w:color w:val="auto"/>
          <w:sz w:val="24"/>
          <w:highlight w:val="none"/>
        </w:rPr>
        <w:t>个包，具体招标详见招标文件)</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3.投标人资格要求：</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1</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2</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0"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ascii="宋体" w:hAnsi="宋体" w:cs="宋体"/>
          <w:color w:val="auto"/>
          <w:sz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cs="宋体"/>
          <w:b w:val="0"/>
          <w:bCs w:val="0"/>
          <w:kern w:val="0"/>
          <w:sz w:val="24"/>
          <w:szCs w:val="24"/>
          <w:highlight w:val="none"/>
          <w:lang w:val="en-US" w:eastAsia="zh-CN"/>
        </w:rPr>
        <w:t>5</w:t>
      </w:r>
      <w:r>
        <w:rPr>
          <w:rFonts w:hint="eastAsia" w:ascii="宋体" w:hAnsi="宋体" w:eastAsia="宋体" w:cs="宋体"/>
          <w:b w:val="0"/>
          <w:bCs w:val="0"/>
          <w:kern w:val="0"/>
          <w:sz w:val="24"/>
          <w:szCs w:val="24"/>
          <w:highlight w:val="none"/>
          <w:lang w:eastAsia="zh-CN"/>
        </w:rPr>
        <w:t>）</w:t>
      </w:r>
      <w:r>
        <w:rPr>
          <w:rFonts w:hint="eastAsia" w:ascii="宋体" w:hAnsi="宋体" w:cs="宋体"/>
          <w:color w:val="auto"/>
          <w:sz w:val="24"/>
          <w:highlight w:val="none"/>
        </w:rPr>
        <w:t>本项目不接受联合体投标。</w:t>
      </w:r>
    </w:p>
    <w:p>
      <w:pPr>
        <w:spacing w:line="440" w:lineRule="exact"/>
        <w:rPr>
          <w:rFonts w:hint="eastAsia" w:eastAsia="宋体"/>
          <w:highlight w:val="none"/>
          <w:lang w:val="en-US" w:eastAsia="zh-CN"/>
        </w:rPr>
      </w:pPr>
      <w:r>
        <w:rPr>
          <w:rFonts w:hint="eastAsia" w:ascii="宋体" w:hAnsi="宋体" w:cs="宋体"/>
          <w:b/>
          <w:color w:val="auto"/>
          <w:sz w:val="24"/>
          <w:highlight w:val="none"/>
        </w:rPr>
        <w:t>4.项目需要落实的</w:t>
      </w:r>
      <w:r>
        <w:rPr>
          <w:rFonts w:hint="eastAsia" w:ascii="宋体" w:hAnsi="宋体" w:cs="宋体"/>
          <w:b/>
          <w:color w:val="auto"/>
          <w:sz w:val="24"/>
          <w:highlight w:val="none"/>
          <w:lang w:eastAsia="zh-CN"/>
        </w:rPr>
        <w:t>采购</w:t>
      </w:r>
      <w:r>
        <w:rPr>
          <w:rFonts w:hint="eastAsia" w:ascii="宋体" w:hAnsi="宋体" w:cs="宋体"/>
          <w:b/>
          <w:color w:val="auto"/>
          <w:sz w:val="24"/>
          <w:highlight w:val="none"/>
        </w:rPr>
        <w:t>政策：</w:t>
      </w:r>
      <w:r>
        <w:rPr>
          <w:rFonts w:hint="eastAsia" w:ascii="宋体" w:hAnsi="宋体" w:cs="宋体"/>
          <w:b/>
          <w:color w:val="auto"/>
          <w:sz w:val="24"/>
          <w:highlight w:val="none"/>
          <w:lang w:val="en-US" w:eastAsia="zh-CN"/>
        </w:rPr>
        <w:t>无</w:t>
      </w:r>
    </w:p>
    <w:p>
      <w:pPr>
        <w:spacing w:line="440" w:lineRule="exact"/>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t>5.预算</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限价</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8.67</w:t>
      </w:r>
      <w:r>
        <w:rPr>
          <w:rFonts w:hint="eastAsia" w:ascii="宋体" w:hAnsi="宋体" w:cs="宋体"/>
          <w:b/>
          <w:bCs/>
          <w:color w:val="auto"/>
          <w:sz w:val="24"/>
          <w:highlight w:val="none"/>
        </w:rPr>
        <w:t>万元</w:t>
      </w:r>
    </w:p>
    <w:p>
      <w:pPr>
        <w:pStyle w:val="30"/>
        <w:spacing w:line="440" w:lineRule="exact"/>
        <w:ind w:left="0" w:leftChars="0"/>
        <w:rPr>
          <w:rFonts w:ascii="宋体" w:hAnsi="宋体" w:cs="宋体"/>
          <w:color w:val="auto"/>
          <w:kern w:val="0"/>
          <w:sz w:val="24"/>
          <w:highlight w:val="none"/>
        </w:rPr>
      </w:pPr>
      <w:r>
        <w:rPr>
          <w:rFonts w:hint="eastAsia" w:ascii="宋体" w:hAnsi="宋体" w:cs="宋体"/>
          <w:b/>
          <w:bCs/>
          <w:color w:val="auto"/>
          <w:sz w:val="24"/>
          <w:highlight w:val="none"/>
        </w:rPr>
        <w:t>6.公告期限：</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w:t>
      </w:r>
      <w:r>
        <w:rPr>
          <w:rFonts w:hint="eastAsia" w:ascii="宋体" w:hAnsi="宋体" w:cs="宋体"/>
          <w:color w:val="auto"/>
          <w:kern w:val="0"/>
          <w:sz w:val="24"/>
          <w:highlight w:val="none"/>
          <w:lang w:val="en-US" w:eastAsia="zh-CN"/>
        </w:rPr>
        <w:t>工作</w:t>
      </w:r>
      <w:r>
        <w:rPr>
          <w:rFonts w:hint="eastAsia" w:ascii="宋体" w:hAnsi="宋体" w:cs="宋体"/>
          <w:color w:val="auto"/>
          <w:kern w:val="0"/>
          <w:sz w:val="24"/>
          <w:highlight w:val="none"/>
        </w:rPr>
        <w:t>日</w:t>
      </w:r>
    </w:p>
    <w:p>
      <w:pPr>
        <w:spacing w:line="440" w:lineRule="exact"/>
        <w:rPr>
          <w:rFonts w:ascii="宋体" w:hAnsi="宋体" w:cs="宋体"/>
          <w:color w:val="auto"/>
          <w:sz w:val="24"/>
          <w:highlight w:val="none"/>
        </w:rPr>
      </w:pPr>
      <w:r>
        <w:rPr>
          <w:rFonts w:hint="eastAsia" w:ascii="宋体" w:hAnsi="宋体" w:cs="宋体"/>
          <w:b/>
          <w:bCs/>
          <w:color w:val="auto"/>
          <w:sz w:val="24"/>
          <w:highlight w:val="none"/>
        </w:rPr>
        <w:t>7.评标办法：</w:t>
      </w:r>
      <w:r>
        <w:rPr>
          <w:rFonts w:hint="eastAsia" w:ascii="宋体" w:hAnsi="宋体" w:cs="宋体"/>
          <w:color w:val="auto"/>
          <w:sz w:val="24"/>
          <w:highlight w:val="none"/>
        </w:rPr>
        <w:t>综合评分法。</w:t>
      </w:r>
    </w:p>
    <w:p>
      <w:pPr>
        <w:pStyle w:val="32"/>
        <w:shd w:val="clear" w:color="auto" w:fill="FFFFFF"/>
        <w:spacing w:before="0" w:beforeAutospacing="0" w:after="0" w:afterAutospacing="0" w:line="360" w:lineRule="auto"/>
        <w:rPr>
          <w:b/>
          <w:bCs/>
          <w:color w:val="auto"/>
          <w:highlight w:val="none"/>
        </w:rPr>
      </w:pPr>
      <w:r>
        <w:rPr>
          <w:rFonts w:hint="eastAsia"/>
          <w:b/>
          <w:bCs/>
          <w:color w:val="auto"/>
          <w:highlight w:val="none"/>
        </w:rPr>
        <w:t>8.获取招标文件的时间及方式：</w:t>
      </w:r>
    </w:p>
    <w:p>
      <w:pPr>
        <w:keepNext w:val="0"/>
        <w:keepLines w:val="0"/>
        <w:pageBreakBefore w:val="0"/>
        <w:widowControl/>
        <w:shd w:val="clear" w:color="auto" w:fill="FFFFFF"/>
        <w:kinsoku/>
        <w:wordWrap w:val="0"/>
        <w:overflowPunct/>
        <w:topLinePunct/>
        <w:autoSpaceDE/>
        <w:autoSpaceDN/>
        <w:bidi w:val="0"/>
        <w:adjustRightInd/>
        <w:snapToGrid/>
        <w:spacing w:line="360" w:lineRule="auto"/>
        <w:ind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sz w:val="24"/>
          <w:szCs w:val="24"/>
          <w:highlight w:val="none"/>
        </w:rPr>
        <w:t>（1）招标文件获取时间及地</w:t>
      </w:r>
      <w:r>
        <w:rPr>
          <w:rFonts w:hint="eastAsia" w:ascii="宋体" w:hAnsi="宋体" w:eastAsia="宋体" w:cs="宋体"/>
          <w:color w:val="auto"/>
          <w:sz w:val="24"/>
          <w:szCs w:val="24"/>
          <w:highlight w:val="none"/>
        </w:rPr>
        <w:t>点：202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18日</w:t>
      </w:r>
      <w:r>
        <w:rPr>
          <w:rFonts w:hint="eastAsia" w:ascii="宋体" w:hAnsi="宋体" w:eastAsia="宋体" w:cs="宋体"/>
          <w:color w:val="auto"/>
          <w:sz w:val="24"/>
          <w:szCs w:val="24"/>
          <w:highlight w:val="none"/>
        </w:rPr>
        <w:t>,9:00-12:00，14:00-17: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0（北京时间）（法定节假日除外），在</w:t>
      </w:r>
      <w:r>
        <w:rPr>
          <w:rFonts w:hint="eastAsia" w:ascii="宋体" w:hAnsi="宋体" w:cs="宋体"/>
          <w:color w:val="auto"/>
          <w:sz w:val="24"/>
          <w:szCs w:val="24"/>
          <w:highlight w:val="none"/>
          <w:lang w:val="en-US" w:eastAsia="zh-CN"/>
        </w:rPr>
        <w:t>甘肃省第二人民医院行政楼106</w:t>
      </w:r>
      <w:r>
        <w:rPr>
          <w:rFonts w:hint="eastAsia" w:ascii="宋体" w:hAnsi="宋体" w:eastAsia="宋体" w:cs="宋体"/>
          <w:color w:val="auto"/>
          <w:sz w:val="24"/>
          <w:szCs w:val="24"/>
          <w:highlight w:val="none"/>
        </w:rPr>
        <w:t>获取。</w:t>
      </w:r>
    </w:p>
    <w:p>
      <w:pPr>
        <w:widowControl/>
        <w:shd w:val="clear" w:color="auto" w:fill="FFFFFF"/>
        <w:spacing w:line="360" w:lineRule="auto"/>
        <w:ind w:firstLine="240" w:firstLineChars="100"/>
        <w:jc w:val="left"/>
        <w:rPr>
          <w:color w:val="auto"/>
          <w:kern w:val="2"/>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报名</w:t>
      </w:r>
      <w:r>
        <w:rPr>
          <w:rFonts w:hint="eastAsia" w:ascii="宋体" w:hAnsi="宋体" w:eastAsia="宋体" w:cs="宋体"/>
          <w:color w:val="auto"/>
          <w:sz w:val="24"/>
          <w:szCs w:val="24"/>
          <w:highlight w:val="none"/>
        </w:rPr>
        <w:t>时请携带以下资料</w:t>
      </w:r>
      <w:r>
        <w:rPr>
          <w:rFonts w:hint="eastAsia" w:ascii="宋体" w:hAnsi="宋体" w:cs="宋体"/>
          <w:color w:val="auto"/>
          <w:sz w:val="24"/>
          <w:szCs w:val="24"/>
          <w:highlight w:val="none"/>
          <w:lang w:val="en-US" w:eastAsia="zh-CN"/>
        </w:rPr>
        <w:t>并填写报名表</w:t>
      </w:r>
      <w:r>
        <w:rPr>
          <w:rFonts w:hint="eastAsia" w:ascii="宋体" w:hAnsi="宋体" w:eastAsia="宋体" w:cs="宋体"/>
          <w:color w:val="auto"/>
          <w:sz w:val="24"/>
          <w:szCs w:val="24"/>
          <w:highlight w:val="none"/>
        </w:rPr>
        <w:t>：企业法人授权委托书、法人身份证复印件及代理人身份证复印件、企业营业执照复印件、机构代码证复印件（已三证合一的无需提供）、税务登记证复印件（已三证合一的无需提供）。</w:t>
      </w:r>
    </w:p>
    <w:p>
      <w:pPr>
        <w:pStyle w:val="30"/>
        <w:spacing w:line="360" w:lineRule="auto"/>
        <w:ind w:left="0" w:leftChars="0"/>
        <w:rPr>
          <w:rFonts w:ascii="宋体" w:hAnsi="宋体" w:cs="宋体"/>
          <w:color w:val="auto"/>
          <w:sz w:val="24"/>
          <w:highlight w:val="none"/>
        </w:rPr>
      </w:pPr>
      <w:r>
        <w:rPr>
          <w:rFonts w:hint="eastAsia" w:ascii="宋体" w:hAnsi="宋体" w:cs="宋体"/>
          <w:b/>
          <w:bCs/>
          <w:color w:val="auto"/>
          <w:sz w:val="24"/>
          <w:highlight w:val="none"/>
        </w:rPr>
        <w:t>9.投标文件递交截止时间：</w:t>
      </w:r>
      <w:r>
        <w:rPr>
          <w:rFonts w:hint="eastAsia" w:ascii="宋体" w:hAnsi="宋体" w:cs="宋体"/>
          <w:color w:val="auto"/>
          <w:sz w:val="24"/>
          <w:highlight w:val="none"/>
          <w:lang w:eastAsia="zh-CN"/>
        </w:rPr>
        <w:t>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r>
        <w:rPr>
          <w:rFonts w:hint="eastAsia" w:ascii="宋体" w:hAnsi="宋体" w:cs="宋体"/>
          <w:color w:val="auto"/>
          <w:kern w:val="0"/>
          <w:sz w:val="24"/>
          <w:szCs w:val="22"/>
          <w:highlight w:val="none"/>
        </w:rPr>
        <w:t>（北京时间），逾期不予受理。</w:t>
      </w:r>
    </w:p>
    <w:p>
      <w:pPr>
        <w:spacing w:line="440" w:lineRule="exact"/>
        <w:rPr>
          <w:rFonts w:ascii="宋体" w:hAnsi="宋体" w:cs="宋体"/>
          <w:color w:val="auto"/>
          <w:kern w:val="0"/>
          <w:sz w:val="24"/>
          <w:szCs w:val="22"/>
          <w:highlight w:val="none"/>
        </w:rPr>
      </w:pPr>
      <w:r>
        <w:rPr>
          <w:rFonts w:hint="eastAsia" w:ascii="宋体" w:hAnsi="宋体" w:cs="宋体"/>
          <w:b/>
          <w:bCs/>
          <w:color w:val="auto"/>
          <w:sz w:val="24"/>
          <w:highlight w:val="none"/>
        </w:rPr>
        <w:t>10.投标文件递交地点：</w:t>
      </w:r>
      <w:r>
        <w:rPr>
          <w:rFonts w:hint="eastAsia" w:ascii="宋体" w:hAnsi="宋体" w:cs="宋体"/>
          <w:b/>
          <w:bCs/>
          <w:color w:val="auto"/>
          <w:sz w:val="24"/>
          <w:highlight w:val="none"/>
          <w:lang w:val="en-US" w:eastAsia="zh-CN"/>
        </w:rPr>
        <w:t>甘肃省第二人民医院制剂楼3楼</w:t>
      </w:r>
    </w:p>
    <w:p>
      <w:pPr>
        <w:pStyle w:val="30"/>
        <w:spacing w:line="360" w:lineRule="auto"/>
        <w:ind w:left="0" w:leftChars="0"/>
        <w:rPr>
          <w:rFonts w:ascii="宋体" w:hAnsi="宋体" w:cs="宋体"/>
          <w:color w:val="auto"/>
          <w:kern w:val="0"/>
          <w:sz w:val="24"/>
          <w:szCs w:val="22"/>
          <w:highlight w:val="none"/>
        </w:rPr>
      </w:pPr>
      <w:r>
        <w:rPr>
          <w:rFonts w:hint="eastAsia" w:ascii="宋体" w:hAnsi="宋体" w:cs="宋体"/>
          <w:b/>
          <w:bCs/>
          <w:color w:val="auto"/>
          <w:sz w:val="24"/>
          <w:highlight w:val="none"/>
        </w:rPr>
        <w:t>11.开标时间：</w:t>
      </w:r>
      <w:r>
        <w:rPr>
          <w:rFonts w:hint="eastAsia" w:ascii="宋体" w:hAnsi="宋体" w:cs="宋体"/>
          <w:color w:val="auto"/>
          <w:sz w:val="24"/>
          <w:highlight w:val="none"/>
          <w:lang w:eastAsia="zh-CN"/>
        </w:rPr>
        <w:t>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r>
        <w:rPr>
          <w:rFonts w:hint="eastAsia" w:ascii="宋体" w:hAnsi="宋体" w:cs="宋体"/>
          <w:color w:val="auto"/>
          <w:kern w:val="0"/>
          <w:sz w:val="24"/>
          <w:szCs w:val="22"/>
          <w:highlight w:val="none"/>
        </w:rPr>
        <w:t>。</w:t>
      </w:r>
    </w:p>
    <w:p>
      <w:pPr>
        <w:spacing w:line="440" w:lineRule="exact"/>
        <w:rPr>
          <w:rFonts w:hint="eastAsia" w:ascii="宋体" w:hAnsi="宋体" w:cs="宋体"/>
          <w:color w:val="auto"/>
          <w:kern w:val="0"/>
          <w:sz w:val="24"/>
          <w:szCs w:val="22"/>
          <w:highlight w:val="none"/>
        </w:rPr>
      </w:pPr>
      <w:r>
        <w:rPr>
          <w:rFonts w:hint="eastAsia" w:ascii="宋体" w:hAnsi="宋体" w:cs="宋体"/>
          <w:b/>
          <w:bCs/>
          <w:color w:val="auto"/>
          <w:sz w:val="24"/>
          <w:highlight w:val="none"/>
        </w:rPr>
        <w:t>12.开标地点：</w:t>
      </w:r>
      <w:r>
        <w:rPr>
          <w:rFonts w:hint="eastAsia" w:ascii="宋体" w:hAnsi="宋体" w:cs="宋体"/>
          <w:b/>
          <w:bCs/>
          <w:color w:val="auto"/>
          <w:sz w:val="24"/>
          <w:highlight w:val="none"/>
          <w:lang w:val="en-US" w:eastAsia="zh-CN"/>
        </w:rPr>
        <w:t>甘肃省第二人民医院制剂楼3楼</w:t>
      </w:r>
    </w:p>
    <w:p>
      <w:pPr>
        <w:spacing w:line="440" w:lineRule="exact"/>
        <w:rPr>
          <w:rFonts w:ascii="宋体" w:hAnsi="宋体" w:cs="宋体"/>
          <w:b/>
          <w:bCs/>
          <w:color w:val="auto"/>
          <w:sz w:val="24"/>
          <w:highlight w:val="none"/>
        </w:rPr>
      </w:pPr>
      <w:r>
        <w:rPr>
          <w:rFonts w:hint="eastAsia" w:ascii="宋体" w:hAnsi="宋体" w:cs="宋体"/>
          <w:b/>
          <w:bCs/>
          <w:color w:val="auto"/>
          <w:sz w:val="24"/>
          <w:highlight w:val="none"/>
        </w:rPr>
        <w:t>13.联系人姓名及电话：</w:t>
      </w:r>
    </w:p>
    <w:p>
      <w:pPr>
        <w:spacing w:line="440" w:lineRule="exact"/>
        <w:rPr>
          <w:rFonts w:ascii="宋体" w:hAnsi="宋体" w:cs="宋体"/>
          <w:color w:val="auto"/>
          <w:kern w:val="0"/>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en-US" w:eastAsia="zh-CN"/>
        </w:rPr>
        <w:t>甘肃省第二人民医院</w:t>
      </w:r>
    </w:p>
    <w:p>
      <w:pPr>
        <w:spacing w:line="440" w:lineRule="exact"/>
        <w:ind w:firstLine="240" w:firstLineChars="100"/>
        <w:rPr>
          <w:rFonts w:ascii="宋体" w:hAnsi="宋体" w:cs="宋体"/>
          <w:color w:val="auto"/>
          <w:kern w:val="0"/>
          <w:sz w:val="24"/>
          <w:szCs w:val="22"/>
          <w:highlight w:val="none"/>
        </w:rPr>
      </w:pPr>
      <w:r>
        <w:rPr>
          <w:rFonts w:hint="eastAsia" w:ascii="宋体" w:hAnsi="宋体" w:cs="宋体"/>
          <w:color w:val="auto"/>
          <w:kern w:val="0"/>
          <w:sz w:val="24"/>
          <w:szCs w:val="22"/>
          <w:highlight w:val="none"/>
        </w:rPr>
        <w:t>详细地址：兰州市城关区和政西街1号</w:t>
      </w:r>
    </w:p>
    <w:p>
      <w:pPr>
        <w:spacing w:line="440" w:lineRule="exact"/>
        <w:ind w:firstLine="240" w:firstLineChars="100"/>
        <w:rPr>
          <w:rFonts w:ascii="宋体" w:hAnsi="宋体" w:cs="宋体"/>
          <w:color w:val="auto"/>
          <w:kern w:val="0"/>
          <w:sz w:val="24"/>
          <w:szCs w:val="22"/>
          <w:highlight w:val="none"/>
        </w:rPr>
      </w:pPr>
      <w:r>
        <w:rPr>
          <w:rFonts w:hint="eastAsia" w:ascii="宋体" w:hAnsi="宋体" w:cs="宋体"/>
          <w:color w:val="auto"/>
          <w:kern w:val="0"/>
          <w:sz w:val="24"/>
          <w:szCs w:val="22"/>
          <w:highlight w:val="none"/>
        </w:rPr>
        <w:t>联系人：</w:t>
      </w:r>
      <w:r>
        <w:rPr>
          <w:rFonts w:hint="eastAsia" w:ascii="宋体" w:hAnsi="宋体" w:cs="宋体"/>
          <w:color w:val="auto"/>
          <w:kern w:val="0"/>
          <w:sz w:val="24"/>
          <w:szCs w:val="22"/>
          <w:highlight w:val="none"/>
          <w:lang w:val="en-US" w:eastAsia="zh-CN"/>
        </w:rPr>
        <w:t>李小强</w:t>
      </w:r>
      <w:r>
        <w:rPr>
          <w:rFonts w:hint="eastAsia" w:ascii="宋体" w:hAnsi="宋体" w:cs="宋体"/>
          <w:color w:val="auto"/>
          <w:kern w:val="0"/>
          <w:sz w:val="24"/>
          <w:szCs w:val="22"/>
          <w:highlight w:val="none"/>
        </w:rPr>
        <w:tab/>
      </w:r>
      <w:r>
        <w:rPr>
          <w:rFonts w:hint="eastAsia" w:ascii="宋体" w:hAnsi="宋体" w:cs="宋体"/>
          <w:color w:val="auto"/>
          <w:kern w:val="0"/>
          <w:sz w:val="24"/>
          <w:szCs w:val="22"/>
          <w:highlight w:val="none"/>
        </w:rPr>
        <w:t xml:space="preserve"> </w:t>
      </w:r>
    </w:p>
    <w:p>
      <w:pPr>
        <w:spacing w:line="440" w:lineRule="exact"/>
        <w:ind w:firstLine="240" w:firstLineChars="100"/>
        <w:rPr>
          <w:rFonts w:hint="default" w:ascii="宋体" w:hAnsi="宋体" w:cs="宋体"/>
          <w:color w:val="auto"/>
          <w:kern w:val="0"/>
          <w:sz w:val="24"/>
          <w:szCs w:val="22"/>
          <w:highlight w:val="none"/>
          <w:lang w:val="en-US"/>
        </w:rPr>
      </w:pPr>
      <w:r>
        <w:rPr>
          <w:rFonts w:hint="eastAsia" w:ascii="宋体" w:hAnsi="宋体" w:cs="宋体"/>
          <w:color w:val="auto"/>
          <w:kern w:val="0"/>
          <w:sz w:val="24"/>
          <w:szCs w:val="22"/>
          <w:highlight w:val="none"/>
        </w:rPr>
        <w:t>联系电话：</w:t>
      </w:r>
      <w:r>
        <w:rPr>
          <w:rFonts w:hint="eastAsia" w:ascii="宋体" w:hAnsi="宋体" w:cs="宋体"/>
          <w:color w:val="auto"/>
          <w:kern w:val="0"/>
          <w:sz w:val="24"/>
          <w:szCs w:val="22"/>
          <w:highlight w:val="none"/>
          <w:lang w:val="en-US" w:eastAsia="zh-CN"/>
        </w:rPr>
        <w:t>0931-4923517</w:t>
      </w:r>
    </w:p>
    <w:p>
      <w:pPr>
        <w:pStyle w:val="3"/>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 xml:space="preserve">            </w:t>
      </w:r>
    </w:p>
    <w:p>
      <w:pPr>
        <w:pStyle w:val="3"/>
        <w:rPr>
          <w:rFonts w:hint="eastAsia" w:ascii="宋体" w:hAnsi="宋体" w:cs="宋体"/>
          <w:color w:val="auto"/>
          <w:kern w:val="0"/>
          <w:sz w:val="24"/>
          <w:szCs w:val="22"/>
          <w:highlight w:val="none"/>
        </w:rPr>
      </w:pPr>
    </w:p>
    <w:p>
      <w:pPr>
        <w:pStyle w:val="3"/>
        <w:rPr>
          <w:rFonts w:hint="eastAsia" w:ascii="宋体" w:hAnsi="宋体" w:cs="宋体"/>
          <w:color w:val="auto"/>
          <w:kern w:val="0"/>
          <w:sz w:val="24"/>
          <w:szCs w:val="22"/>
          <w:highlight w:val="none"/>
        </w:rPr>
      </w:pPr>
    </w:p>
    <w:p>
      <w:pPr>
        <w:pStyle w:val="3"/>
        <w:rPr>
          <w:rFonts w:hint="eastAsia" w:ascii="宋体" w:hAnsi="宋体" w:cs="宋体"/>
          <w:b w:val="0"/>
          <w:bCs w:val="0"/>
          <w:color w:val="auto"/>
          <w:kern w:val="0"/>
          <w:sz w:val="24"/>
          <w:szCs w:val="22"/>
          <w:highlight w:val="none"/>
        </w:rPr>
      </w:pPr>
      <w:r>
        <w:rPr>
          <w:rFonts w:hint="eastAsia" w:ascii="宋体" w:hAnsi="宋体" w:cs="宋体"/>
          <w:color w:val="auto"/>
          <w:kern w:val="0"/>
          <w:sz w:val="24"/>
          <w:szCs w:val="22"/>
          <w:highlight w:val="none"/>
        </w:rPr>
        <w:t xml:space="preserve">                       </w:t>
      </w:r>
      <w:r>
        <w:rPr>
          <w:rFonts w:hint="eastAsia" w:ascii="宋体" w:hAnsi="宋体" w:cs="宋体"/>
          <w:b w:val="0"/>
          <w:bCs w:val="0"/>
          <w:color w:val="auto"/>
          <w:kern w:val="0"/>
          <w:sz w:val="24"/>
          <w:szCs w:val="22"/>
          <w:highlight w:val="none"/>
        </w:rPr>
        <w:t>20</w:t>
      </w:r>
      <w:r>
        <w:rPr>
          <w:rFonts w:ascii="宋体" w:hAnsi="宋体" w:cs="宋体"/>
          <w:b w:val="0"/>
          <w:bCs w:val="0"/>
          <w:color w:val="auto"/>
          <w:kern w:val="0"/>
          <w:sz w:val="24"/>
          <w:szCs w:val="22"/>
          <w:highlight w:val="none"/>
        </w:rPr>
        <w:t>2</w:t>
      </w:r>
      <w:r>
        <w:rPr>
          <w:rFonts w:hint="eastAsia" w:ascii="宋体" w:hAnsi="宋体" w:cs="宋体"/>
          <w:b w:val="0"/>
          <w:bCs w:val="0"/>
          <w:color w:val="auto"/>
          <w:kern w:val="0"/>
          <w:sz w:val="24"/>
          <w:szCs w:val="22"/>
          <w:highlight w:val="none"/>
          <w:lang w:val="en-US" w:eastAsia="zh-CN"/>
        </w:rPr>
        <w:t>3</w:t>
      </w:r>
      <w:r>
        <w:rPr>
          <w:rFonts w:hint="eastAsia" w:ascii="宋体" w:hAnsi="宋体" w:cs="宋体"/>
          <w:b w:val="0"/>
          <w:bCs w:val="0"/>
          <w:color w:val="auto"/>
          <w:kern w:val="0"/>
          <w:sz w:val="24"/>
          <w:szCs w:val="22"/>
          <w:highlight w:val="none"/>
        </w:rPr>
        <w:t>年</w:t>
      </w:r>
      <w:r>
        <w:rPr>
          <w:rFonts w:hint="eastAsia" w:ascii="宋体" w:hAnsi="宋体" w:cs="宋体"/>
          <w:b w:val="0"/>
          <w:bCs w:val="0"/>
          <w:color w:val="auto"/>
          <w:kern w:val="0"/>
          <w:sz w:val="24"/>
          <w:szCs w:val="22"/>
          <w:highlight w:val="none"/>
          <w:lang w:val="en-US" w:eastAsia="zh-CN"/>
        </w:rPr>
        <w:t>4</w:t>
      </w:r>
      <w:r>
        <w:rPr>
          <w:rFonts w:hint="eastAsia" w:ascii="宋体" w:hAnsi="宋体" w:cs="宋体"/>
          <w:b w:val="0"/>
          <w:bCs w:val="0"/>
          <w:color w:val="auto"/>
          <w:kern w:val="0"/>
          <w:sz w:val="24"/>
          <w:szCs w:val="22"/>
          <w:highlight w:val="none"/>
        </w:rPr>
        <w:t>月</w:t>
      </w:r>
      <w:r>
        <w:rPr>
          <w:rFonts w:hint="eastAsia" w:ascii="宋体" w:hAnsi="宋体" w:cs="宋体"/>
          <w:b w:val="0"/>
          <w:bCs w:val="0"/>
          <w:color w:val="auto"/>
          <w:kern w:val="0"/>
          <w:sz w:val="24"/>
          <w:szCs w:val="22"/>
          <w:highlight w:val="none"/>
          <w:lang w:val="en-US" w:eastAsia="zh-CN"/>
        </w:rPr>
        <w:t>11</w:t>
      </w:r>
      <w:r>
        <w:rPr>
          <w:rFonts w:hint="eastAsia" w:ascii="宋体" w:hAnsi="宋体" w:cs="宋体"/>
          <w:b w:val="0"/>
          <w:bCs w:val="0"/>
          <w:color w:val="auto"/>
          <w:kern w:val="0"/>
          <w:sz w:val="24"/>
          <w:szCs w:val="22"/>
          <w:highlight w:val="none"/>
        </w:rPr>
        <w:t>日</w:t>
      </w:r>
    </w:p>
    <w:p>
      <w:pPr>
        <w:rPr>
          <w:rFonts w:hint="eastAsia" w:ascii="宋体" w:hAnsi="宋体" w:cs="宋体"/>
          <w:b w:val="0"/>
          <w:bCs w:val="0"/>
          <w:color w:val="auto"/>
          <w:kern w:val="0"/>
          <w:sz w:val="24"/>
          <w:szCs w:val="22"/>
          <w:highlight w:val="none"/>
        </w:rPr>
      </w:pPr>
    </w:p>
    <w:p>
      <w:pPr>
        <w:pStyle w:val="3"/>
        <w:rPr>
          <w:rFonts w:hint="eastAsia" w:ascii="宋体" w:hAnsi="宋体" w:cs="宋体"/>
          <w:b w:val="0"/>
          <w:bCs w:val="0"/>
          <w:color w:val="auto"/>
          <w:kern w:val="0"/>
          <w:sz w:val="24"/>
          <w:szCs w:val="22"/>
          <w:highlight w:val="none"/>
        </w:rPr>
      </w:pPr>
    </w:p>
    <w:p>
      <w:pPr>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6"/>
        <w:ind w:left="0" w:leftChars="0" w:firstLine="0" w:firstLineChars="0"/>
        <w:rPr>
          <w:rFonts w:hint="eastAsia" w:ascii="宋体" w:hAnsi="宋体" w:cs="宋体"/>
          <w:b w:val="0"/>
          <w:bCs w:val="0"/>
          <w:color w:val="auto"/>
          <w:kern w:val="0"/>
          <w:sz w:val="24"/>
          <w:szCs w:val="22"/>
          <w:highlight w:val="none"/>
        </w:rPr>
      </w:pPr>
    </w:p>
    <w:p>
      <w:pPr>
        <w:pStyle w:val="36"/>
        <w:ind w:left="0" w:leftChars="0" w:firstLine="0" w:firstLineChars="0"/>
        <w:rPr>
          <w:rFonts w:hint="eastAsia" w:ascii="宋体" w:hAnsi="宋体" w:cs="宋体"/>
          <w:b w:val="0"/>
          <w:bCs w:val="0"/>
          <w:color w:val="auto"/>
          <w:kern w:val="0"/>
          <w:sz w:val="24"/>
          <w:szCs w:val="22"/>
          <w:highlight w:val="none"/>
        </w:rPr>
      </w:pPr>
    </w:p>
    <w:p>
      <w:pPr>
        <w:pStyle w:val="36"/>
        <w:rPr>
          <w:rFonts w:hint="eastAsia" w:ascii="宋体" w:hAnsi="宋体" w:cs="宋体"/>
          <w:b w:val="0"/>
          <w:bCs w:val="0"/>
          <w:color w:val="auto"/>
          <w:kern w:val="0"/>
          <w:sz w:val="24"/>
          <w:szCs w:val="22"/>
          <w:highlight w:val="none"/>
        </w:rPr>
      </w:pPr>
    </w:p>
    <w:p>
      <w:pPr>
        <w:pStyle w:val="3"/>
        <w:rPr>
          <w:rFonts w:ascii="宋体" w:hAnsi="宋体" w:cs="宋体"/>
          <w:sz w:val="32"/>
          <w:szCs w:val="32"/>
          <w:highlight w:val="none"/>
        </w:rPr>
      </w:pPr>
      <w:r>
        <w:rPr>
          <w:rFonts w:hint="eastAsia" w:ascii="宋体" w:hAnsi="宋体" w:cs="宋体"/>
          <w:sz w:val="32"/>
          <w:szCs w:val="32"/>
          <w:highlight w:val="none"/>
        </w:rPr>
        <w:t>第二章  投标人须知</w:t>
      </w:r>
      <w:bookmarkEnd w:id="13"/>
      <w:bookmarkEnd w:id="14"/>
      <w:bookmarkEnd w:id="15"/>
    </w:p>
    <w:p>
      <w:pPr>
        <w:pStyle w:val="4"/>
        <w:keepNext/>
        <w:keepLines/>
        <w:pageBreakBefore w:val="0"/>
        <w:widowControl w:val="0"/>
        <w:kinsoku/>
        <w:wordWrap/>
        <w:overflowPunct/>
        <w:topLinePunct w:val="0"/>
        <w:autoSpaceDE/>
        <w:autoSpaceDN/>
        <w:bidi w:val="0"/>
        <w:adjustRightInd/>
        <w:snapToGrid/>
        <w:spacing w:before="20" w:after="20" w:line="240" w:lineRule="auto"/>
        <w:textAlignment w:val="auto"/>
        <w:rPr>
          <w:rFonts w:ascii="宋体" w:hAnsi="宋体" w:cs="宋体"/>
          <w:sz w:val="28"/>
          <w:szCs w:val="20"/>
          <w:highlight w:val="none"/>
        </w:rPr>
      </w:pPr>
      <w:bookmarkStart w:id="16" w:name="_Toc20547"/>
      <w:bookmarkStart w:id="17" w:name="_Toc6934"/>
      <w:bookmarkStart w:id="18" w:name="_Toc17569"/>
      <w:bookmarkStart w:id="19" w:name="_Toc6202"/>
      <w:bookmarkStart w:id="20" w:name="_Toc21668"/>
      <w:r>
        <w:rPr>
          <w:rFonts w:hint="eastAsia" w:ascii="宋体" w:hAnsi="宋体" w:cs="宋体"/>
          <w:sz w:val="28"/>
          <w:szCs w:val="20"/>
          <w:highlight w:val="none"/>
        </w:rPr>
        <w:t>投标人须知</w:t>
      </w:r>
      <w:bookmarkEnd w:id="6"/>
      <w:bookmarkEnd w:id="7"/>
      <w:bookmarkEnd w:id="8"/>
      <w:r>
        <w:rPr>
          <w:rFonts w:hint="eastAsia" w:ascii="宋体" w:hAnsi="宋体" w:cs="宋体"/>
          <w:sz w:val="28"/>
          <w:szCs w:val="20"/>
          <w:highlight w:val="none"/>
        </w:rPr>
        <w:t>前附表</w:t>
      </w:r>
      <w:bookmarkEnd w:id="9"/>
      <w:bookmarkEnd w:id="16"/>
      <w:bookmarkEnd w:id="17"/>
      <w:bookmarkEnd w:id="18"/>
      <w:bookmarkEnd w:id="19"/>
      <w:bookmarkEnd w:id="20"/>
    </w:p>
    <w:p>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注：本前附表中的内容是对投标人须知的具体补充和修改，如果有矛盾，应以本前附表内容为准。</w:t>
      </w:r>
    </w:p>
    <w:tbl>
      <w:tblPr>
        <w:tblStyle w:val="38"/>
        <w:tblW w:w="9519" w:type="dxa"/>
        <w:tblInd w:w="0"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696"/>
        <w:gridCol w:w="2351"/>
        <w:gridCol w:w="6472"/>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序号</w:t>
            </w:r>
          </w:p>
        </w:tc>
        <w:tc>
          <w:tcPr>
            <w:tcW w:w="2351"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条款名称</w:t>
            </w:r>
          </w:p>
        </w:tc>
        <w:tc>
          <w:tcPr>
            <w:tcW w:w="6472" w:type="dxa"/>
            <w:tcBorders>
              <w:tl2br w:val="nil"/>
              <w:tr2bl w:val="nil"/>
            </w:tcBorders>
          </w:tcPr>
          <w:p>
            <w:pPr>
              <w:spacing w:line="360" w:lineRule="auto"/>
              <w:jc w:val="center"/>
              <w:rPr>
                <w:rFonts w:ascii="宋体" w:hAnsi="宋体" w:cs="宋体"/>
                <w:bCs/>
                <w:sz w:val="24"/>
                <w:highlight w:val="none"/>
              </w:rPr>
            </w:pPr>
            <w:r>
              <w:rPr>
                <w:rFonts w:hint="eastAsia" w:ascii="宋体" w:hAnsi="宋体" w:cs="宋体"/>
                <w:bCs/>
                <w:sz w:val="24"/>
                <w:highlight w:val="none"/>
              </w:rPr>
              <w:t>条款说明和要求</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725"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szCs w:val="30"/>
                <w:highlight w:val="none"/>
              </w:rPr>
              <w:t>项目名称</w:t>
            </w:r>
          </w:p>
        </w:tc>
        <w:tc>
          <w:tcPr>
            <w:tcW w:w="6472" w:type="dxa"/>
            <w:tcBorders>
              <w:tl2br w:val="nil"/>
              <w:tr2bl w:val="nil"/>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甘肃省第二人民医院金属浴、移液器、分光光度计、冰箱采购项目</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szCs w:val="30"/>
                <w:highlight w:val="none"/>
              </w:rPr>
            </w:pPr>
            <w:r>
              <w:rPr>
                <w:rFonts w:hint="eastAsia" w:ascii="宋体" w:hAnsi="宋体" w:cs="宋体"/>
                <w:sz w:val="24"/>
                <w:szCs w:val="30"/>
                <w:highlight w:val="none"/>
              </w:rPr>
              <w:t>招标文件编号</w:t>
            </w:r>
          </w:p>
        </w:tc>
        <w:tc>
          <w:tcPr>
            <w:tcW w:w="6472" w:type="dxa"/>
            <w:tcBorders>
              <w:tl2br w:val="nil"/>
              <w:tr2bl w:val="nil"/>
            </w:tcBorders>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b/>
                <w:bCs/>
                <w:color w:val="auto"/>
                <w:sz w:val="24"/>
                <w:highlight w:val="none"/>
              </w:rPr>
              <w:t>SEY-202</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YNCG-0</w:t>
            </w:r>
            <w:r>
              <w:rPr>
                <w:rFonts w:hint="eastAsia" w:ascii="宋体" w:hAnsi="宋体" w:cs="宋体"/>
                <w:b/>
                <w:bCs/>
                <w:color w:val="auto"/>
                <w:sz w:val="24"/>
                <w:highlight w:val="none"/>
                <w:lang w:val="en-US" w:eastAsia="zh-CN"/>
              </w:rPr>
              <w:t>34</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szCs w:val="30"/>
                <w:highlight w:val="none"/>
              </w:rPr>
            </w:pPr>
            <w:r>
              <w:rPr>
                <w:rFonts w:hint="eastAsia" w:ascii="宋体" w:hAnsi="宋体" w:cs="宋体"/>
                <w:sz w:val="24"/>
                <w:szCs w:val="30"/>
                <w:highlight w:val="none"/>
              </w:rPr>
              <w:t>采购方式</w:t>
            </w:r>
          </w:p>
        </w:tc>
        <w:tc>
          <w:tcPr>
            <w:tcW w:w="6472" w:type="dxa"/>
            <w:tcBorders>
              <w:tl2br w:val="nil"/>
              <w:tr2bl w:val="nil"/>
            </w:tcBorders>
          </w:tcPr>
          <w:p>
            <w:pPr>
              <w:spacing w:line="360" w:lineRule="auto"/>
              <w:rPr>
                <w:rFonts w:ascii="宋体" w:hAnsi="宋体" w:cs="宋体"/>
                <w:kern w:val="0"/>
                <w:sz w:val="24"/>
                <w:szCs w:val="22"/>
                <w:highlight w:val="none"/>
              </w:rPr>
            </w:pPr>
            <w:r>
              <w:rPr>
                <w:rFonts w:hint="eastAsia" w:ascii="宋体" w:hAnsi="宋体" w:cs="宋体"/>
                <w:kern w:val="0"/>
                <w:sz w:val="24"/>
                <w:szCs w:val="22"/>
                <w:highlight w:val="none"/>
              </w:rPr>
              <w:t>公开招标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789"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kern w:val="0"/>
                <w:sz w:val="24"/>
                <w:szCs w:val="22"/>
                <w:highlight w:val="none"/>
              </w:rPr>
            </w:pPr>
            <w:r>
              <w:rPr>
                <w:rFonts w:hint="eastAsia" w:ascii="宋体" w:hAnsi="宋体" w:cs="宋体"/>
                <w:sz w:val="24"/>
                <w:szCs w:val="30"/>
                <w:highlight w:val="none"/>
              </w:rPr>
              <w:t>采购人</w:t>
            </w:r>
          </w:p>
        </w:tc>
        <w:tc>
          <w:tcPr>
            <w:tcW w:w="6472" w:type="dxa"/>
            <w:tcBorders>
              <w:tl2br w:val="nil"/>
              <w:tr2bl w:val="nil"/>
            </w:tcBorders>
          </w:tcPr>
          <w:p>
            <w:pPr>
              <w:numPr>
                <w:ilvl w:val="0"/>
                <w:numId w:val="2"/>
              </w:numPr>
              <w:spacing w:line="360" w:lineRule="auto"/>
              <w:rPr>
                <w:rFonts w:ascii="宋体" w:hAnsi="宋体" w:cs="宋体"/>
                <w:sz w:val="24"/>
                <w:szCs w:val="30"/>
                <w:highlight w:val="none"/>
              </w:rPr>
            </w:pPr>
            <w:r>
              <w:rPr>
                <w:rFonts w:hint="eastAsia" w:ascii="宋体" w:hAnsi="宋体" w:cs="宋体"/>
                <w:sz w:val="24"/>
                <w:szCs w:val="30"/>
                <w:highlight w:val="none"/>
              </w:rPr>
              <w:t>单位名称：甘肃省第二人民医院</w:t>
            </w:r>
          </w:p>
          <w:p>
            <w:pPr>
              <w:numPr>
                <w:ilvl w:val="0"/>
                <w:numId w:val="2"/>
              </w:numPr>
              <w:spacing w:line="360" w:lineRule="auto"/>
              <w:rPr>
                <w:rFonts w:ascii="宋体" w:hAnsi="宋体" w:cs="宋体"/>
                <w:sz w:val="24"/>
                <w:szCs w:val="30"/>
                <w:highlight w:val="none"/>
              </w:rPr>
            </w:pPr>
            <w:r>
              <w:rPr>
                <w:rFonts w:hint="eastAsia" w:ascii="宋体" w:hAnsi="宋体" w:cs="宋体"/>
                <w:sz w:val="24"/>
                <w:szCs w:val="30"/>
                <w:highlight w:val="none"/>
              </w:rPr>
              <w:t>详细地址：兰州市城关区和政西街1号</w:t>
            </w:r>
          </w:p>
          <w:p>
            <w:pPr>
              <w:spacing w:line="440" w:lineRule="exact"/>
              <w:rPr>
                <w:rFonts w:ascii="宋体" w:hAnsi="宋体" w:cs="宋体"/>
                <w:kern w:val="0"/>
                <w:sz w:val="24"/>
                <w:szCs w:val="22"/>
                <w:highlight w:val="none"/>
              </w:rPr>
            </w:pPr>
            <w:r>
              <w:rPr>
                <w:rFonts w:hint="eastAsia" w:ascii="宋体" w:hAnsi="宋体" w:cs="宋体"/>
                <w:kern w:val="0"/>
                <w:sz w:val="24"/>
                <w:szCs w:val="22"/>
                <w:highlight w:val="none"/>
              </w:rPr>
              <w:t>3）联系人：</w:t>
            </w:r>
            <w:r>
              <w:rPr>
                <w:rFonts w:hint="eastAsia" w:ascii="宋体" w:hAnsi="宋体" w:cs="宋体"/>
                <w:kern w:val="0"/>
                <w:sz w:val="24"/>
                <w:highlight w:val="none"/>
              </w:rPr>
              <w:t>李小强</w:t>
            </w:r>
          </w:p>
          <w:p>
            <w:pPr>
              <w:spacing w:line="440" w:lineRule="exact"/>
              <w:rPr>
                <w:rFonts w:hint="default" w:ascii="宋体" w:hAnsi="宋体" w:eastAsia="宋体" w:cs="宋体"/>
                <w:sz w:val="24"/>
                <w:szCs w:val="30"/>
                <w:highlight w:val="none"/>
                <w:lang w:val="en-US" w:eastAsia="zh-CN"/>
              </w:rPr>
            </w:pPr>
            <w:r>
              <w:rPr>
                <w:rFonts w:hint="eastAsia" w:ascii="宋体" w:hAnsi="宋体" w:cs="宋体"/>
                <w:kern w:val="0"/>
                <w:sz w:val="24"/>
                <w:szCs w:val="22"/>
                <w:highlight w:val="none"/>
              </w:rPr>
              <w:t>4）联系电话：</w:t>
            </w:r>
            <w:r>
              <w:rPr>
                <w:rFonts w:hint="eastAsia" w:ascii="宋体" w:hAnsi="宋体" w:cs="宋体"/>
                <w:color w:val="000000" w:themeColor="text1"/>
                <w:kern w:val="0"/>
                <w:sz w:val="24"/>
                <w:szCs w:val="22"/>
                <w:highlight w:val="none"/>
              </w:rPr>
              <w:t>0931-4923</w:t>
            </w:r>
            <w:r>
              <w:rPr>
                <w:rFonts w:hint="eastAsia" w:ascii="宋体" w:hAnsi="宋体" w:cs="宋体"/>
                <w:color w:val="000000" w:themeColor="text1"/>
                <w:kern w:val="0"/>
                <w:sz w:val="24"/>
                <w:szCs w:val="22"/>
                <w:highlight w:val="none"/>
                <w:lang w:val="en-US" w:eastAsia="zh-CN"/>
              </w:rPr>
              <w:t>517</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94"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idowControl/>
              <w:autoSpaceDN w:val="0"/>
              <w:spacing w:line="360" w:lineRule="auto"/>
              <w:jc w:val="center"/>
              <w:rPr>
                <w:rFonts w:ascii="宋体" w:hAnsi="宋体" w:cs="宋体"/>
                <w:sz w:val="24"/>
                <w:highlight w:val="none"/>
              </w:rPr>
            </w:pPr>
            <w:r>
              <w:rPr>
                <w:rFonts w:hint="eastAsia" w:ascii="宋体" w:hAnsi="宋体" w:cs="宋体"/>
                <w:sz w:val="24"/>
                <w:highlight w:val="none"/>
              </w:rPr>
              <w:t>投标人的资格条件</w:t>
            </w:r>
          </w:p>
        </w:tc>
        <w:tc>
          <w:tcPr>
            <w:tcW w:w="6472" w:type="dxa"/>
            <w:tcBorders>
              <w:tl2br w:val="nil"/>
              <w:tr2bl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1</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2</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0"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ascii="宋体" w:hAnsi="宋体" w:cs="宋体"/>
                <w:sz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cs="宋体"/>
                <w:b w:val="0"/>
                <w:bCs w:val="0"/>
                <w:kern w:val="0"/>
                <w:sz w:val="24"/>
                <w:szCs w:val="24"/>
                <w:highlight w:val="none"/>
                <w:lang w:val="en-US" w:eastAsia="zh-CN"/>
              </w:rPr>
              <w:t>5</w:t>
            </w:r>
            <w:r>
              <w:rPr>
                <w:rFonts w:hint="eastAsia" w:ascii="宋体" w:hAnsi="宋体" w:eastAsia="宋体" w:cs="宋体"/>
                <w:b w:val="0"/>
                <w:bCs w:val="0"/>
                <w:kern w:val="0"/>
                <w:sz w:val="24"/>
                <w:szCs w:val="24"/>
                <w:highlight w:val="none"/>
                <w:lang w:eastAsia="zh-CN"/>
              </w:rPr>
              <w:t>）</w:t>
            </w:r>
            <w:r>
              <w:rPr>
                <w:rFonts w:hint="eastAsia" w:ascii="宋体" w:hAnsi="宋体" w:cs="宋体"/>
                <w:color w:val="auto"/>
                <w:sz w:val="24"/>
                <w:highlight w:val="none"/>
              </w:rPr>
              <w:t>本项目不接受联合体投标。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ordWrap w:val="0"/>
              <w:spacing w:line="360" w:lineRule="auto"/>
              <w:jc w:val="center"/>
              <w:rPr>
                <w:rFonts w:ascii="宋体" w:hAnsi="宋体" w:cs="宋体"/>
                <w:sz w:val="24"/>
                <w:highlight w:val="none"/>
              </w:rPr>
            </w:pPr>
            <w:r>
              <w:rPr>
                <w:rFonts w:hint="eastAsia" w:ascii="宋体" w:hAnsi="宋体" w:cs="宋体"/>
                <w:color w:val="000000"/>
                <w:sz w:val="24"/>
                <w:highlight w:val="none"/>
              </w:rPr>
              <w:t>项目现场勘察</w:t>
            </w:r>
          </w:p>
        </w:tc>
        <w:tc>
          <w:tcPr>
            <w:tcW w:w="6472" w:type="dxa"/>
            <w:tcBorders>
              <w:tl2br w:val="nil"/>
              <w:tr2bl w:val="nil"/>
            </w:tcBorders>
          </w:tcPr>
          <w:p>
            <w:pPr>
              <w:wordWrap w:val="0"/>
              <w:spacing w:line="360" w:lineRule="auto"/>
              <w:rPr>
                <w:rFonts w:ascii="宋体" w:hAnsi="宋体" w:cs="宋体"/>
                <w:color w:val="000000"/>
                <w:sz w:val="24"/>
                <w:highlight w:val="none"/>
              </w:rPr>
            </w:pPr>
            <w:r>
              <w:rPr>
                <w:rFonts w:hint="eastAsia" w:ascii="宋体" w:hAnsi="宋体" w:cs="宋体"/>
                <w:color w:val="000000"/>
                <w:sz w:val="24"/>
                <w:highlight w:val="none"/>
              </w:rPr>
              <w:t>√不组织</w:t>
            </w:r>
          </w:p>
          <w:p>
            <w:pPr>
              <w:wordWrap w:val="0"/>
              <w:spacing w:line="360" w:lineRule="auto"/>
              <w:rPr>
                <w:rFonts w:ascii="宋体" w:hAnsi="宋体" w:cs="宋体"/>
                <w:color w:val="000000" w:themeColor="text1"/>
                <w:spacing w:val="10"/>
                <w:kern w:val="0"/>
                <w:sz w:val="24"/>
                <w:highlight w:val="none"/>
              </w:rPr>
            </w:pPr>
            <w:r>
              <w:rPr>
                <w:rFonts w:hint="eastAsia" w:ascii="宋体" w:hAnsi="宋体" w:cs="宋体"/>
                <w:color w:val="000000"/>
                <w:sz w:val="24"/>
                <w:highlight w:val="none"/>
              </w:rPr>
              <w:t>□组织：</w:t>
            </w:r>
            <w:r>
              <w:rPr>
                <w:rFonts w:hint="eastAsia" w:ascii="宋体" w:hAnsi="宋体" w:cs="宋体"/>
                <w:color w:val="000000"/>
                <w:sz w:val="24"/>
                <w:highlight w:val="none"/>
                <w:u w:val="single"/>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254"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24"/>
              <w:spacing w:line="360" w:lineRule="auto"/>
              <w:ind w:left="63" w:right="48"/>
              <w:jc w:val="center"/>
              <w:rPr>
                <w:sz w:val="24"/>
                <w:highlight w:val="none"/>
              </w:rPr>
            </w:pPr>
            <w:r>
              <w:rPr>
                <w:sz w:val="24"/>
                <w:highlight w:val="none"/>
              </w:rPr>
              <w:t>样品</w:t>
            </w:r>
          </w:p>
        </w:tc>
        <w:tc>
          <w:tcPr>
            <w:tcW w:w="6472" w:type="dxa"/>
            <w:tcBorders>
              <w:tl2br w:val="nil"/>
              <w:tr2bl w:val="nil"/>
            </w:tcBorders>
          </w:tcPr>
          <w:p>
            <w:pPr>
              <w:pStyle w:val="224"/>
              <w:spacing w:before="1" w:line="360" w:lineRule="auto"/>
              <w:ind w:left="112"/>
              <w:rPr>
                <w:sz w:val="24"/>
                <w:highlight w:val="none"/>
              </w:rPr>
            </w:pPr>
            <w:r>
              <w:rPr>
                <w:rFonts w:ascii="Times New Roman" w:hAnsi="Times New Roman" w:eastAsia="Times New Roman"/>
                <w:spacing w:val="-1"/>
                <w:sz w:val="24"/>
                <w:highlight w:val="none"/>
              </w:rPr>
              <w:t>√</w:t>
            </w:r>
            <w:r>
              <w:rPr>
                <w:spacing w:val="-1"/>
                <w:sz w:val="24"/>
                <w:highlight w:val="none"/>
              </w:rPr>
              <w:t>不要求提供</w:t>
            </w:r>
          </w:p>
          <w:p>
            <w:pPr>
              <w:pStyle w:val="224"/>
              <w:spacing w:before="2" w:line="360" w:lineRule="auto"/>
              <w:ind w:left="112"/>
              <w:rPr>
                <w:sz w:val="24"/>
                <w:highlight w:val="none"/>
              </w:rPr>
            </w:pPr>
            <w:r>
              <w:rPr>
                <w:rFonts w:ascii="Times New Roman" w:hAnsi="Times New Roman" w:eastAsia="Times New Roman"/>
                <w:spacing w:val="-1"/>
                <w:sz w:val="24"/>
                <w:highlight w:val="none"/>
              </w:rPr>
              <w:t>□</w:t>
            </w:r>
            <w:r>
              <w:rPr>
                <w:spacing w:val="-3"/>
                <w:sz w:val="24"/>
                <w:highlight w:val="none"/>
              </w:rPr>
              <w:t>要求提供：</w:t>
            </w:r>
          </w:p>
          <w:p>
            <w:pPr>
              <w:pStyle w:val="224"/>
              <w:tabs>
                <w:tab w:val="left" w:pos="4682"/>
              </w:tabs>
              <w:spacing w:before="5" w:line="360" w:lineRule="auto"/>
              <w:rPr>
                <w:sz w:val="24"/>
                <w:highlight w:val="none"/>
              </w:rPr>
            </w:pPr>
            <w:r>
              <w:rPr>
                <w:rFonts w:hint="eastAsia"/>
                <w:sz w:val="24"/>
                <w:highlight w:val="none"/>
              </w:rPr>
              <w:t>1.</w:t>
            </w:r>
            <w:r>
              <w:rPr>
                <w:sz w:val="24"/>
                <w:highlight w:val="none"/>
              </w:rPr>
              <w:t>样</w:t>
            </w:r>
            <w:r>
              <w:rPr>
                <w:spacing w:val="-3"/>
                <w:sz w:val="24"/>
                <w:highlight w:val="none"/>
              </w:rPr>
              <w:t>品</w:t>
            </w:r>
            <w:r>
              <w:rPr>
                <w:sz w:val="24"/>
                <w:highlight w:val="none"/>
              </w:rPr>
              <w:t>制</w:t>
            </w:r>
            <w:r>
              <w:rPr>
                <w:spacing w:val="-3"/>
                <w:sz w:val="24"/>
                <w:highlight w:val="none"/>
              </w:rPr>
              <w:t>作</w:t>
            </w:r>
            <w:r>
              <w:rPr>
                <w:sz w:val="24"/>
                <w:highlight w:val="none"/>
              </w:rPr>
              <w:t>的</w:t>
            </w:r>
            <w:r>
              <w:rPr>
                <w:spacing w:val="-3"/>
                <w:sz w:val="24"/>
                <w:highlight w:val="none"/>
              </w:rPr>
              <w:t>标</w:t>
            </w:r>
            <w:r>
              <w:rPr>
                <w:sz w:val="24"/>
                <w:highlight w:val="none"/>
              </w:rPr>
              <w:t>准</w:t>
            </w:r>
            <w:r>
              <w:rPr>
                <w:spacing w:val="-3"/>
                <w:sz w:val="24"/>
                <w:highlight w:val="none"/>
              </w:rPr>
              <w:t>和</w:t>
            </w:r>
            <w:r>
              <w:rPr>
                <w:sz w:val="24"/>
                <w:highlight w:val="none"/>
              </w:rPr>
              <w:t>要</w:t>
            </w:r>
            <w:r>
              <w:rPr>
                <w:spacing w:val="-3"/>
                <w:sz w:val="24"/>
                <w:highlight w:val="none"/>
              </w:rPr>
              <w:t>求</w:t>
            </w:r>
            <w:r>
              <w:rPr>
                <w:sz w:val="24"/>
                <w:highlight w:val="none"/>
              </w:rPr>
              <w:t>：</w:t>
            </w:r>
            <w:r>
              <w:rPr>
                <w:sz w:val="24"/>
                <w:highlight w:val="none"/>
                <w:u w:val="single"/>
              </w:rPr>
              <w:tab/>
            </w:r>
            <w:r>
              <w:rPr>
                <w:sz w:val="24"/>
                <w:highlight w:val="none"/>
              </w:rPr>
              <w:t>。</w:t>
            </w:r>
          </w:p>
          <w:p>
            <w:pPr>
              <w:pStyle w:val="224"/>
              <w:tabs>
                <w:tab w:val="left" w:pos="272"/>
              </w:tabs>
              <w:spacing w:before="1" w:line="360" w:lineRule="auto"/>
              <w:ind w:right="92"/>
              <w:jc w:val="left"/>
              <w:rPr>
                <w:sz w:val="24"/>
                <w:highlight w:val="none"/>
              </w:rPr>
            </w:pPr>
            <w:r>
              <w:rPr>
                <w:rFonts w:hint="eastAsia"/>
                <w:spacing w:val="-4"/>
                <w:sz w:val="24"/>
                <w:highlight w:val="none"/>
              </w:rPr>
              <w:t>2.</w:t>
            </w:r>
            <w:r>
              <w:rPr>
                <w:spacing w:val="-4"/>
                <w:sz w:val="24"/>
                <w:highlight w:val="none"/>
              </w:rPr>
              <w:t>样品检测报告：</w:t>
            </w:r>
            <w:r>
              <w:rPr>
                <w:rFonts w:ascii="Times New Roman" w:hAnsi="Times New Roman" w:eastAsia="Times New Roman"/>
                <w:spacing w:val="-4"/>
                <w:sz w:val="24"/>
                <w:highlight w:val="none"/>
              </w:rPr>
              <w:t>(√</w:t>
            </w:r>
            <w:r>
              <w:rPr>
                <w:spacing w:val="-4"/>
                <w:sz w:val="24"/>
                <w:highlight w:val="none"/>
              </w:rPr>
              <w:t>否；</w:t>
            </w:r>
            <w:r>
              <w:rPr>
                <w:rFonts w:ascii="Times New Roman" w:hAnsi="Times New Roman" w:eastAsia="Times New Roman"/>
                <w:spacing w:val="-8"/>
                <w:sz w:val="24"/>
                <w:highlight w:val="none"/>
              </w:rPr>
              <w:t>□</w:t>
            </w:r>
            <w:r>
              <w:rPr>
                <w:spacing w:val="-5"/>
                <w:sz w:val="24"/>
                <w:highlight w:val="none"/>
              </w:rPr>
              <w:t>是，检测机构的要求、检测内容详见第三章项</w:t>
            </w:r>
            <w:r>
              <w:rPr>
                <w:spacing w:val="-4"/>
                <w:sz w:val="24"/>
                <w:highlight w:val="none"/>
              </w:rPr>
              <w:t>目采购需求</w:t>
            </w:r>
            <w:r>
              <w:rPr>
                <w:rFonts w:ascii="Times New Roman" w:hAnsi="Times New Roman" w:eastAsia="Times New Roman"/>
                <w:spacing w:val="-4"/>
                <w:sz w:val="24"/>
                <w:highlight w:val="none"/>
              </w:rPr>
              <w:t>)</w:t>
            </w:r>
            <w:r>
              <w:rPr>
                <w:sz w:val="24"/>
                <w:highlight w:val="none"/>
              </w:rPr>
              <w:t>。</w:t>
            </w:r>
          </w:p>
          <w:p>
            <w:pPr>
              <w:pStyle w:val="224"/>
              <w:tabs>
                <w:tab w:val="left" w:pos="4682"/>
              </w:tabs>
              <w:spacing w:before="5" w:line="360" w:lineRule="auto"/>
              <w:rPr>
                <w:color w:val="000000" w:themeColor="text1"/>
                <w:spacing w:val="10"/>
                <w:kern w:val="0"/>
                <w:sz w:val="24"/>
                <w:highlight w:val="none"/>
              </w:rPr>
            </w:pPr>
            <w:r>
              <w:rPr>
                <w:rFonts w:hint="eastAsia"/>
                <w:spacing w:val="-3"/>
                <w:sz w:val="24"/>
                <w:highlight w:val="none"/>
              </w:rPr>
              <w:t>3.</w:t>
            </w:r>
            <w:r>
              <w:rPr>
                <w:spacing w:val="-3"/>
                <w:sz w:val="24"/>
                <w:highlight w:val="none"/>
              </w:rPr>
              <w:t>样品的评审方法及评审标准：内容详见</w:t>
            </w:r>
            <w:r>
              <w:rPr>
                <w:rFonts w:hint="eastAsia"/>
                <w:b/>
                <w:bCs/>
                <w:spacing w:val="-3"/>
                <w:sz w:val="24"/>
                <w:highlight w:val="none"/>
              </w:rPr>
              <w:t>第五章</w:t>
            </w:r>
            <w:r>
              <w:rPr>
                <w:b/>
                <w:bCs/>
                <w:spacing w:val="-3"/>
                <w:sz w:val="24"/>
                <w:highlight w:val="none"/>
              </w:rPr>
              <w:t>评标办法及标准</w:t>
            </w:r>
            <w:r>
              <w:rPr>
                <w:spacing w:val="-3"/>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421"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24"/>
              <w:spacing w:before="140" w:line="360" w:lineRule="auto"/>
              <w:ind w:left="63" w:right="48"/>
              <w:jc w:val="center"/>
              <w:rPr>
                <w:sz w:val="24"/>
                <w:highlight w:val="none"/>
              </w:rPr>
            </w:pPr>
            <w:r>
              <w:rPr>
                <w:sz w:val="24"/>
                <w:highlight w:val="none"/>
              </w:rPr>
              <w:t>采购进口产品</w:t>
            </w:r>
          </w:p>
        </w:tc>
        <w:tc>
          <w:tcPr>
            <w:tcW w:w="6472" w:type="dxa"/>
            <w:tcBorders>
              <w:tl2br w:val="nil"/>
              <w:tr2bl w:val="nil"/>
            </w:tcBorders>
          </w:tcPr>
          <w:p>
            <w:pPr>
              <w:pStyle w:val="224"/>
              <w:spacing w:before="6" w:line="360" w:lineRule="auto"/>
              <w:ind w:left="112"/>
              <w:rPr>
                <w:rFonts w:hint="eastAsia" w:eastAsia="宋体"/>
                <w:sz w:val="24"/>
                <w:highlight w:val="none"/>
                <w:lang w:eastAsia="zh-CN"/>
              </w:rPr>
            </w:pPr>
            <w:r>
              <w:rPr>
                <w:rFonts w:hint="eastAsia" w:ascii="Times New Roman" w:hAnsi="Times New Roman"/>
                <w:sz w:val="24"/>
                <w:highlight w:val="none"/>
              </w:rPr>
              <w:t>☑</w:t>
            </w:r>
            <w:r>
              <w:rPr>
                <w:sz w:val="24"/>
                <w:highlight w:val="none"/>
              </w:rPr>
              <w:t>本采购项目拒绝进口产品参加投标</w:t>
            </w:r>
          </w:p>
          <w:p>
            <w:pPr>
              <w:pStyle w:val="224"/>
              <w:spacing w:before="2" w:line="360" w:lineRule="auto"/>
              <w:ind w:left="112"/>
              <w:rPr>
                <w:rFonts w:hint="eastAsia" w:eastAsia="宋体"/>
                <w:color w:val="000000" w:themeColor="text1"/>
                <w:spacing w:val="10"/>
                <w:kern w:val="0"/>
                <w:sz w:val="24"/>
                <w:highlight w:val="none"/>
                <w:lang w:eastAsia="zh-CN"/>
              </w:rPr>
            </w:pPr>
            <w:r>
              <w:rPr>
                <w:rFonts w:hint="eastAsia" w:ascii="Times New Roman" w:hAnsi="Times New Roman"/>
                <w:sz w:val="24"/>
                <w:highlight w:val="none"/>
                <w:lang w:eastAsia="zh-CN"/>
              </w:rPr>
              <w:t>□</w:t>
            </w:r>
            <w:r>
              <w:rPr>
                <w:sz w:val="24"/>
                <w:highlight w:val="none"/>
              </w:rPr>
              <w:t>本采购项目已经财政部门审核同意购买的进口产品为：</w:t>
            </w:r>
            <w:r>
              <w:rPr>
                <w:sz w:val="24"/>
                <w:highlight w:val="none"/>
                <w:u w:val="single"/>
              </w:rPr>
              <w:t xml:space="preserve"> </w:t>
            </w:r>
            <w:r>
              <w:rPr>
                <w:rFonts w:hint="eastAsia" w:ascii="Times New Roman" w:hAnsi="Times New Roman"/>
                <w:sz w:val="24"/>
                <w:highlight w:val="none"/>
                <w:u w:val="single"/>
              </w:rPr>
              <w:t xml:space="preserve"> </w:t>
            </w:r>
            <w:r>
              <w:rPr>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tcPr>
          <w:p>
            <w:pPr>
              <w:pStyle w:val="224"/>
              <w:spacing w:before="65"/>
              <w:ind w:left="62" w:right="50"/>
              <w:jc w:val="center"/>
              <w:rPr>
                <w:sz w:val="24"/>
                <w:highlight w:val="none"/>
              </w:rPr>
            </w:pPr>
            <w:r>
              <w:rPr>
                <w:sz w:val="24"/>
                <w:highlight w:val="none"/>
              </w:rPr>
              <w:t>核心产品</w:t>
            </w:r>
          </w:p>
        </w:tc>
        <w:tc>
          <w:tcPr>
            <w:tcW w:w="6472" w:type="dxa"/>
            <w:tcBorders>
              <w:tl2br w:val="nil"/>
              <w:tr2bl w:val="nil"/>
            </w:tcBorders>
          </w:tcPr>
          <w:p>
            <w:pPr>
              <w:pStyle w:val="224"/>
              <w:spacing w:before="72"/>
              <w:rPr>
                <w:rFonts w:hint="default" w:eastAsia="宋体"/>
                <w:color w:val="000000" w:themeColor="text1"/>
                <w:spacing w:val="10"/>
                <w:kern w:val="0"/>
                <w:sz w:val="24"/>
                <w:highlight w:val="none"/>
                <w:lang w:val="en-US" w:eastAsia="zh-CN"/>
              </w:rPr>
            </w:pPr>
            <w:r>
              <w:rPr>
                <w:rFonts w:hint="eastAsia"/>
                <w:color w:val="000000" w:themeColor="text1"/>
                <w:spacing w:val="10"/>
                <w:kern w:val="0"/>
                <w:sz w:val="24"/>
                <w:highlight w:val="none"/>
                <w:lang w:val="en-US" w:eastAsia="zh-CN"/>
              </w:rPr>
              <w:t>金属浴、移液器、分光光度计、冰箱</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投标保证金</w:t>
            </w:r>
          </w:p>
        </w:tc>
        <w:tc>
          <w:tcPr>
            <w:tcW w:w="6472" w:type="dxa"/>
            <w:tcBorders>
              <w:tl2br w:val="nil"/>
              <w:tr2bl w:val="nil"/>
            </w:tcBorders>
            <w:vAlign w:val="center"/>
          </w:tcPr>
          <w:p>
            <w:pPr>
              <w:widowControl/>
              <w:spacing w:line="360" w:lineRule="auto"/>
              <w:rPr>
                <w:rFonts w:hint="eastAsia" w:ascii="宋体" w:hAnsi="宋体" w:eastAsia="宋体" w:cs="宋体"/>
                <w:spacing w:val="10"/>
                <w:kern w:val="0"/>
                <w:sz w:val="24"/>
                <w:highlight w:val="none"/>
                <w:lang w:val="en-US" w:eastAsia="zh-CN"/>
              </w:rPr>
            </w:pPr>
            <w:r>
              <w:rPr>
                <w:rFonts w:hint="eastAsia" w:ascii="宋体" w:hAnsi="宋体" w:cs="宋体"/>
                <w:spacing w:val="10"/>
                <w:kern w:val="0"/>
                <w:sz w:val="24"/>
                <w:highlight w:val="none"/>
                <w:lang w:val="en-US" w:eastAsia="zh-CN"/>
              </w:rPr>
              <w:t>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98"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widowControl/>
              <w:autoSpaceDN w:val="0"/>
              <w:spacing w:after="240" w:line="360" w:lineRule="auto"/>
              <w:jc w:val="center"/>
              <w:rPr>
                <w:rFonts w:ascii="宋体" w:hAnsi="宋体" w:cs="宋体"/>
                <w:kern w:val="0"/>
                <w:sz w:val="24"/>
                <w:highlight w:val="none"/>
              </w:rPr>
            </w:pPr>
            <w:r>
              <w:rPr>
                <w:rFonts w:hint="eastAsia" w:ascii="宋体" w:hAnsi="宋体" w:cs="宋体"/>
                <w:sz w:val="24"/>
                <w:highlight w:val="none"/>
              </w:rPr>
              <w:t>联合惩戒对象和联合惩戒措施</w:t>
            </w:r>
          </w:p>
        </w:tc>
        <w:tc>
          <w:tcPr>
            <w:tcW w:w="6472" w:type="dxa"/>
            <w:tcBorders>
              <w:tl2br w:val="nil"/>
              <w:tr2bl w:val="nil"/>
            </w:tcBorders>
            <w:vAlign w:val="center"/>
          </w:tcPr>
          <w:p>
            <w:pPr>
              <w:pStyle w:val="84"/>
              <w:widowControl/>
              <w:snapToGrid w:val="0"/>
              <w:spacing w:line="360" w:lineRule="auto"/>
              <w:ind w:firstLine="0" w:firstLineChars="0"/>
              <w:rPr>
                <w:rFonts w:ascii="宋体" w:hAnsi="宋体" w:cs="宋体"/>
                <w:spacing w:val="10"/>
                <w:sz w:val="24"/>
                <w:highlight w:val="none"/>
              </w:rPr>
            </w:pPr>
            <w:r>
              <w:rPr>
                <w:rFonts w:hint="eastAsia" w:ascii="宋体" w:hAnsi="宋体" w:cs="宋体"/>
                <w:sz w:val="24"/>
                <w:highlight w:val="none"/>
              </w:rPr>
              <w:t>公共资源交易领域失信行为联合惩戒对象和联合惩戒措施。对于被司法部门列入失信被执行人名单或存在其他失信行为的个人或单位（包括以失信被执行人为法定代表人、主要负责人、实际控制人、董事、监事、高级管理人员的单位），依法限制其参与政府投资项目或主要使用财政性资金项目，限制其从事土地、矿产等不动产资源开发利用，限制其参与国有企业资产、国家资产等国有产权交易，限制其参与药品和医用耗材集中采购和阳光采购活动。对失信被执行人参与公共资源交易活动的，由评标（评审）委员会取消其投标资格或直接废标（上述条款，本项目参照执行，未尽事宜由招标人解释）。</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highlight w:val="none"/>
                <w:lang w:val="zh-CN"/>
              </w:rPr>
            </w:pPr>
            <w:r>
              <w:rPr>
                <w:rFonts w:hint="eastAsia" w:ascii="宋体" w:hAnsi="宋体" w:cs="宋体"/>
                <w:sz w:val="24"/>
                <w:highlight w:val="none"/>
              </w:rPr>
              <w:t>投标有效期</w:t>
            </w:r>
          </w:p>
        </w:tc>
        <w:tc>
          <w:tcPr>
            <w:tcW w:w="6472" w:type="dxa"/>
            <w:tcBorders>
              <w:tl2br w:val="nil"/>
              <w:tr2bl w:val="nil"/>
            </w:tcBorders>
            <w:vAlign w:val="center"/>
          </w:tcPr>
          <w:p>
            <w:pPr>
              <w:spacing w:line="360" w:lineRule="auto"/>
              <w:rPr>
                <w:highlight w:val="none"/>
              </w:rPr>
            </w:pPr>
            <w:r>
              <w:rPr>
                <w:rFonts w:hint="eastAsia" w:ascii="宋体" w:hAnsi="宋体" w:cs="宋体"/>
                <w:sz w:val="24"/>
                <w:highlight w:val="none"/>
              </w:rPr>
              <w:t>自投标文件正式递交之日起</w:t>
            </w:r>
            <w:r>
              <w:rPr>
                <w:rFonts w:hint="eastAsia" w:ascii="宋体" w:hAnsi="宋体" w:cs="宋体"/>
                <w:b/>
                <w:bCs/>
                <w:sz w:val="24"/>
                <w:highlight w:val="none"/>
                <w:u w:val="single"/>
              </w:rPr>
              <w:t>90</w:t>
            </w:r>
            <w:r>
              <w:rPr>
                <w:rFonts w:hint="eastAsia" w:ascii="宋体" w:hAnsi="宋体" w:cs="宋体"/>
                <w:sz w:val="24"/>
                <w:highlight w:val="none"/>
              </w:rPr>
              <w:t>天内有效。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11"/>
              <w:spacing w:line="360" w:lineRule="auto"/>
              <w:ind w:firstLine="480" w:firstLineChars="200"/>
              <w:jc w:val="both"/>
              <w:rPr>
                <w:kern w:val="2"/>
                <w:highlight w:val="none"/>
                <w:lang w:val="zh-CN"/>
              </w:rPr>
            </w:pPr>
            <w:r>
              <w:rPr>
                <w:rFonts w:hint="eastAsia"/>
                <w:kern w:val="2"/>
                <w:highlight w:val="none"/>
                <w:lang w:val="zh-CN"/>
              </w:rPr>
              <w:t>签字盖章</w:t>
            </w:r>
          </w:p>
        </w:tc>
        <w:tc>
          <w:tcPr>
            <w:tcW w:w="6472" w:type="dxa"/>
            <w:tcBorders>
              <w:tl2br w:val="nil"/>
              <w:tr2bl w:val="nil"/>
            </w:tcBorders>
            <w:vAlign w:val="center"/>
          </w:tcPr>
          <w:p>
            <w:pPr>
              <w:pStyle w:val="211"/>
              <w:spacing w:line="360" w:lineRule="auto"/>
              <w:jc w:val="both"/>
              <w:rPr>
                <w:kern w:val="2"/>
                <w:highlight w:val="none"/>
              </w:rPr>
            </w:pPr>
            <w:r>
              <w:rPr>
                <w:rFonts w:hint="eastAsia"/>
                <w:kern w:val="2"/>
                <w:highlight w:val="none"/>
                <w:lang w:val="zh-CN"/>
              </w:rPr>
              <w:t>投标人必须按照招标文件的规定和要求签字、盖章（法定代表人的签字可用具有法定效力的签字章）</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pStyle w:val="211"/>
              <w:spacing w:line="360" w:lineRule="auto"/>
              <w:jc w:val="center"/>
              <w:rPr>
                <w:spacing w:val="10"/>
                <w:highlight w:val="none"/>
              </w:rPr>
            </w:pPr>
            <w:r>
              <w:rPr>
                <w:rFonts w:hint="eastAsia"/>
                <w:kern w:val="2"/>
                <w:highlight w:val="none"/>
                <w:lang w:val="zh-CN"/>
              </w:rPr>
              <w:t>构成招标文件的其他文件</w:t>
            </w:r>
          </w:p>
        </w:tc>
        <w:tc>
          <w:tcPr>
            <w:tcW w:w="6472" w:type="dxa"/>
            <w:tcBorders>
              <w:tl2br w:val="nil"/>
              <w:tr2bl w:val="nil"/>
            </w:tcBorders>
            <w:vAlign w:val="center"/>
          </w:tcPr>
          <w:p>
            <w:pPr>
              <w:pStyle w:val="211"/>
              <w:spacing w:line="360" w:lineRule="auto"/>
              <w:jc w:val="both"/>
              <w:rPr>
                <w:spacing w:val="10"/>
                <w:highlight w:val="none"/>
              </w:rPr>
            </w:pPr>
            <w:r>
              <w:rPr>
                <w:rFonts w:hint="eastAsia"/>
                <w:kern w:val="2"/>
                <w:highlight w:val="none"/>
              </w:rPr>
              <w:t>招标文件的澄清、修改书及有关补充通知为招标文件的有效组成部分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006"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投标文件及电子版要求</w:t>
            </w:r>
          </w:p>
          <w:p>
            <w:pPr>
              <w:spacing w:line="360" w:lineRule="auto"/>
              <w:ind w:firstLine="520" w:firstLineChars="200"/>
              <w:rPr>
                <w:rFonts w:ascii="宋体" w:hAnsi="宋体" w:cs="宋体"/>
                <w:spacing w:val="10"/>
                <w:sz w:val="24"/>
                <w:highlight w:val="none"/>
              </w:rPr>
            </w:pPr>
          </w:p>
        </w:tc>
        <w:tc>
          <w:tcPr>
            <w:tcW w:w="6472" w:type="dxa"/>
            <w:tcBorders>
              <w:tl2br w:val="nil"/>
              <w:tr2bl w:val="nil"/>
            </w:tcBorders>
            <w:vAlign w:val="center"/>
          </w:tcPr>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1）纸质文件份数：正本壹份、副本壹份；单独密封递交的“开标一览表”壹份。</w:t>
            </w:r>
          </w:p>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2）电子版文件要求：</w:t>
            </w:r>
          </w:p>
          <w:p>
            <w:pPr>
              <w:tabs>
                <w:tab w:val="left" w:pos="400"/>
              </w:tabs>
              <w:spacing w:line="360" w:lineRule="auto"/>
              <w:textAlignment w:val="baseline"/>
              <w:rPr>
                <w:rFonts w:ascii="宋体" w:hAnsi="宋体" w:cs="宋体"/>
                <w:sz w:val="24"/>
                <w:szCs w:val="32"/>
                <w:highlight w:val="none"/>
              </w:rPr>
            </w:pPr>
            <w:r>
              <w:rPr>
                <w:rFonts w:hint="eastAsia" w:ascii="宋体" w:hAnsi="宋体" w:cs="宋体"/>
                <w:sz w:val="24"/>
                <w:szCs w:val="32"/>
                <w:highlight w:val="none"/>
              </w:rPr>
              <w:t>电子版一份：U盘壹份，密封（单独提交，提交不退）；U盘为Word文件和PDF文件（PDF文件内容：逐页电子扫描制成，要与纸质版文件正本完全一致）；投标人必须按照招标文件的规定和要求签字、盖章（</w:t>
            </w:r>
            <w:r>
              <w:rPr>
                <w:rFonts w:hint="eastAsia" w:ascii="宋体" w:hAnsi="宋体" w:cs="宋体"/>
                <w:sz w:val="24"/>
                <w:szCs w:val="32"/>
                <w:highlight w:val="none"/>
                <w:lang w:eastAsia="zh-CN"/>
              </w:rPr>
              <w:t>法定代表人</w:t>
            </w:r>
            <w:r>
              <w:rPr>
                <w:rFonts w:hint="eastAsia" w:ascii="宋体" w:hAnsi="宋体" w:cs="宋体"/>
                <w:sz w:val="24"/>
                <w:szCs w:val="32"/>
                <w:highlight w:val="none"/>
              </w:rPr>
              <w:t>的签字可用具有法定效力的签字章）,未按规定签字盖章的，按无效投标处理。</w:t>
            </w:r>
          </w:p>
          <w:p>
            <w:pPr>
              <w:pStyle w:val="30"/>
              <w:numPr>
                <w:ilvl w:val="0"/>
                <w:numId w:val="3"/>
              </w:numPr>
              <w:spacing w:line="360" w:lineRule="auto"/>
              <w:ind w:left="0" w:leftChars="0"/>
              <w:rPr>
                <w:rFonts w:ascii="宋体" w:hAnsi="宋体" w:cs="宋体"/>
                <w:sz w:val="24"/>
                <w:szCs w:val="32"/>
                <w:highlight w:val="none"/>
                <w:lang w:val="zh-CN"/>
              </w:rPr>
            </w:pPr>
            <w:r>
              <w:rPr>
                <w:rFonts w:hint="eastAsia" w:ascii="宋体" w:hAnsi="宋体" w:cs="宋体"/>
                <w:sz w:val="24"/>
                <w:szCs w:val="32"/>
                <w:highlight w:val="none"/>
                <w:lang w:val="zh-CN"/>
              </w:rPr>
              <w:t>投标文件正本、副本、电子文档（</w:t>
            </w:r>
            <w:r>
              <w:rPr>
                <w:rFonts w:hint="eastAsia" w:ascii="宋体" w:hAnsi="宋体" w:cs="宋体"/>
                <w:sz w:val="24"/>
                <w:szCs w:val="32"/>
                <w:highlight w:val="none"/>
              </w:rPr>
              <w:t>U</w:t>
            </w:r>
            <w:r>
              <w:rPr>
                <w:rFonts w:hint="eastAsia" w:ascii="宋体" w:hAnsi="宋体" w:cs="宋体"/>
                <w:sz w:val="24"/>
                <w:szCs w:val="32"/>
                <w:highlight w:val="none"/>
                <w:lang w:val="zh-CN"/>
              </w:rPr>
              <w:t>盘）、开标一览表的封面上均应标明：招标项目名称、招标编号、分包号（如有分包）、采购人名称、代理机构名称、投标人名称、详细地址、年月日、此文件在</w:t>
            </w:r>
            <w:r>
              <w:rPr>
                <w:rFonts w:hint="eastAsia" w:ascii="宋体" w:hAnsi="宋体" w:cs="宋体"/>
                <w:sz w:val="24"/>
                <w:szCs w:val="32"/>
                <w:highlight w:val="none"/>
                <w:lang w:val="zh-CN"/>
              </w:rPr>
              <w:tab/>
            </w:r>
            <w:r>
              <w:rPr>
                <w:rFonts w:hint="eastAsia" w:ascii="宋体" w:hAnsi="宋体" w:cs="宋体"/>
                <w:sz w:val="24"/>
                <w:szCs w:val="32"/>
                <w:highlight w:val="none"/>
                <w:lang w:val="zh-CN"/>
              </w:rPr>
              <w:t>年月日</w:t>
            </w:r>
            <w:r>
              <w:rPr>
                <w:rFonts w:hint="eastAsia" w:ascii="宋体" w:hAnsi="宋体" w:cs="宋体"/>
                <w:sz w:val="24"/>
                <w:szCs w:val="32"/>
                <w:highlight w:val="none"/>
                <w:lang w:val="zh-CN"/>
              </w:rPr>
              <w:tab/>
            </w:r>
            <w:r>
              <w:rPr>
                <w:rFonts w:hint="eastAsia" w:ascii="宋体" w:hAnsi="宋体" w:cs="宋体"/>
                <w:sz w:val="24"/>
                <w:szCs w:val="32"/>
                <w:highlight w:val="none"/>
                <w:lang w:val="zh-CN"/>
              </w:rPr>
              <w:t>时</w:t>
            </w:r>
            <w:r>
              <w:rPr>
                <w:rFonts w:hint="eastAsia" w:ascii="宋体" w:hAnsi="宋体" w:cs="宋体"/>
                <w:sz w:val="24"/>
                <w:szCs w:val="32"/>
                <w:highlight w:val="none"/>
                <w:lang w:val="zh-CN"/>
              </w:rPr>
              <w:tab/>
            </w:r>
            <w:r>
              <w:rPr>
                <w:rFonts w:hint="eastAsia" w:ascii="宋体" w:hAnsi="宋体" w:cs="宋体"/>
                <w:sz w:val="24"/>
                <w:szCs w:val="32"/>
                <w:highlight w:val="none"/>
                <w:lang w:val="zh-CN"/>
              </w:rPr>
              <w:t>分前不得开启；；并分别在右上角标明“正本”、“副本”、“电子文档（</w:t>
            </w:r>
            <w:r>
              <w:rPr>
                <w:rFonts w:hint="eastAsia" w:ascii="宋体" w:hAnsi="宋体" w:cs="宋体"/>
                <w:sz w:val="24"/>
                <w:szCs w:val="32"/>
                <w:highlight w:val="none"/>
              </w:rPr>
              <w:t>U</w:t>
            </w:r>
            <w:r>
              <w:rPr>
                <w:rFonts w:hint="eastAsia" w:ascii="宋体" w:hAnsi="宋体" w:cs="宋体"/>
                <w:sz w:val="24"/>
                <w:szCs w:val="32"/>
                <w:highlight w:val="none"/>
                <w:lang w:val="zh-CN"/>
              </w:rPr>
              <w:t>盘）”“开标一览表”字样。</w:t>
            </w:r>
          </w:p>
          <w:p>
            <w:pPr>
              <w:numPr>
                <w:ilvl w:val="0"/>
                <w:numId w:val="3"/>
              </w:numPr>
              <w:spacing w:line="360" w:lineRule="auto"/>
              <w:rPr>
                <w:highlight w:val="none"/>
              </w:rPr>
            </w:pPr>
            <w:r>
              <w:rPr>
                <w:rFonts w:hint="eastAsia" w:ascii="宋体" w:hAnsi="宋体" w:cs="宋体"/>
                <w:sz w:val="24"/>
                <w:szCs w:val="32"/>
                <w:highlight w:val="none"/>
              </w:rPr>
              <w:t>如投标多个包的，要求按包分别独立制作投标文件。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74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pacing w:val="10"/>
                <w:sz w:val="24"/>
                <w:highlight w:val="none"/>
              </w:rPr>
            </w:pPr>
            <w:r>
              <w:rPr>
                <w:rFonts w:hint="eastAsia" w:ascii="宋体" w:hAnsi="宋体" w:cs="宋体"/>
                <w:color w:val="auto"/>
                <w:spacing w:val="10"/>
                <w:sz w:val="24"/>
                <w:highlight w:val="none"/>
              </w:rPr>
              <w:t>投标文件递交截止日期及地点</w:t>
            </w:r>
          </w:p>
        </w:tc>
        <w:tc>
          <w:tcPr>
            <w:tcW w:w="6472" w:type="dxa"/>
            <w:tcBorders>
              <w:tl2br w:val="nil"/>
              <w:tr2bl w:val="nil"/>
            </w:tcBorders>
            <w:vAlign w:val="center"/>
          </w:tcPr>
          <w:p>
            <w:pPr>
              <w:pStyle w:val="30"/>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响应文件递交截止日期：</w:t>
            </w:r>
            <w:r>
              <w:rPr>
                <w:rFonts w:hint="eastAsia" w:ascii="宋体" w:hAnsi="宋体" w:cs="宋体"/>
                <w:color w:val="auto"/>
                <w:sz w:val="24"/>
                <w:highlight w:val="none"/>
                <w:lang w:eastAsia="zh-CN"/>
              </w:rPr>
              <w:t>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日下午15:00分</w:t>
            </w:r>
            <w:r>
              <w:rPr>
                <w:rFonts w:hint="eastAsia" w:ascii="宋体" w:hAnsi="宋体" w:cs="宋体"/>
                <w:color w:val="auto"/>
                <w:sz w:val="24"/>
                <w:highlight w:val="none"/>
              </w:rPr>
              <w:t>（北京时间）</w:t>
            </w:r>
          </w:p>
          <w:p>
            <w:pPr>
              <w:pStyle w:val="30"/>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文件递交地点：</w:t>
            </w:r>
            <w:r>
              <w:rPr>
                <w:rFonts w:hint="eastAsia" w:ascii="宋体" w:hAnsi="宋体" w:cs="宋体"/>
                <w:color w:val="auto"/>
                <w:sz w:val="24"/>
                <w:highlight w:val="none"/>
                <w:lang w:val="en-US" w:eastAsia="zh-CN"/>
              </w:rPr>
              <w:t>甘肃省第二人民医院制剂楼3楼</w:t>
            </w:r>
            <w:r>
              <w:rPr>
                <w:rFonts w:hint="eastAsia" w:ascii="宋体" w:hAnsi="宋体" w:cs="宋体"/>
                <w:color w:val="auto"/>
                <w:sz w:val="24"/>
                <w:highlight w:val="none"/>
              </w:rPr>
              <w:t>。</w:t>
            </w:r>
          </w:p>
          <w:p>
            <w:pPr>
              <w:pStyle w:val="30"/>
              <w:spacing w:line="360" w:lineRule="auto"/>
              <w:ind w:left="0" w:leftChars="0"/>
              <w:rPr>
                <w:color w:val="auto"/>
                <w:highlight w:val="none"/>
              </w:rPr>
            </w:pPr>
            <w:r>
              <w:rPr>
                <w:rFonts w:hint="eastAsia" w:ascii="宋体" w:hAnsi="宋体" w:cs="宋体"/>
                <w:color w:val="auto"/>
                <w:sz w:val="24"/>
                <w:highlight w:val="none"/>
              </w:rPr>
              <w:t>3）对迟于该时间递交的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文件将不予接收，本次招标不接受邮寄的投标文件。</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57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pacing w:val="10"/>
                <w:sz w:val="24"/>
                <w:highlight w:val="none"/>
              </w:rPr>
            </w:pPr>
            <w:r>
              <w:rPr>
                <w:rFonts w:hint="eastAsia" w:ascii="宋体" w:hAnsi="宋体" w:cs="宋体"/>
                <w:color w:val="auto"/>
                <w:spacing w:val="10"/>
                <w:sz w:val="24"/>
                <w:highlight w:val="none"/>
              </w:rPr>
              <w:t>开标时间及开标地点</w:t>
            </w:r>
          </w:p>
        </w:tc>
        <w:tc>
          <w:tcPr>
            <w:tcW w:w="6472" w:type="dxa"/>
            <w:tcBorders>
              <w:tl2br w:val="nil"/>
              <w:tr2bl w:val="nil"/>
            </w:tcBorders>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时间：2023年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日下午15:00分（北京时间）</w:t>
            </w:r>
          </w:p>
          <w:p>
            <w:pPr>
              <w:spacing w:line="360" w:lineRule="auto"/>
              <w:rPr>
                <w:rFonts w:ascii="宋体" w:hAnsi="宋体" w:cs="宋体"/>
                <w:color w:val="auto"/>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投标</w:t>
            </w:r>
            <w:r>
              <w:rPr>
                <w:rFonts w:hint="eastAsia" w:ascii="宋体" w:hAnsi="宋体" w:cs="宋体"/>
                <w:color w:val="auto"/>
                <w:sz w:val="24"/>
                <w:highlight w:val="none"/>
              </w:rPr>
              <w:t>地点：</w:t>
            </w:r>
            <w:r>
              <w:rPr>
                <w:rFonts w:hint="eastAsia" w:ascii="宋体" w:hAnsi="宋体" w:cs="宋体"/>
                <w:color w:val="auto"/>
                <w:sz w:val="24"/>
                <w:highlight w:val="none"/>
                <w:lang w:val="en-US" w:eastAsia="zh-CN"/>
              </w:rPr>
              <w:t>甘肃省第二人民医院制剂楼3楼</w:t>
            </w:r>
            <w:r>
              <w:rPr>
                <w:rFonts w:hint="eastAsia" w:ascii="宋体" w:hAnsi="宋体" w:cs="宋体"/>
                <w:color w:val="auto"/>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41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lang w:val="zh-CN"/>
              </w:rPr>
            </w:pPr>
            <w:r>
              <w:rPr>
                <w:rFonts w:hint="eastAsia" w:ascii="宋体" w:hAnsi="宋体" w:cs="宋体"/>
                <w:sz w:val="24"/>
                <w:highlight w:val="none"/>
                <w:lang w:val="zh-CN"/>
              </w:rPr>
              <w:t>资格审查</w:t>
            </w:r>
          </w:p>
        </w:tc>
        <w:tc>
          <w:tcPr>
            <w:tcW w:w="6472" w:type="dxa"/>
            <w:tcBorders>
              <w:tl2br w:val="nil"/>
              <w:tr2bl w:val="nil"/>
            </w:tcBorders>
            <w:vAlign w:val="center"/>
          </w:tcPr>
          <w:p>
            <w:pPr>
              <w:spacing w:line="360" w:lineRule="auto"/>
              <w:rPr>
                <w:rFonts w:ascii="宋体" w:hAnsi="宋体" w:cs="宋体"/>
                <w:sz w:val="24"/>
                <w:highlight w:val="none"/>
                <w:lang w:val="zh-CN"/>
              </w:rPr>
            </w:pPr>
            <w:r>
              <w:rPr>
                <w:rFonts w:hint="eastAsia" w:ascii="宋体" w:hAnsi="宋体" w:cs="宋体"/>
                <w:sz w:val="24"/>
                <w:highlight w:val="none"/>
                <w:lang w:val="zh-CN"/>
              </w:rPr>
              <w:t>开标后，采购人应当依法对投标人的资格进行审查。资格审查合格的投标人不足3家的，不得评标。若提供的资格证明文件不全或不实，将导致其投标无效。</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5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color w:val="000000"/>
                <w:sz w:val="24"/>
                <w:highlight w:val="none"/>
                <w:lang w:val="zh-CN"/>
              </w:rPr>
              <w:t>分公司投标</w:t>
            </w:r>
          </w:p>
        </w:tc>
        <w:tc>
          <w:tcPr>
            <w:tcW w:w="6472" w:type="dxa"/>
            <w:tcBorders>
              <w:tl2br w:val="nil"/>
              <w:tr2bl w:val="nil"/>
            </w:tcBorders>
          </w:tcPr>
          <w:p>
            <w:pPr>
              <w:spacing w:line="360" w:lineRule="auto"/>
              <w:rPr>
                <w:rFonts w:ascii="宋体" w:hAnsi="宋体" w:cs="宋体"/>
                <w:color w:val="000000" w:themeColor="text1"/>
                <w:spacing w:val="10"/>
                <w:sz w:val="24"/>
                <w:highlight w:val="none"/>
              </w:rPr>
            </w:pPr>
            <w:r>
              <w:rPr>
                <w:rFonts w:hint="eastAsia" w:ascii="宋体" w:hAnsi="宋体" w:cs="宋体"/>
                <w:color w:val="000000"/>
                <w:sz w:val="24"/>
                <w:highlight w:val="none"/>
                <w:lang w:val="zh-CN"/>
              </w:rPr>
              <w:t>除银行、保险、石油化工、电力电信等特殊行业外，本项目不接受非独立法人单位分公司的投标。</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525"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z w:val="24"/>
                <w:highlight w:val="none"/>
              </w:rPr>
            </w:pPr>
            <w:r>
              <w:rPr>
                <w:rFonts w:hint="eastAsia" w:ascii="宋体" w:hAnsi="宋体" w:cs="宋体"/>
                <w:color w:val="000000"/>
                <w:sz w:val="24"/>
                <w:highlight w:val="none"/>
                <w:lang w:val="zh-CN"/>
              </w:rPr>
              <w:t>相同品牌或任一核心产品为同一品牌投标人家数确定原则</w:t>
            </w:r>
          </w:p>
        </w:tc>
        <w:tc>
          <w:tcPr>
            <w:tcW w:w="6472" w:type="dxa"/>
            <w:tcBorders>
              <w:tl2br w:val="nil"/>
              <w:tr2bl w:val="nil"/>
            </w:tcBorders>
          </w:tcPr>
          <w:p>
            <w:pPr>
              <w:spacing w:line="360" w:lineRule="auto"/>
              <w:rPr>
                <w:rFonts w:ascii="宋体" w:hAnsi="宋体" w:cs="宋体"/>
                <w:color w:val="000000"/>
                <w:sz w:val="24"/>
                <w:highlight w:val="none"/>
                <w:lang w:val="zh-CN"/>
              </w:rPr>
            </w:pPr>
            <w:r>
              <w:rPr>
                <w:rFonts w:hint="eastAsia" w:ascii="宋体" w:hAnsi="宋体" w:cs="宋体"/>
                <w:color w:val="000000"/>
                <w:sz w:val="24"/>
                <w:highlight w:val="none"/>
                <w:lang w:val="zh-CN"/>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pPr>
              <w:spacing w:line="360" w:lineRule="auto"/>
              <w:rPr>
                <w:rFonts w:ascii="宋体" w:hAnsi="宋体" w:cs="宋体"/>
                <w:color w:val="000000"/>
                <w:sz w:val="24"/>
                <w:highlight w:val="none"/>
                <w:lang w:val="zh-CN"/>
              </w:rPr>
            </w:pPr>
            <w:r>
              <w:rPr>
                <w:rFonts w:hint="eastAsia" w:ascii="宋体" w:hAnsi="宋体" w:cs="宋体"/>
                <w:b/>
                <w:bCs/>
                <w:color w:val="000000"/>
                <w:sz w:val="24"/>
                <w:highlight w:val="none"/>
                <w:lang w:val="zh-CN"/>
              </w:rPr>
              <w:t>√</w:t>
            </w:r>
            <w:r>
              <w:rPr>
                <w:rFonts w:hint="eastAsia" w:ascii="宋体" w:hAnsi="宋体" w:cs="宋体"/>
                <w:color w:val="000000"/>
                <w:sz w:val="24"/>
                <w:highlight w:val="none"/>
                <w:lang w:val="zh-CN"/>
              </w:rPr>
              <w:t>采用综合评分法的采购项目，提供相同品牌产品且通过资格审查、符合性审查的不同投标人参加同一合同项下投标的，按一家投标人计算，评审后得分最高的同品牌投标人获得中标人推荐资格；评审得分相同的， 由采购人自行选取一个投标人获得中标人推荐资格，其他同品牌投标人不作为中标候选人。</w:t>
            </w:r>
          </w:p>
          <w:p>
            <w:pPr>
              <w:spacing w:line="360" w:lineRule="auto"/>
              <w:rPr>
                <w:rFonts w:ascii="宋体" w:hAnsi="宋体" w:cs="宋体"/>
                <w:color w:val="000000" w:themeColor="text1"/>
                <w:spacing w:val="10"/>
                <w:sz w:val="24"/>
                <w:highlight w:val="none"/>
              </w:rPr>
            </w:pPr>
            <w:r>
              <w:rPr>
                <w:rFonts w:hint="eastAsia" w:ascii="宋体" w:hAnsi="宋体" w:cs="宋体"/>
                <w:color w:val="000000"/>
                <w:sz w:val="24"/>
                <w:highlight w:val="none"/>
                <w:lang w:val="zh-CN"/>
              </w:rPr>
              <w:t>□非单一产品采购项目，多家投标人提供的核心产品品牌相同的，按前款规定处理。</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7"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交货时间、交货地点、质保期</w:t>
            </w:r>
          </w:p>
        </w:tc>
        <w:tc>
          <w:tcPr>
            <w:tcW w:w="6472" w:type="dxa"/>
            <w:tcBorders>
              <w:tl2br w:val="nil"/>
              <w:tr2bl w:val="nil"/>
            </w:tcBorders>
          </w:tcPr>
          <w:p>
            <w:pPr>
              <w:pStyle w:val="19"/>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1）交货时间：</w:t>
            </w:r>
            <w:r>
              <w:rPr>
                <w:rFonts w:hint="eastAsia" w:ascii="宋体" w:hAnsi="宋体" w:eastAsia="宋体" w:cs="宋体"/>
                <w:color w:val="auto"/>
                <w:sz w:val="24"/>
                <w:szCs w:val="24"/>
                <w:highlight w:val="none"/>
                <w:lang w:val="en-US" w:eastAsia="zh-CN"/>
              </w:rPr>
              <w:t>合同签订后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Hans"/>
              </w:rPr>
              <w:t>日历</w:t>
            </w:r>
            <w:r>
              <w:rPr>
                <w:rFonts w:hint="eastAsia" w:ascii="宋体" w:hAnsi="宋体" w:cs="宋体"/>
                <w:color w:val="auto"/>
                <w:sz w:val="24"/>
                <w:szCs w:val="24"/>
                <w:highlight w:val="none"/>
                <w:lang w:val="en-US" w:eastAsia="zh-CN"/>
              </w:rPr>
              <w:t>天内</w:t>
            </w:r>
          </w:p>
          <w:p>
            <w:pPr>
              <w:pStyle w:val="1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2）交货地点：甲方指定地点</w:t>
            </w:r>
          </w:p>
          <w:p>
            <w:pPr>
              <w:pStyle w:val="19"/>
              <w:spacing w:line="360" w:lineRule="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3）质保期：整机质保</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615"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rPr>
              <w:t>付款方式</w:t>
            </w:r>
          </w:p>
        </w:tc>
        <w:tc>
          <w:tcPr>
            <w:tcW w:w="6472" w:type="dxa"/>
            <w:tcBorders>
              <w:tl2br w:val="nil"/>
              <w:tr2bl w:val="nil"/>
            </w:tcBorders>
          </w:tcPr>
          <w:p>
            <w:pPr>
              <w:pStyle w:val="32"/>
              <w:spacing w:line="360" w:lineRule="auto"/>
              <w:rPr>
                <w:color w:val="auto"/>
                <w:highlight w:val="none"/>
                <w:lang w:val="zh-CN"/>
              </w:rPr>
            </w:pPr>
            <w:r>
              <w:rPr>
                <w:rFonts w:hint="eastAsia"/>
                <w:color w:val="auto"/>
                <w:highlight w:val="none"/>
                <w:lang w:val="zh-CN"/>
              </w:rPr>
              <w:t xml:space="preserve">合同签订后，乙方向甲方缴纳中标金额的 </w:t>
            </w:r>
            <w:r>
              <w:rPr>
                <w:rFonts w:hint="eastAsia"/>
                <w:color w:val="auto"/>
                <w:highlight w:val="none"/>
                <w:lang w:val="en-US" w:eastAsia="zh-CN"/>
              </w:rPr>
              <w:t>10</w:t>
            </w:r>
            <w:r>
              <w:rPr>
                <w:rFonts w:hint="eastAsia"/>
                <w:color w:val="auto"/>
                <w:highlight w:val="none"/>
                <w:lang w:val="zh-CN"/>
              </w:rPr>
              <w:t>%作为质量保证金，供货验收合格后，乙方开具全额发票，甲方支付 100%全额货款，质保期结束后，如无质量问题，甲方无息退还乙方剩余的 10%质保金。质量保证期内乙方违反质量保证责任，迟延、拖延履行质量保证责任的甲方有权扣除乙方的质量保证金，质量保证期相应顺延；乙方拒绝履行质量保证责任的，甲方可以聘请第三方进行维保，产生的维保费甲方有权向乙方主张，并扣除的全部质保金。</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z w:val="24"/>
                <w:highlight w:val="none"/>
                <w:lang w:val="zh-CN"/>
              </w:rPr>
              <w:t>备选投标方案和报价</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z w:val="24"/>
                <w:highlight w:val="none"/>
                <w:lang w:val="zh-CN"/>
              </w:rPr>
              <w:t>不接受备选投标方案和多个报价</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评标办法</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rPr>
              <w:t>综合评分法</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00"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中标通知书领取</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lang w:val="en-US" w:eastAsia="zh-CN"/>
              </w:rPr>
              <w:t>中标公示结束2个工作日内领取</w:t>
            </w:r>
            <w:r>
              <w:rPr>
                <w:rFonts w:hint="eastAsia" w:ascii="宋体" w:hAnsi="宋体" w:cs="宋体"/>
                <w:spacing w:val="10"/>
                <w:sz w:val="24"/>
                <w:highlight w:val="none"/>
              </w:rPr>
              <w:t>。</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913" w:hRule="atLeast"/>
        </w:trPr>
        <w:tc>
          <w:tcPr>
            <w:tcW w:w="696" w:type="dxa"/>
            <w:tcBorders>
              <w:tl2br w:val="nil"/>
              <w:tr2bl w:val="nil"/>
            </w:tcBorders>
            <w:vAlign w:val="center"/>
          </w:tcPr>
          <w:p>
            <w:pPr>
              <w:numPr>
                <w:ilvl w:val="0"/>
                <w:numId w:val="1"/>
              </w:numPr>
              <w:spacing w:line="360" w:lineRule="auto"/>
              <w:ind w:left="-70" w:leftChars="0" w:firstLine="280" w:firstLineChars="0"/>
              <w:rPr>
                <w:rFonts w:ascii="宋体" w:hAnsi="宋体" w:cs="宋体"/>
                <w:sz w:val="24"/>
                <w:highlight w:val="none"/>
              </w:rPr>
            </w:pPr>
          </w:p>
        </w:tc>
        <w:tc>
          <w:tcPr>
            <w:tcW w:w="2351" w:type="dxa"/>
            <w:tcBorders>
              <w:tl2br w:val="nil"/>
              <w:tr2bl w:val="nil"/>
            </w:tcBorders>
            <w:vAlign w:val="center"/>
          </w:tcPr>
          <w:p>
            <w:pPr>
              <w:spacing w:line="360" w:lineRule="auto"/>
              <w:jc w:val="center"/>
              <w:rPr>
                <w:rFonts w:ascii="宋体" w:hAnsi="宋体" w:cs="宋体"/>
                <w:spacing w:val="10"/>
                <w:sz w:val="24"/>
                <w:highlight w:val="none"/>
              </w:rPr>
            </w:pPr>
            <w:r>
              <w:rPr>
                <w:rFonts w:hint="eastAsia" w:ascii="宋体" w:hAnsi="宋体" w:cs="宋体"/>
                <w:spacing w:val="10"/>
                <w:sz w:val="24"/>
                <w:highlight w:val="none"/>
              </w:rPr>
              <w:t>备注</w:t>
            </w:r>
          </w:p>
        </w:tc>
        <w:tc>
          <w:tcPr>
            <w:tcW w:w="6472" w:type="dxa"/>
            <w:tcBorders>
              <w:tl2br w:val="nil"/>
              <w:tr2bl w:val="nil"/>
            </w:tcBorders>
            <w:vAlign w:val="center"/>
          </w:tcPr>
          <w:p>
            <w:pPr>
              <w:spacing w:line="360" w:lineRule="auto"/>
              <w:rPr>
                <w:rFonts w:ascii="宋体" w:hAnsi="宋体" w:cs="宋体"/>
                <w:spacing w:val="10"/>
                <w:sz w:val="24"/>
                <w:highlight w:val="none"/>
              </w:rPr>
            </w:pPr>
            <w:r>
              <w:rPr>
                <w:rFonts w:hint="eastAsia" w:ascii="宋体" w:hAnsi="宋体" w:cs="宋体"/>
                <w:spacing w:val="10"/>
                <w:sz w:val="24"/>
                <w:highlight w:val="none"/>
              </w:rPr>
              <w:t>请参与本项目的投标人认真阅读招标文件的所有条款，严格按规定完成各阶段投标的工作，及时在甘肃经济信息网查看该项目的相关信息，认真配合完成本次招标工作。</w:t>
            </w:r>
          </w:p>
        </w:tc>
      </w:tr>
    </w:tbl>
    <w:p>
      <w:pPr>
        <w:pStyle w:val="3"/>
        <w:rPr>
          <w:rFonts w:ascii="宋体" w:hAnsi="宋体" w:cs="宋体"/>
          <w:sz w:val="32"/>
          <w:szCs w:val="32"/>
          <w:highlight w:val="none"/>
        </w:rPr>
      </w:pPr>
      <w:bookmarkStart w:id="21" w:name="_Toc139965326"/>
      <w:bookmarkStart w:id="22" w:name="_Toc18296"/>
      <w:bookmarkStart w:id="23" w:name="_Toc25119"/>
      <w:bookmarkStart w:id="24" w:name="_Toc17253"/>
      <w:bookmarkStart w:id="25" w:name="_Toc128372730"/>
      <w:bookmarkStart w:id="26" w:name="_Toc128372052"/>
      <w:bookmarkStart w:id="27" w:name="_Toc11105"/>
      <w:bookmarkStart w:id="28" w:name="_Toc14588"/>
      <w:bookmarkStart w:id="29" w:name="_Toc327439435"/>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rPr>
          <w:rFonts w:ascii="宋体" w:hAnsi="宋体" w:cs="宋体"/>
          <w:sz w:val="32"/>
          <w:szCs w:val="32"/>
          <w:highlight w:val="none"/>
        </w:rPr>
      </w:pPr>
      <w:r>
        <w:rPr>
          <w:rFonts w:ascii="宋体" w:hAnsi="宋体" w:cs="宋体"/>
          <w:sz w:val="32"/>
          <w:szCs w:val="32"/>
          <w:highlight w:val="none"/>
        </w:rPr>
        <w:br w:type="page"/>
      </w:r>
    </w:p>
    <w:p>
      <w:pPr>
        <w:pStyle w:val="3"/>
        <w:rPr>
          <w:rFonts w:ascii="宋体" w:hAnsi="宋体" w:cs="宋体"/>
          <w:sz w:val="32"/>
          <w:szCs w:val="32"/>
          <w:highlight w:val="none"/>
        </w:rPr>
      </w:pPr>
      <w:r>
        <w:rPr>
          <w:rFonts w:hint="eastAsia" w:ascii="宋体" w:hAnsi="宋体" w:cs="宋体"/>
          <w:sz w:val="32"/>
          <w:szCs w:val="32"/>
          <w:highlight w:val="none"/>
        </w:rPr>
        <w:t>一、总则</w:t>
      </w:r>
      <w:bookmarkEnd w:id="21"/>
      <w:bookmarkEnd w:id="22"/>
      <w:bookmarkEnd w:id="23"/>
      <w:bookmarkEnd w:id="24"/>
      <w:bookmarkEnd w:id="25"/>
      <w:bookmarkEnd w:id="26"/>
      <w:bookmarkEnd w:id="27"/>
      <w:bookmarkEnd w:id="28"/>
      <w:bookmarkEnd w:id="29"/>
    </w:p>
    <w:p>
      <w:pPr>
        <w:pStyle w:val="4"/>
        <w:jc w:val="both"/>
        <w:rPr>
          <w:rFonts w:ascii="宋体" w:hAnsi="宋体" w:cs="宋体"/>
          <w:sz w:val="24"/>
          <w:highlight w:val="none"/>
          <w:lang w:val="zh-CN"/>
        </w:rPr>
      </w:pPr>
      <w:bookmarkStart w:id="30" w:name="_Toc32168"/>
      <w:bookmarkStart w:id="31" w:name="_Toc23166"/>
      <w:bookmarkStart w:id="32" w:name="_Toc21484"/>
      <w:bookmarkStart w:id="33" w:name="_Toc8673"/>
      <w:bookmarkStart w:id="34" w:name="_Toc12346"/>
      <w:bookmarkStart w:id="35" w:name="_Toc17945"/>
      <w:bookmarkStart w:id="36" w:name="_Toc327439436"/>
      <w:r>
        <w:rPr>
          <w:rFonts w:hint="eastAsia" w:ascii="宋体" w:hAnsi="宋体" w:cs="宋体"/>
          <w:sz w:val="24"/>
          <w:highlight w:val="none"/>
          <w:lang w:val="zh-CN"/>
        </w:rPr>
        <w:t>1.适用范围</w:t>
      </w:r>
      <w:bookmarkEnd w:id="30"/>
      <w:bookmarkEnd w:id="31"/>
      <w:bookmarkEnd w:id="32"/>
      <w:bookmarkEnd w:id="33"/>
      <w:bookmarkEnd w:id="34"/>
      <w:bookmarkEnd w:id="35"/>
    </w:p>
    <w:p>
      <w:pPr>
        <w:pStyle w:val="4"/>
        <w:jc w:val="both"/>
        <w:rPr>
          <w:rFonts w:ascii="宋体" w:hAnsi="宋体" w:cs="宋体"/>
          <w:b w:val="0"/>
          <w:bCs w:val="0"/>
          <w:sz w:val="24"/>
          <w:szCs w:val="24"/>
          <w:highlight w:val="none"/>
        </w:rPr>
      </w:pPr>
      <w:bookmarkStart w:id="37" w:name="_Toc8851"/>
      <w:bookmarkStart w:id="38" w:name="_Toc11984"/>
      <w:bookmarkStart w:id="39" w:name="_Toc25223"/>
      <w:bookmarkStart w:id="40" w:name="_Toc22111"/>
      <w:bookmarkStart w:id="41" w:name="_Toc6674"/>
      <w:bookmarkStart w:id="42" w:name="_Toc9864"/>
      <w:r>
        <w:rPr>
          <w:rFonts w:hint="eastAsia" w:ascii="宋体" w:hAnsi="宋体" w:cs="宋体"/>
          <w:b w:val="0"/>
          <w:bCs w:val="0"/>
          <w:sz w:val="24"/>
          <w:szCs w:val="24"/>
          <w:highlight w:val="none"/>
          <w:lang w:val="zh-CN"/>
        </w:rPr>
        <w:t>1.1本招标文件仅适用于本次公开招标所叙述的货物（工程或服务）采购项目。</w:t>
      </w:r>
      <w:bookmarkEnd w:id="37"/>
      <w:bookmarkEnd w:id="38"/>
      <w:bookmarkEnd w:id="39"/>
      <w:bookmarkEnd w:id="40"/>
      <w:bookmarkEnd w:id="41"/>
      <w:bookmarkEnd w:id="42"/>
    </w:p>
    <w:p>
      <w:pPr>
        <w:pStyle w:val="4"/>
        <w:jc w:val="both"/>
        <w:rPr>
          <w:rFonts w:ascii="宋体" w:hAnsi="宋体" w:cs="宋体"/>
          <w:sz w:val="24"/>
          <w:highlight w:val="none"/>
        </w:rPr>
      </w:pPr>
      <w:bookmarkStart w:id="43" w:name="_Toc1806"/>
      <w:bookmarkStart w:id="44" w:name="_Toc2887"/>
      <w:bookmarkStart w:id="45" w:name="_Toc10181"/>
      <w:bookmarkStart w:id="46" w:name="_Toc9394"/>
      <w:bookmarkStart w:id="47" w:name="_Toc1089"/>
      <w:bookmarkStart w:id="48" w:name="_Toc15335"/>
      <w:r>
        <w:rPr>
          <w:rFonts w:hint="eastAsia" w:ascii="宋体" w:hAnsi="宋体" w:cs="宋体"/>
          <w:sz w:val="24"/>
          <w:highlight w:val="none"/>
        </w:rPr>
        <w:t>2.招标文件涉及术语的内涵及解释</w:t>
      </w:r>
      <w:bookmarkEnd w:id="36"/>
      <w:bookmarkEnd w:id="43"/>
      <w:bookmarkEnd w:id="44"/>
      <w:bookmarkEnd w:id="45"/>
      <w:bookmarkEnd w:id="46"/>
      <w:bookmarkEnd w:id="47"/>
      <w:bookmarkEnd w:id="48"/>
    </w:p>
    <w:p>
      <w:pPr>
        <w:spacing w:line="360" w:lineRule="auto"/>
        <w:rPr>
          <w:rFonts w:ascii="宋体" w:hAnsi="宋体" w:cs="宋体"/>
          <w:sz w:val="24"/>
          <w:highlight w:val="none"/>
        </w:rPr>
      </w:pPr>
      <w:bookmarkStart w:id="49" w:name="_Toc128372058"/>
      <w:bookmarkStart w:id="50" w:name="_Toc139965332"/>
      <w:bookmarkStart w:id="51" w:name="_Toc128372736"/>
      <w:r>
        <w:rPr>
          <w:rFonts w:hint="eastAsia" w:ascii="宋体" w:hAnsi="宋体" w:cs="宋体"/>
          <w:sz w:val="24"/>
          <w:highlight w:val="none"/>
        </w:rPr>
        <w:t>2.1“</w:t>
      </w:r>
      <w:r>
        <w:rPr>
          <w:rFonts w:hint="eastAsia" w:ascii="宋体" w:hAnsi="宋体" w:cs="宋体"/>
          <w:sz w:val="24"/>
          <w:highlight w:val="none"/>
          <w:lang w:eastAsia="zh-CN"/>
        </w:rPr>
        <w:t>采购</w:t>
      </w:r>
      <w:r>
        <w:rPr>
          <w:rFonts w:hint="eastAsia" w:ascii="宋体" w:hAnsi="宋体" w:cs="宋体"/>
          <w:sz w:val="24"/>
          <w:highlight w:val="none"/>
        </w:rPr>
        <w:t>当事人”是指在采购活动中享有权利和承担义务的各类主体，包括采购人、投标人和</w:t>
      </w:r>
      <w:r>
        <w:rPr>
          <w:rFonts w:hint="eastAsia" w:ascii="宋体" w:hAnsi="宋体" w:cs="宋体"/>
          <w:sz w:val="24"/>
          <w:highlight w:val="none"/>
          <w:lang w:eastAsia="zh-CN"/>
        </w:rPr>
        <w:t>采购人</w:t>
      </w:r>
      <w:r>
        <w:rPr>
          <w:rFonts w:hint="eastAsia" w:ascii="宋体" w:hAnsi="宋体" w:cs="宋体"/>
          <w:sz w:val="24"/>
          <w:highlight w:val="none"/>
        </w:rPr>
        <w:t>等。</w:t>
      </w:r>
    </w:p>
    <w:p>
      <w:pPr>
        <w:spacing w:line="360" w:lineRule="auto"/>
        <w:rPr>
          <w:rFonts w:ascii="宋体" w:hAnsi="宋体" w:cs="宋体"/>
          <w:sz w:val="24"/>
          <w:highlight w:val="none"/>
        </w:rPr>
      </w:pPr>
      <w:r>
        <w:rPr>
          <w:rFonts w:hint="eastAsia" w:ascii="宋体" w:hAnsi="宋体" w:cs="宋体"/>
          <w:sz w:val="24"/>
          <w:highlight w:val="none"/>
        </w:rPr>
        <w:t>2.2“采购人”、“甲方”是指甘肃省第二人民医院。</w:t>
      </w:r>
    </w:p>
    <w:p>
      <w:pPr>
        <w:spacing w:line="360" w:lineRule="auto"/>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3</w:t>
      </w:r>
      <w:r>
        <w:rPr>
          <w:rFonts w:hint="eastAsia" w:ascii="宋体" w:hAnsi="宋体" w:cs="宋体"/>
          <w:sz w:val="24"/>
          <w:highlight w:val="none"/>
        </w:rPr>
        <w:t>“投标人”是指向本次</w:t>
      </w:r>
      <w:r>
        <w:rPr>
          <w:rFonts w:hint="eastAsia" w:ascii="宋体" w:hAnsi="宋体" w:cs="宋体"/>
          <w:sz w:val="24"/>
          <w:highlight w:val="none"/>
          <w:lang w:eastAsia="zh-CN"/>
        </w:rPr>
        <w:t>采购人</w:t>
      </w:r>
      <w:r>
        <w:rPr>
          <w:rFonts w:hint="eastAsia" w:ascii="宋体" w:hAnsi="宋体" w:cs="宋体"/>
          <w:sz w:val="24"/>
          <w:highlight w:val="none"/>
        </w:rPr>
        <w:t>提交投标文件的投标人。</w:t>
      </w:r>
    </w:p>
    <w:p>
      <w:pPr>
        <w:spacing w:line="360" w:lineRule="auto"/>
        <w:rPr>
          <w:rFonts w:ascii="宋体" w:hAnsi="宋体" w:cs="宋体"/>
          <w:sz w:val="24"/>
          <w:highlight w:val="none"/>
        </w:rPr>
      </w:pPr>
      <w:r>
        <w:rPr>
          <w:rFonts w:hint="eastAsia" w:ascii="宋体" w:hAnsi="宋体" w:cs="宋体"/>
          <w:sz w:val="24"/>
          <w:highlight w:val="none"/>
        </w:rPr>
        <w:t>2.5“中标供应商”、“乙方”是指中标的投标人，合同一方的当事人。</w:t>
      </w:r>
    </w:p>
    <w:p>
      <w:pPr>
        <w:spacing w:line="360" w:lineRule="auto"/>
        <w:rPr>
          <w:rFonts w:ascii="宋体" w:hAnsi="宋体" w:cs="宋体"/>
          <w:sz w:val="24"/>
          <w:highlight w:val="none"/>
        </w:rPr>
      </w:pPr>
      <w:r>
        <w:rPr>
          <w:rFonts w:hint="eastAsia" w:ascii="宋体" w:hAnsi="宋体" w:cs="宋体"/>
          <w:sz w:val="24"/>
          <w:highlight w:val="none"/>
        </w:rPr>
        <w:t>2.6“招标文件”是指由</w:t>
      </w:r>
      <w:r>
        <w:rPr>
          <w:rFonts w:hint="eastAsia" w:ascii="宋体" w:hAnsi="宋体" w:cs="宋体"/>
          <w:sz w:val="24"/>
          <w:highlight w:val="none"/>
          <w:lang w:eastAsia="zh-CN"/>
        </w:rPr>
        <w:t>采购人</w:t>
      </w:r>
      <w:r>
        <w:rPr>
          <w:rFonts w:hint="eastAsia" w:ascii="宋体" w:hAnsi="宋体" w:cs="宋体"/>
          <w:sz w:val="24"/>
          <w:highlight w:val="none"/>
        </w:rPr>
        <w:t>发出的文本、文件，包括全部章节和附件及答疑会议纪要。</w:t>
      </w:r>
    </w:p>
    <w:p>
      <w:pPr>
        <w:spacing w:line="360" w:lineRule="auto"/>
        <w:rPr>
          <w:rFonts w:ascii="宋体" w:hAnsi="宋体" w:cs="宋体"/>
          <w:sz w:val="24"/>
          <w:highlight w:val="none"/>
        </w:rPr>
      </w:pPr>
      <w:r>
        <w:rPr>
          <w:rFonts w:hint="eastAsia" w:ascii="宋体" w:hAnsi="宋体" w:cs="宋体"/>
          <w:sz w:val="24"/>
          <w:highlight w:val="none"/>
        </w:rPr>
        <w:t>2.7“投标文件”是指投标人根据本招标文件向</w:t>
      </w:r>
      <w:r>
        <w:rPr>
          <w:rFonts w:hint="eastAsia" w:ascii="宋体" w:hAnsi="宋体" w:cs="宋体"/>
          <w:sz w:val="24"/>
          <w:highlight w:val="none"/>
          <w:lang w:val="en-US" w:eastAsia="zh-CN"/>
        </w:rPr>
        <w:t>采购人</w:t>
      </w:r>
      <w:r>
        <w:rPr>
          <w:rFonts w:hint="eastAsia" w:ascii="宋体" w:hAnsi="宋体" w:cs="宋体"/>
          <w:sz w:val="24"/>
          <w:highlight w:val="none"/>
        </w:rPr>
        <w:t>提交的全部文件。</w:t>
      </w:r>
    </w:p>
    <w:p>
      <w:pPr>
        <w:spacing w:line="360" w:lineRule="auto"/>
        <w:rPr>
          <w:rFonts w:ascii="宋体" w:hAnsi="宋体" w:cs="宋体"/>
          <w:sz w:val="24"/>
          <w:highlight w:val="none"/>
        </w:rPr>
      </w:pPr>
      <w:r>
        <w:rPr>
          <w:rFonts w:hint="eastAsia" w:ascii="宋体" w:hAnsi="宋体" w:cs="宋体"/>
          <w:sz w:val="24"/>
          <w:highlight w:val="none"/>
        </w:rPr>
        <w:t>2.8“采购文件”是指包括采购活动记录、采购预算、招标文件、投标文件、评标标准、评标报告、定标文件、合同文本、验收证明、质疑答复、投诉处理决定及其他有关文件、资料。</w:t>
      </w:r>
    </w:p>
    <w:p>
      <w:pPr>
        <w:spacing w:line="360" w:lineRule="auto"/>
        <w:rPr>
          <w:rFonts w:ascii="宋体" w:hAnsi="宋体" w:cs="宋体"/>
          <w:sz w:val="24"/>
          <w:highlight w:val="none"/>
        </w:rPr>
      </w:pPr>
      <w:r>
        <w:rPr>
          <w:rFonts w:hint="eastAsia" w:ascii="宋体" w:hAnsi="宋体" w:cs="宋体"/>
          <w:sz w:val="24"/>
          <w:highlight w:val="none"/>
        </w:rPr>
        <w:t>2.9“货物”是指各种形态和种类的物品，包括原材料、燃料、设备、产品等，详见《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2.10“工程”是指建设工程，包括建筑物和构筑物的新建、改建、扩建、装修、拆除、修缮等，详见《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2.11“服务”是指除货物和工程以外的其他</w:t>
      </w:r>
      <w:r>
        <w:rPr>
          <w:rFonts w:hint="eastAsia" w:ascii="宋体" w:hAnsi="宋体" w:cs="宋体"/>
          <w:sz w:val="24"/>
          <w:highlight w:val="none"/>
          <w:lang w:eastAsia="zh-CN"/>
        </w:rPr>
        <w:t>采购</w:t>
      </w:r>
      <w:r>
        <w:rPr>
          <w:rFonts w:hint="eastAsia" w:ascii="宋体" w:hAnsi="宋体" w:cs="宋体"/>
          <w:sz w:val="24"/>
          <w:highlight w:val="none"/>
        </w:rPr>
        <w:t>对象，详见《</w:t>
      </w:r>
      <w:r>
        <w:rPr>
          <w:rFonts w:hint="eastAsia" w:ascii="宋体" w:hAnsi="宋体" w:cs="宋体"/>
          <w:sz w:val="24"/>
          <w:highlight w:val="none"/>
          <w:lang w:eastAsia="zh-CN"/>
        </w:rPr>
        <w:t>采购</w:t>
      </w:r>
      <w:r>
        <w:rPr>
          <w:rFonts w:hint="eastAsia" w:ascii="宋体" w:hAnsi="宋体" w:cs="宋体"/>
          <w:sz w:val="24"/>
          <w:highlight w:val="none"/>
        </w:rPr>
        <w:t>品目分类目录》(财库[2013]189号)。</w:t>
      </w:r>
    </w:p>
    <w:p>
      <w:pPr>
        <w:spacing w:line="360" w:lineRule="auto"/>
        <w:rPr>
          <w:rFonts w:ascii="宋体" w:hAnsi="宋体" w:cs="宋体"/>
          <w:sz w:val="24"/>
          <w:highlight w:val="none"/>
        </w:rPr>
      </w:pPr>
      <w:r>
        <w:rPr>
          <w:rFonts w:hint="eastAsia" w:ascii="宋体" w:hAnsi="宋体" w:cs="宋体"/>
          <w:sz w:val="24"/>
          <w:highlight w:val="none"/>
        </w:rPr>
        <w:t>2.12“节能产品”或者“环保产品”是指获得国家确定的认证机构出具的有效期内的节能产品认证证书、环境标志产品认证证书的产品。</w:t>
      </w:r>
    </w:p>
    <w:p>
      <w:pPr>
        <w:spacing w:line="360" w:lineRule="auto"/>
        <w:rPr>
          <w:rFonts w:ascii="宋体" w:hAnsi="宋体" w:cs="宋体"/>
          <w:sz w:val="24"/>
          <w:highlight w:val="none"/>
        </w:rPr>
      </w:pPr>
      <w:r>
        <w:rPr>
          <w:rFonts w:hint="eastAsia" w:ascii="宋体" w:hAnsi="宋体" w:cs="宋体"/>
          <w:sz w:val="24"/>
          <w:highlight w:val="none"/>
        </w:rPr>
        <w:t>2.13“进口产品”是指通过中国海关报关验放进入中国境内且产自关境外的产品，详见《关于</w:t>
      </w:r>
      <w:r>
        <w:rPr>
          <w:rFonts w:hint="eastAsia" w:ascii="宋体" w:hAnsi="宋体" w:cs="宋体"/>
          <w:sz w:val="24"/>
          <w:highlight w:val="none"/>
          <w:lang w:eastAsia="zh-CN"/>
        </w:rPr>
        <w:t>采购</w:t>
      </w:r>
      <w:r>
        <w:rPr>
          <w:rFonts w:hint="eastAsia" w:ascii="宋体" w:hAnsi="宋体" w:cs="宋体"/>
          <w:sz w:val="24"/>
          <w:highlight w:val="none"/>
        </w:rPr>
        <w:t>进口产品管理有关问题的通知》(财库[2007]119号)。</w:t>
      </w:r>
    </w:p>
    <w:p>
      <w:pPr>
        <w:spacing w:line="360" w:lineRule="auto"/>
        <w:rPr>
          <w:rFonts w:ascii="宋体" w:hAnsi="宋体" w:cs="宋体"/>
          <w:sz w:val="24"/>
          <w:highlight w:val="none"/>
        </w:rPr>
      </w:pPr>
      <w:r>
        <w:rPr>
          <w:rFonts w:hint="eastAsia" w:ascii="宋体" w:hAnsi="宋体" w:cs="宋体"/>
          <w:sz w:val="24"/>
          <w:highlight w:val="none"/>
        </w:rPr>
        <w:t>2.14“书面形式”是指任何手写、打印或印刷的各种函件，不包括电传、电报、传真、电子邮件。</w:t>
      </w:r>
    </w:p>
    <w:p>
      <w:pPr>
        <w:spacing w:line="360" w:lineRule="auto"/>
        <w:rPr>
          <w:rFonts w:ascii="宋体" w:hAnsi="宋体" w:cs="宋体"/>
          <w:sz w:val="24"/>
          <w:highlight w:val="none"/>
        </w:rPr>
      </w:pPr>
      <w:r>
        <w:rPr>
          <w:rFonts w:hint="eastAsia" w:ascii="宋体" w:hAnsi="宋体" w:cs="宋体"/>
          <w:sz w:val="24"/>
          <w:highlight w:val="none"/>
        </w:rPr>
        <w:t>2.15“招标采购单位”系指“采购人”。</w:t>
      </w:r>
    </w:p>
    <w:p>
      <w:pPr>
        <w:pStyle w:val="30"/>
        <w:spacing w:line="360" w:lineRule="auto"/>
        <w:ind w:left="0" w:leftChars="0"/>
        <w:rPr>
          <w:highlight w:val="none"/>
        </w:rPr>
      </w:pPr>
      <w:r>
        <w:rPr>
          <w:rFonts w:hint="eastAsia" w:ascii="宋体" w:hAnsi="宋体" w:cs="宋体"/>
          <w:sz w:val="24"/>
          <w:highlight w:val="none"/>
        </w:rPr>
        <w:t>2.16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p>
    <w:p>
      <w:pPr>
        <w:pStyle w:val="4"/>
        <w:jc w:val="both"/>
        <w:rPr>
          <w:rFonts w:ascii="宋体" w:hAnsi="宋体" w:cs="宋体"/>
          <w:sz w:val="24"/>
          <w:highlight w:val="none"/>
          <w:lang w:val="zh-CN"/>
        </w:rPr>
      </w:pPr>
      <w:bookmarkStart w:id="52" w:name="_Toc3548"/>
      <w:bookmarkStart w:id="53" w:name="_Toc14148"/>
      <w:bookmarkStart w:id="54" w:name="_Toc19415"/>
      <w:bookmarkStart w:id="55" w:name="_Toc22890"/>
      <w:bookmarkStart w:id="56" w:name="_Toc16327"/>
      <w:bookmarkStart w:id="57" w:name="_Toc19398"/>
      <w:r>
        <w:rPr>
          <w:rFonts w:hint="eastAsia" w:ascii="宋体" w:hAnsi="宋体" w:cs="宋体"/>
          <w:sz w:val="24"/>
          <w:highlight w:val="none"/>
          <w:lang w:val="zh-CN"/>
        </w:rPr>
        <w:t>3.合格的投标人</w:t>
      </w:r>
      <w:bookmarkEnd w:id="52"/>
      <w:bookmarkEnd w:id="53"/>
      <w:bookmarkEnd w:id="54"/>
      <w:bookmarkEnd w:id="55"/>
      <w:bookmarkEnd w:id="56"/>
      <w:bookmarkEnd w:id="57"/>
    </w:p>
    <w:p>
      <w:pPr>
        <w:spacing w:line="360" w:lineRule="auto"/>
        <w:rPr>
          <w:rFonts w:ascii="宋体" w:hAnsi="宋体" w:cs="宋体"/>
          <w:b/>
          <w:bCs/>
          <w:sz w:val="24"/>
          <w:highlight w:val="none"/>
        </w:rPr>
      </w:pPr>
      <w:r>
        <w:rPr>
          <w:rFonts w:hint="eastAsia" w:ascii="宋体" w:hAnsi="宋体" w:cs="宋体"/>
          <w:b/>
          <w:bCs/>
          <w:sz w:val="24"/>
          <w:highlight w:val="none"/>
        </w:rPr>
        <w:t>合格的投标人应具备以下条件：</w:t>
      </w:r>
    </w:p>
    <w:p>
      <w:pPr>
        <w:spacing w:line="360" w:lineRule="auto"/>
        <w:rPr>
          <w:rFonts w:ascii="宋体" w:hAnsi="宋体" w:cs="宋体"/>
          <w:sz w:val="24"/>
          <w:highlight w:val="none"/>
        </w:rPr>
      </w:pPr>
      <w:r>
        <w:rPr>
          <w:rFonts w:hint="eastAsia" w:ascii="宋体" w:hAnsi="宋体" w:cs="宋体"/>
          <w:sz w:val="24"/>
          <w:highlight w:val="none"/>
        </w:rPr>
        <w:t>3.1符合《中华人民共和国</w:t>
      </w:r>
      <w:r>
        <w:rPr>
          <w:rFonts w:hint="eastAsia" w:ascii="宋体" w:hAnsi="宋体" w:cs="宋体"/>
          <w:sz w:val="24"/>
          <w:highlight w:val="none"/>
          <w:lang w:eastAsia="zh-CN"/>
        </w:rPr>
        <w:t>采购</w:t>
      </w:r>
      <w:r>
        <w:rPr>
          <w:rFonts w:hint="eastAsia" w:ascii="宋体" w:hAnsi="宋体" w:cs="宋体"/>
          <w:sz w:val="24"/>
          <w:highlight w:val="none"/>
        </w:rPr>
        <w:t>法》第二十二条投标人参加</w:t>
      </w:r>
      <w:r>
        <w:rPr>
          <w:rFonts w:hint="eastAsia" w:ascii="宋体" w:hAnsi="宋体" w:cs="宋体"/>
          <w:sz w:val="24"/>
          <w:highlight w:val="none"/>
          <w:lang w:eastAsia="zh-CN"/>
        </w:rPr>
        <w:t>采购</w:t>
      </w:r>
      <w:r>
        <w:rPr>
          <w:rFonts w:hint="eastAsia" w:ascii="宋体" w:hAnsi="宋体" w:cs="宋体"/>
          <w:sz w:val="24"/>
          <w:highlight w:val="none"/>
        </w:rPr>
        <w:t>活动应当具备的条件及其他有关法律、法规关于投标人的有关规定，有能力提供招标采购货物及服务的投标人。</w:t>
      </w:r>
    </w:p>
    <w:p>
      <w:pPr>
        <w:spacing w:line="360" w:lineRule="auto"/>
        <w:rPr>
          <w:highlight w:val="none"/>
        </w:rPr>
      </w:pPr>
      <w:r>
        <w:rPr>
          <w:rFonts w:hint="eastAsia" w:ascii="宋体" w:hAnsi="宋体" w:cs="宋体"/>
          <w:sz w:val="24"/>
          <w:highlight w:val="none"/>
        </w:rPr>
        <w:t>3.2符合《投标邀请》中关于投标人资格要求的规定。</w:t>
      </w:r>
    </w:p>
    <w:p>
      <w:pPr>
        <w:spacing w:line="360" w:lineRule="auto"/>
        <w:rPr>
          <w:rFonts w:ascii="宋体" w:hAnsi="宋体" w:cs="宋体"/>
          <w:sz w:val="24"/>
          <w:highlight w:val="none"/>
        </w:rPr>
      </w:pPr>
      <w:r>
        <w:rPr>
          <w:rFonts w:hint="eastAsia" w:ascii="宋体" w:hAnsi="宋体" w:cs="宋体"/>
          <w:sz w:val="24"/>
          <w:highlight w:val="none"/>
        </w:rPr>
        <w:t>3.3关于关联企业除联合体外，法定代表人或单位负责人为同一个人或者存在直接控股、管理关系的不同投标人，不得同时参加同一项目或同一子项目的投标。如同时参加，则评审时将同时被拒绝。</w:t>
      </w:r>
    </w:p>
    <w:p>
      <w:pPr>
        <w:pStyle w:val="30"/>
        <w:spacing w:line="360" w:lineRule="auto"/>
        <w:ind w:left="0" w:leftChars="0"/>
        <w:rPr>
          <w:rFonts w:ascii="宋体" w:hAnsi="宋体" w:cs="宋体"/>
          <w:sz w:val="24"/>
          <w:highlight w:val="none"/>
        </w:rPr>
      </w:pPr>
      <w:r>
        <w:rPr>
          <w:rFonts w:hint="eastAsia" w:ascii="宋体" w:hAnsi="宋体" w:cs="宋体"/>
          <w:sz w:val="24"/>
          <w:highlight w:val="none"/>
        </w:rPr>
        <w:t>3.4关于分公司投标（除银行、保险、电力、电信等特殊行业外，本项目不接受非独立法人单位分公司的投标）</w:t>
      </w:r>
    </w:p>
    <w:p>
      <w:pPr>
        <w:pStyle w:val="30"/>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分公司作为投标人参与本项目</w:t>
      </w:r>
      <w:r>
        <w:rPr>
          <w:rFonts w:hint="eastAsia" w:ascii="宋体" w:hAnsi="宋体" w:cs="宋体"/>
          <w:sz w:val="24"/>
          <w:highlight w:val="none"/>
          <w:lang w:eastAsia="zh-CN"/>
        </w:rPr>
        <w:t>采购</w:t>
      </w:r>
      <w:r>
        <w:rPr>
          <w:rFonts w:hint="eastAsia" w:ascii="宋体" w:hAnsi="宋体" w:cs="宋体"/>
          <w:sz w:val="24"/>
          <w:highlight w:val="none"/>
        </w:rPr>
        <w:t>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spacing w:line="360" w:lineRule="auto"/>
        <w:rPr>
          <w:rFonts w:ascii="宋体" w:hAnsi="宋体" w:cs="宋体"/>
          <w:sz w:val="24"/>
          <w:highlight w:val="none"/>
        </w:rPr>
      </w:pPr>
      <w:r>
        <w:rPr>
          <w:rFonts w:hint="eastAsia" w:ascii="宋体" w:hAnsi="宋体" w:cs="宋体"/>
          <w:sz w:val="24"/>
          <w:highlight w:val="none"/>
        </w:rPr>
        <w:t>3.5关于提供前期服务的投标人为采购项目提供整体设计、规范编制或者项目管理、监理、检测等服务的投标人，不得再参加该采购项目的其他采购活动。</w:t>
      </w:r>
    </w:p>
    <w:p>
      <w:pPr>
        <w:pStyle w:val="4"/>
        <w:jc w:val="both"/>
        <w:rPr>
          <w:rFonts w:ascii="宋体" w:hAnsi="宋体" w:cs="宋体"/>
          <w:sz w:val="24"/>
          <w:highlight w:val="none"/>
        </w:rPr>
      </w:pPr>
      <w:bookmarkStart w:id="58" w:name="_Toc6836"/>
      <w:bookmarkStart w:id="59" w:name="_Toc13985"/>
      <w:bookmarkStart w:id="60" w:name="_Toc29398"/>
      <w:bookmarkStart w:id="61" w:name="_Toc1417"/>
      <w:bookmarkStart w:id="62" w:name="_Toc4654"/>
      <w:bookmarkStart w:id="63" w:name="_Toc31472"/>
      <w:bookmarkStart w:id="64" w:name="_Toc3295"/>
      <w:bookmarkStart w:id="65" w:name="_Toc20426"/>
      <w:bookmarkStart w:id="66" w:name="_Toc25932"/>
      <w:bookmarkStart w:id="67" w:name="_Toc20194"/>
      <w:bookmarkStart w:id="68" w:name="_Toc9150"/>
      <w:r>
        <w:rPr>
          <w:rFonts w:hint="eastAsia" w:ascii="宋体" w:hAnsi="宋体" w:cs="宋体"/>
          <w:sz w:val="24"/>
          <w:highlight w:val="none"/>
        </w:rPr>
        <w:t>4.投标费用</w:t>
      </w:r>
      <w:bookmarkEnd w:id="58"/>
      <w:bookmarkEnd w:id="59"/>
      <w:bookmarkEnd w:id="60"/>
      <w:bookmarkEnd w:id="61"/>
      <w:bookmarkEnd w:id="62"/>
      <w:bookmarkEnd w:id="63"/>
    </w:p>
    <w:p>
      <w:pPr>
        <w:spacing w:line="360" w:lineRule="auto"/>
        <w:rPr>
          <w:rFonts w:ascii="宋体" w:hAnsi="宋体" w:cs="宋体"/>
          <w:color w:val="000000"/>
          <w:sz w:val="24"/>
          <w:highlight w:val="none"/>
        </w:rPr>
      </w:pPr>
      <w:r>
        <w:rPr>
          <w:rFonts w:hint="eastAsia" w:ascii="宋体" w:hAnsi="宋体" w:cs="宋体"/>
          <w:sz w:val="24"/>
          <w:highlight w:val="none"/>
        </w:rPr>
        <w:t>4.1投标人应承担其准备与参加投标所涉及的一切费用。在任何情况下采购人及</w:t>
      </w:r>
      <w:r>
        <w:rPr>
          <w:rFonts w:hint="eastAsia" w:ascii="宋体" w:hAnsi="宋体" w:cs="宋体"/>
          <w:sz w:val="24"/>
          <w:highlight w:val="none"/>
          <w:lang w:eastAsia="zh-CN"/>
        </w:rPr>
        <w:t>采购人</w:t>
      </w:r>
      <w:r>
        <w:rPr>
          <w:rFonts w:hint="eastAsia" w:ascii="宋体" w:hAnsi="宋体" w:cs="宋体"/>
          <w:sz w:val="24"/>
          <w:highlight w:val="none"/>
        </w:rPr>
        <w:t>不承担任何费用。</w:t>
      </w:r>
    </w:p>
    <w:p>
      <w:pPr>
        <w:pStyle w:val="3"/>
        <w:rPr>
          <w:rFonts w:hint="eastAsia" w:ascii="宋体" w:hAnsi="宋体" w:cs="宋体"/>
          <w:sz w:val="32"/>
          <w:szCs w:val="32"/>
          <w:highlight w:val="none"/>
        </w:rPr>
      </w:pPr>
    </w:p>
    <w:p>
      <w:pPr>
        <w:pStyle w:val="3"/>
        <w:rPr>
          <w:rFonts w:hint="eastAsia" w:ascii="宋体" w:hAnsi="宋体" w:cs="宋体"/>
          <w:sz w:val="32"/>
          <w:szCs w:val="32"/>
          <w:highlight w:val="none"/>
        </w:rPr>
      </w:pPr>
    </w:p>
    <w:p>
      <w:pPr>
        <w:rPr>
          <w:rFonts w:hint="eastAsia" w:ascii="宋体" w:hAnsi="宋体" w:cs="宋体"/>
          <w:sz w:val="32"/>
          <w:szCs w:val="32"/>
          <w:highlight w:val="none"/>
        </w:rPr>
      </w:pPr>
    </w:p>
    <w:p>
      <w:pPr>
        <w:pStyle w:val="36"/>
        <w:rPr>
          <w:rFonts w:hint="eastAsia"/>
          <w:highlight w:val="none"/>
        </w:rPr>
      </w:pPr>
    </w:p>
    <w:p>
      <w:pPr>
        <w:pStyle w:val="3"/>
        <w:rPr>
          <w:rFonts w:hint="eastAsia" w:ascii="宋体" w:hAnsi="宋体" w:cs="宋体"/>
          <w:sz w:val="32"/>
          <w:szCs w:val="32"/>
          <w:highlight w:val="none"/>
        </w:rPr>
      </w:pPr>
    </w:p>
    <w:p>
      <w:pPr>
        <w:pStyle w:val="3"/>
        <w:rPr>
          <w:rFonts w:ascii="宋体" w:hAnsi="宋体" w:cs="宋体"/>
          <w:sz w:val="32"/>
          <w:szCs w:val="32"/>
          <w:highlight w:val="none"/>
        </w:rPr>
      </w:pPr>
      <w:r>
        <w:rPr>
          <w:rFonts w:hint="eastAsia" w:ascii="宋体" w:hAnsi="宋体" w:cs="宋体"/>
          <w:sz w:val="32"/>
          <w:szCs w:val="32"/>
          <w:highlight w:val="none"/>
        </w:rPr>
        <w:t>二、招标文件</w:t>
      </w:r>
      <w:bookmarkEnd w:id="64"/>
      <w:bookmarkEnd w:id="65"/>
      <w:bookmarkEnd w:id="66"/>
      <w:bookmarkEnd w:id="67"/>
      <w:bookmarkEnd w:id="68"/>
      <w:bookmarkStart w:id="69" w:name="_Toc183582210"/>
      <w:bookmarkStart w:id="70" w:name="_Toc217446039"/>
      <w:bookmarkStart w:id="71" w:name="_Toc183682347"/>
    </w:p>
    <w:p>
      <w:pPr>
        <w:pStyle w:val="4"/>
        <w:jc w:val="both"/>
        <w:rPr>
          <w:rFonts w:ascii="宋体" w:hAnsi="宋体" w:cs="宋体"/>
          <w:sz w:val="24"/>
          <w:highlight w:val="none"/>
          <w:lang w:val="zh-CN"/>
        </w:rPr>
      </w:pPr>
      <w:bookmarkStart w:id="72" w:name="_Toc11700"/>
      <w:bookmarkStart w:id="73" w:name="_Toc27447"/>
      <w:bookmarkStart w:id="74" w:name="_Toc3450"/>
      <w:bookmarkStart w:id="75" w:name="_Toc9052"/>
      <w:bookmarkStart w:id="76" w:name="_Toc841"/>
      <w:bookmarkStart w:id="77" w:name="_Toc14154"/>
      <w:r>
        <w:rPr>
          <w:rFonts w:hint="eastAsia" w:ascii="宋体" w:hAnsi="宋体" w:cs="宋体"/>
          <w:sz w:val="24"/>
          <w:highlight w:val="none"/>
          <w:lang w:val="zh-CN"/>
        </w:rPr>
        <w:t>5．招标文件的构成</w:t>
      </w:r>
      <w:bookmarkEnd w:id="69"/>
      <w:bookmarkEnd w:id="70"/>
      <w:bookmarkEnd w:id="71"/>
      <w:bookmarkEnd w:id="72"/>
      <w:bookmarkEnd w:id="73"/>
      <w:bookmarkEnd w:id="74"/>
      <w:bookmarkEnd w:id="75"/>
      <w:bookmarkEnd w:id="76"/>
      <w:bookmarkEnd w:id="77"/>
    </w:p>
    <w:p>
      <w:pPr>
        <w:pStyle w:val="211"/>
        <w:spacing w:line="360" w:lineRule="auto"/>
        <w:jc w:val="both"/>
        <w:rPr>
          <w:highlight w:val="none"/>
          <w:lang w:val="zh-CN"/>
        </w:rPr>
      </w:pPr>
      <w:r>
        <w:rPr>
          <w:rFonts w:hint="eastAsia"/>
          <w:highlight w:val="none"/>
          <w:lang w:val="zh-CN"/>
        </w:rPr>
        <w:t>5.1招标文件用以阐明招标项目所需的资质、技术、服务及报价等要求、招标投标程序、有关规定和注意事项以及合同主要条款等。本招标文件包括以下内容,但不限于这些内容：</w:t>
      </w:r>
    </w:p>
    <w:p>
      <w:pPr>
        <w:pStyle w:val="211"/>
        <w:spacing w:line="360" w:lineRule="auto"/>
        <w:jc w:val="both"/>
        <w:rPr>
          <w:highlight w:val="none"/>
        </w:rPr>
      </w:pPr>
      <w:r>
        <w:rPr>
          <w:rFonts w:hint="eastAsia"/>
          <w:highlight w:val="none"/>
        </w:rPr>
        <w:t>5.1.1投标邀请</w:t>
      </w:r>
    </w:p>
    <w:p>
      <w:pPr>
        <w:pStyle w:val="211"/>
        <w:spacing w:line="360" w:lineRule="auto"/>
        <w:jc w:val="both"/>
        <w:rPr>
          <w:highlight w:val="none"/>
        </w:rPr>
      </w:pPr>
      <w:r>
        <w:rPr>
          <w:rFonts w:hint="eastAsia"/>
          <w:highlight w:val="none"/>
        </w:rPr>
        <w:t>5.1.2投标人须知</w:t>
      </w:r>
    </w:p>
    <w:p>
      <w:pPr>
        <w:pStyle w:val="211"/>
        <w:spacing w:line="360" w:lineRule="auto"/>
        <w:jc w:val="both"/>
        <w:rPr>
          <w:highlight w:val="none"/>
        </w:rPr>
      </w:pPr>
      <w:r>
        <w:rPr>
          <w:rFonts w:hint="eastAsia"/>
          <w:highlight w:val="none"/>
        </w:rPr>
        <w:t>5.1.3采购需求及技术要求</w:t>
      </w:r>
    </w:p>
    <w:p>
      <w:pPr>
        <w:pStyle w:val="211"/>
        <w:spacing w:line="360" w:lineRule="auto"/>
        <w:jc w:val="both"/>
        <w:rPr>
          <w:highlight w:val="none"/>
        </w:rPr>
      </w:pPr>
      <w:r>
        <w:rPr>
          <w:rFonts w:hint="eastAsia"/>
          <w:highlight w:val="none"/>
        </w:rPr>
        <w:t>5.1.4资格证明文件</w:t>
      </w:r>
    </w:p>
    <w:p>
      <w:pPr>
        <w:pStyle w:val="211"/>
        <w:spacing w:line="360" w:lineRule="auto"/>
        <w:jc w:val="both"/>
        <w:rPr>
          <w:highlight w:val="none"/>
        </w:rPr>
      </w:pPr>
      <w:r>
        <w:rPr>
          <w:rFonts w:hint="eastAsia"/>
          <w:highlight w:val="none"/>
        </w:rPr>
        <w:t>5.1.5评标办法</w:t>
      </w:r>
    </w:p>
    <w:p>
      <w:pPr>
        <w:pStyle w:val="211"/>
        <w:spacing w:line="360" w:lineRule="auto"/>
        <w:jc w:val="both"/>
        <w:rPr>
          <w:highlight w:val="none"/>
        </w:rPr>
      </w:pPr>
      <w:r>
        <w:rPr>
          <w:rFonts w:hint="eastAsia"/>
          <w:highlight w:val="none"/>
        </w:rPr>
        <w:t>5.1.6投标文件格式</w:t>
      </w:r>
    </w:p>
    <w:p>
      <w:pPr>
        <w:pStyle w:val="211"/>
        <w:spacing w:line="360" w:lineRule="auto"/>
        <w:jc w:val="both"/>
        <w:rPr>
          <w:highlight w:val="none"/>
        </w:rPr>
      </w:pPr>
      <w:r>
        <w:rPr>
          <w:rFonts w:hint="eastAsia"/>
          <w:highlight w:val="none"/>
        </w:rPr>
        <w:t>5.1.7合同条款及合同格式</w:t>
      </w:r>
    </w:p>
    <w:p>
      <w:pPr>
        <w:pStyle w:val="211"/>
        <w:spacing w:line="360" w:lineRule="auto"/>
        <w:jc w:val="both"/>
        <w:rPr>
          <w:highlight w:val="none"/>
          <w:lang w:val="zh-CN"/>
        </w:rPr>
      </w:pPr>
      <w:r>
        <w:rPr>
          <w:rFonts w:hint="eastAsia"/>
          <w:highlight w:val="none"/>
          <w:lang w:val="zh-CN"/>
        </w:rPr>
        <w:t>5.2投标人应认真阅读和充分理解招标文件中所有的事项、格式条款和规范要求。投标人没有对招标文件全面作出实质性响应是投标人的风险。没有按照招标文件要求做出实质性响应的投标文件将被拒绝。</w:t>
      </w:r>
      <w:bookmarkStart w:id="78" w:name="_Toc183582211"/>
      <w:bookmarkStart w:id="79" w:name="_Toc183682348"/>
      <w:bookmarkStart w:id="80" w:name="_Toc217446040"/>
    </w:p>
    <w:p>
      <w:pPr>
        <w:pStyle w:val="4"/>
        <w:jc w:val="both"/>
        <w:rPr>
          <w:rFonts w:ascii="宋体" w:hAnsi="宋体" w:cs="宋体"/>
          <w:sz w:val="24"/>
          <w:highlight w:val="none"/>
          <w:lang w:val="zh-CN"/>
        </w:rPr>
      </w:pPr>
      <w:bookmarkStart w:id="81" w:name="_Toc20124"/>
      <w:bookmarkStart w:id="82" w:name="_Toc29913"/>
      <w:bookmarkStart w:id="83" w:name="_Toc21289"/>
      <w:bookmarkStart w:id="84" w:name="_Toc31197"/>
      <w:bookmarkStart w:id="85" w:name="_Toc1077"/>
      <w:bookmarkStart w:id="86" w:name="_Toc9777"/>
      <w:r>
        <w:rPr>
          <w:rFonts w:hint="eastAsia" w:ascii="宋体" w:hAnsi="宋体" w:cs="宋体"/>
          <w:sz w:val="24"/>
          <w:highlight w:val="none"/>
          <w:lang w:val="zh-CN"/>
        </w:rPr>
        <w:t>6.招标文件的澄清</w:t>
      </w:r>
      <w:bookmarkEnd w:id="78"/>
      <w:bookmarkEnd w:id="79"/>
      <w:r>
        <w:rPr>
          <w:rFonts w:hint="eastAsia" w:ascii="宋体" w:hAnsi="宋体" w:cs="宋体"/>
          <w:sz w:val="24"/>
          <w:highlight w:val="none"/>
          <w:lang w:val="zh-CN"/>
        </w:rPr>
        <w:t>和修改</w:t>
      </w:r>
      <w:bookmarkEnd w:id="80"/>
      <w:bookmarkEnd w:id="81"/>
      <w:bookmarkEnd w:id="82"/>
      <w:bookmarkEnd w:id="83"/>
      <w:bookmarkEnd w:id="84"/>
      <w:bookmarkEnd w:id="85"/>
      <w:bookmarkEnd w:id="86"/>
    </w:p>
    <w:p>
      <w:pPr>
        <w:pStyle w:val="211"/>
        <w:spacing w:line="360" w:lineRule="auto"/>
        <w:jc w:val="both"/>
        <w:rPr>
          <w:highlight w:val="none"/>
          <w:lang w:val="zh-CN"/>
        </w:rPr>
      </w:pPr>
      <w:bookmarkStart w:id="87" w:name="_Toc183582213"/>
      <w:bookmarkStart w:id="88" w:name="_Toc183682350"/>
      <w:bookmarkStart w:id="89" w:name="_Toc217446041"/>
      <w:bookmarkStart w:id="90" w:name="_Toc208848971"/>
      <w:r>
        <w:rPr>
          <w:rFonts w:hint="eastAsia"/>
          <w:highlight w:val="none"/>
          <w:lang w:val="zh-CN"/>
        </w:rPr>
        <w:t>6.1在投标截止时间前，招标采购单位无论出于何种原因，可以对招标文件进行澄清或者修改。</w:t>
      </w:r>
    </w:p>
    <w:p>
      <w:pPr>
        <w:pStyle w:val="211"/>
        <w:spacing w:line="360" w:lineRule="auto"/>
        <w:jc w:val="both"/>
        <w:rPr>
          <w:highlight w:val="none"/>
          <w:lang w:val="zh-CN"/>
        </w:rPr>
      </w:pPr>
      <w:r>
        <w:rPr>
          <w:rFonts w:hint="eastAsia"/>
          <w:highlight w:val="none"/>
          <w:lang w:val="zh-CN"/>
        </w:rPr>
        <w:t>6.2招标采购单位对已发出的招标文件进行澄清或者修改的内容可能影响投标文件编制的，应当在招标文件要求的投标文件递交截止时间至少</w:t>
      </w:r>
      <w:r>
        <w:rPr>
          <w:rFonts w:hint="eastAsia"/>
          <w:highlight w:val="none"/>
        </w:rPr>
        <w:t>15</w:t>
      </w:r>
      <w:r>
        <w:rPr>
          <w:rFonts w:hint="eastAsia"/>
          <w:highlight w:val="none"/>
          <w:lang w:val="zh-CN"/>
        </w:rPr>
        <w:t>日前，通知所有获取招标文件的潜在投标人。不足15日的，招标采购单位应当顺延投标文件递交截止时间。同时在甘肃经济信息网上发布更正公告，并对其具有约束力。投标人应立即以信函、传真形式确认已收到修改文件，该澄清或者修改的内容为招标文件的组成部分。</w:t>
      </w:r>
    </w:p>
    <w:p>
      <w:pPr>
        <w:pStyle w:val="211"/>
        <w:spacing w:line="360" w:lineRule="auto"/>
        <w:jc w:val="both"/>
        <w:rPr>
          <w:highlight w:val="none"/>
          <w:lang w:val="zh-CN"/>
        </w:rPr>
      </w:pPr>
      <w:r>
        <w:rPr>
          <w:rFonts w:hint="eastAsia"/>
          <w:highlight w:val="none"/>
          <w:lang w:val="zh-CN"/>
        </w:rPr>
        <w:t>6.3任何要求对招标文件进行澄清的投标人，均应以书面形式通知代理机构，代理机构对按要求递交的任何澄清将以书面或网上公告的形式通知所有购买招标文件的投标人，并对其具有约束力。投标人在被告知、收到上述公告、通知或答疑书后，应立即向代理机构回函确认。未确认情况应当视为对招标文件修改的知晓，也将视为对修改内容接受的默认。对于未在投标文件中对修改内容作实质性响应的，对其产生的不利因素由未确认者自行承担。</w:t>
      </w:r>
    </w:p>
    <w:p>
      <w:pPr>
        <w:pStyle w:val="211"/>
        <w:spacing w:line="360" w:lineRule="auto"/>
        <w:jc w:val="both"/>
        <w:rPr>
          <w:highlight w:val="none"/>
          <w:lang w:val="zh-CN"/>
        </w:rPr>
      </w:pPr>
      <w:r>
        <w:rPr>
          <w:rFonts w:hint="eastAsia"/>
          <w:highlight w:val="none"/>
          <w:lang w:val="zh-CN"/>
        </w:rPr>
        <w:t>6.4在投标截止时间前，招标采购单位可以视采购具体情况，延长投标截止时间和开标时间。并将变更时间以书面形式通知所有获取了招标文件的投标人，同时在甘肃经济信息网上发布更正公告。</w:t>
      </w:r>
    </w:p>
    <w:p>
      <w:pPr>
        <w:pStyle w:val="211"/>
        <w:spacing w:line="360" w:lineRule="auto"/>
        <w:jc w:val="both"/>
        <w:rPr>
          <w:highlight w:val="none"/>
        </w:rPr>
      </w:pPr>
      <w:r>
        <w:rPr>
          <w:rFonts w:hint="eastAsia"/>
          <w:highlight w:val="none"/>
        </w:rPr>
        <w:t>6.5投标人在投标文件递交截止时间前应主动登录甘肃经济信息网以便及时了解相关招标信息和补充信息。如因未主动登录网站而未获取相关信息，对其产生不利因素由投标人自行承担。</w:t>
      </w:r>
    </w:p>
    <w:p>
      <w:pPr>
        <w:pStyle w:val="211"/>
        <w:spacing w:line="360" w:lineRule="auto"/>
        <w:jc w:val="both"/>
        <w:rPr>
          <w:highlight w:val="none"/>
          <w:lang w:val="zh-CN"/>
        </w:rPr>
      </w:pPr>
      <w:r>
        <w:rPr>
          <w:rFonts w:hint="eastAsia"/>
          <w:highlight w:val="none"/>
          <w:lang w:val="zh-CN"/>
        </w:rPr>
        <w:t>6.</w:t>
      </w:r>
      <w:r>
        <w:rPr>
          <w:rFonts w:hint="eastAsia"/>
          <w:highlight w:val="none"/>
        </w:rPr>
        <w:t>6</w:t>
      </w:r>
      <w:r>
        <w:rPr>
          <w:rFonts w:hint="eastAsia"/>
          <w:highlight w:val="none"/>
          <w:lang w:val="zh-CN"/>
        </w:rPr>
        <w:t>投标人应在其获取招标文件之日起7个工作日内对招标文件的内容提出质疑，招标采购单位按规定时间答复，超过时间的质疑将不予接受。</w:t>
      </w:r>
    </w:p>
    <w:p>
      <w:pPr>
        <w:pStyle w:val="211"/>
        <w:spacing w:line="360" w:lineRule="auto"/>
        <w:jc w:val="both"/>
        <w:rPr>
          <w:highlight w:val="none"/>
          <w:lang w:val="zh-CN"/>
        </w:rPr>
      </w:pPr>
      <w:r>
        <w:rPr>
          <w:rFonts w:hint="eastAsia"/>
          <w:highlight w:val="none"/>
          <w:lang w:val="zh-CN"/>
        </w:rPr>
        <w:t>6.</w:t>
      </w:r>
      <w:r>
        <w:rPr>
          <w:rFonts w:hint="eastAsia"/>
          <w:highlight w:val="none"/>
        </w:rPr>
        <w:t>7</w:t>
      </w:r>
      <w:r>
        <w:rPr>
          <w:rFonts w:hint="eastAsia"/>
          <w:highlight w:val="none"/>
          <w:lang w:val="zh-CN"/>
        </w:rPr>
        <w:t>更正公告或变更公告的内容为招标文件的必要组成部分，对所有投标人均具有约束作用。</w:t>
      </w:r>
    </w:p>
    <w:bookmarkEnd w:id="87"/>
    <w:bookmarkEnd w:id="88"/>
    <w:bookmarkEnd w:id="89"/>
    <w:bookmarkEnd w:id="90"/>
    <w:p>
      <w:pPr>
        <w:pStyle w:val="4"/>
        <w:numPr>
          <w:ilvl w:val="0"/>
          <w:numId w:val="4"/>
        </w:numPr>
        <w:jc w:val="both"/>
        <w:rPr>
          <w:rFonts w:ascii="宋体" w:hAnsi="宋体" w:cs="宋体"/>
          <w:sz w:val="24"/>
          <w:highlight w:val="none"/>
          <w:lang w:val="zh-CN"/>
        </w:rPr>
      </w:pPr>
      <w:bookmarkStart w:id="91" w:name="_Toc14435"/>
      <w:bookmarkStart w:id="92" w:name="_Toc3000"/>
      <w:bookmarkStart w:id="93" w:name="_Toc30906"/>
      <w:bookmarkStart w:id="94" w:name="_Toc30909"/>
      <w:bookmarkStart w:id="95" w:name="_Toc27972"/>
      <w:bookmarkStart w:id="96" w:name="_Toc24673"/>
      <w:r>
        <w:rPr>
          <w:rFonts w:hint="eastAsia" w:ascii="宋体" w:hAnsi="宋体" w:cs="宋体"/>
          <w:sz w:val="24"/>
          <w:highlight w:val="none"/>
          <w:lang w:val="zh-CN"/>
        </w:rPr>
        <w:t>现场踏勘</w:t>
      </w:r>
      <w:bookmarkEnd w:id="91"/>
      <w:bookmarkEnd w:id="92"/>
      <w:bookmarkEnd w:id="93"/>
      <w:bookmarkEnd w:id="94"/>
      <w:bookmarkEnd w:id="95"/>
      <w:bookmarkEnd w:id="96"/>
    </w:p>
    <w:p>
      <w:pPr>
        <w:pStyle w:val="13"/>
        <w:ind w:firstLine="0"/>
        <w:rPr>
          <w:highlight w:val="none"/>
          <w:lang w:val="zh-CN"/>
        </w:rPr>
      </w:pPr>
      <w:r>
        <w:rPr>
          <w:rFonts w:hint="eastAsia" w:ascii="宋体" w:hAnsi="宋体" w:cs="宋体"/>
          <w:highlight w:val="none"/>
        </w:rPr>
        <w:t>7.1</w:t>
      </w:r>
      <w:r>
        <w:rPr>
          <w:rFonts w:hint="eastAsia" w:ascii="宋体" w:hAnsi="宋体" w:cs="宋体"/>
          <w:highlight w:val="none"/>
          <w:lang w:val="zh-CN"/>
        </w:rPr>
        <w:t>本项目不组织现场踏勘。</w:t>
      </w:r>
    </w:p>
    <w:p>
      <w:pPr>
        <w:pStyle w:val="3"/>
        <w:jc w:val="both"/>
        <w:rPr>
          <w:rFonts w:ascii="宋体" w:hAnsi="宋体" w:cs="宋体"/>
          <w:sz w:val="32"/>
          <w:szCs w:val="32"/>
          <w:highlight w:val="none"/>
        </w:rPr>
      </w:pPr>
      <w:bookmarkStart w:id="97" w:name="_Toc89075876"/>
      <w:bookmarkStart w:id="98" w:name="_Toc77400780"/>
      <w:bookmarkStart w:id="99" w:name="_Toc183682351"/>
      <w:bookmarkStart w:id="100" w:name="_Toc217446042"/>
      <w:bookmarkStart w:id="101" w:name="_Toc183582214"/>
      <w:bookmarkStart w:id="102" w:name="_Toc14268"/>
      <w:bookmarkStart w:id="103" w:name="_Toc20193"/>
      <w:bookmarkStart w:id="104" w:name="_Toc8282"/>
    </w:p>
    <w:p>
      <w:pPr>
        <w:pStyle w:val="3"/>
        <w:rPr>
          <w:rFonts w:ascii="宋体" w:hAnsi="宋体" w:cs="宋体"/>
          <w:sz w:val="32"/>
          <w:szCs w:val="32"/>
          <w:highlight w:val="none"/>
        </w:rPr>
      </w:pPr>
      <w:bookmarkStart w:id="105" w:name="_Toc23919"/>
      <w:bookmarkStart w:id="106" w:name="_Toc24876"/>
      <w:r>
        <w:rPr>
          <w:rFonts w:hint="eastAsia" w:ascii="宋体" w:hAnsi="宋体" w:cs="宋体"/>
          <w:sz w:val="32"/>
          <w:szCs w:val="32"/>
          <w:highlight w:val="none"/>
        </w:rPr>
        <w:t>三、投标文件</w:t>
      </w:r>
      <w:bookmarkEnd w:id="97"/>
      <w:bookmarkEnd w:id="98"/>
      <w:bookmarkEnd w:id="99"/>
      <w:bookmarkEnd w:id="100"/>
      <w:bookmarkEnd w:id="101"/>
      <w:bookmarkStart w:id="107" w:name="_Toc183682352"/>
      <w:bookmarkStart w:id="108" w:name="_Toc217446043"/>
      <w:bookmarkStart w:id="109" w:name="_Toc183582215"/>
      <w:r>
        <w:rPr>
          <w:rFonts w:hint="eastAsia" w:ascii="宋体" w:hAnsi="宋体" w:cs="宋体"/>
          <w:sz w:val="32"/>
          <w:szCs w:val="32"/>
          <w:highlight w:val="none"/>
        </w:rPr>
        <w:t>的编制</w:t>
      </w:r>
      <w:bookmarkEnd w:id="102"/>
      <w:bookmarkEnd w:id="103"/>
      <w:bookmarkEnd w:id="104"/>
      <w:bookmarkEnd w:id="105"/>
      <w:bookmarkEnd w:id="106"/>
    </w:p>
    <w:p>
      <w:pPr>
        <w:pStyle w:val="4"/>
        <w:jc w:val="both"/>
        <w:rPr>
          <w:rFonts w:ascii="宋体" w:hAnsi="宋体" w:cs="宋体"/>
          <w:sz w:val="24"/>
          <w:highlight w:val="none"/>
          <w:lang w:val="zh-CN"/>
        </w:rPr>
      </w:pPr>
      <w:bookmarkStart w:id="110" w:name="_Toc12265"/>
      <w:bookmarkStart w:id="111" w:name="_Toc16022"/>
      <w:bookmarkStart w:id="112" w:name="_Toc30487"/>
      <w:bookmarkStart w:id="113" w:name="_Toc21300"/>
      <w:bookmarkStart w:id="114" w:name="_Toc15432"/>
      <w:bookmarkStart w:id="115" w:name="_Toc21742"/>
      <w:r>
        <w:rPr>
          <w:rFonts w:hint="eastAsia" w:ascii="宋体" w:hAnsi="宋体" w:cs="宋体"/>
          <w:sz w:val="24"/>
          <w:highlight w:val="none"/>
          <w:lang w:val="zh-CN"/>
        </w:rPr>
        <w:t>8．要求</w:t>
      </w:r>
      <w:bookmarkEnd w:id="110"/>
      <w:bookmarkEnd w:id="111"/>
      <w:bookmarkEnd w:id="112"/>
      <w:bookmarkEnd w:id="113"/>
      <w:bookmarkEnd w:id="114"/>
      <w:bookmarkEnd w:id="115"/>
    </w:p>
    <w:p>
      <w:pPr>
        <w:pStyle w:val="211"/>
        <w:spacing w:line="360" w:lineRule="auto"/>
        <w:jc w:val="both"/>
        <w:rPr>
          <w:highlight w:val="none"/>
          <w:lang w:val="zh-CN"/>
        </w:rPr>
      </w:pPr>
      <w:r>
        <w:rPr>
          <w:rFonts w:hint="eastAsia"/>
          <w:highlight w:val="none"/>
        </w:rPr>
        <w:t>8.1</w:t>
      </w:r>
      <w:r>
        <w:rPr>
          <w:rFonts w:hint="eastAsia"/>
          <w:highlight w:val="none"/>
          <w:lang w:val="zh-CN"/>
        </w:rPr>
        <w:t>投标人应仔细阅读招标文件的所有内容，按招标文件要求编制投标文件，以使其投标对招标文件作出实质性响应。否则，其投标文件可能被拒绝，投标人须自行承担由此引起的风险和责任。</w:t>
      </w:r>
    </w:p>
    <w:p>
      <w:pPr>
        <w:pStyle w:val="211"/>
        <w:spacing w:line="360" w:lineRule="auto"/>
        <w:jc w:val="both"/>
        <w:rPr>
          <w:highlight w:val="none"/>
          <w:lang w:val="zh-CN"/>
        </w:rPr>
      </w:pPr>
      <w:r>
        <w:rPr>
          <w:rFonts w:hint="eastAsia"/>
          <w:highlight w:val="none"/>
          <w:lang w:val="zh-CN"/>
        </w:rPr>
        <w:t>8.2投标人应根据招标文件的规定和投标文件格式编制投标文件，保证其真实有效，并承担相应的法律责任。</w:t>
      </w:r>
    </w:p>
    <w:p>
      <w:pPr>
        <w:pStyle w:val="211"/>
        <w:spacing w:line="360" w:lineRule="auto"/>
        <w:jc w:val="both"/>
        <w:rPr>
          <w:highlight w:val="none"/>
          <w:lang w:val="zh-CN"/>
        </w:rPr>
      </w:pPr>
      <w:r>
        <w:rPr>
          <w:rFonts w:hint="eastAsia"/>
          <w:highlight w:val="none"/>
          <w:lang w:val="zh-CN"/>
        </w:rPr>
        <w:t>8.3投标人应对投标文件所提供的全部资料的真实性承担法律责任，并无条件接受采购人、代理机构对其中任何资料进行核实（核对原件）的要求。采购人、代理机构核对发现有不一致或投标人无正当理由不按时提供原件的，按有关规定执行。</w:t>
      </w:r>
    </w:p>
    <w:p>
      <w:pPr>
        <w:pStyle w:val="4"/>
        <w:jc w:val="both"/>
        <w:rPr>
          <w:rFonts w:ascii="宋体" w:hAnsi="宋体" w:cs="宋体"/>
          <w:sz w:val="24"/>
          <w:highlight w:val="none"/>
          <w:lang w:val="zh-CN"/>
        </w:rPr>
      </w:pPr>
      <w:bookmarkStart w:id="116" w:name="_Toc25069"/>
      <w:bookmarkStart w:id="117" w:name="_Toc9029"/>
      <w:bookmarkStart w:id="118" w:name="_Toc1665"/>
      <w:bookmarkStart w:id="119" w:name="_Toc18728"/>
      <w:bookmarkStart w:id="120" w:name="_Toc21004"/>
      <w:bookmarkStart w:id="121" w:name="_Toc8319"/>
      <w:r>
        <w:rPr>
          <w:rFonts w:hint="eastAsia" w:ascii="宋体" w:hAnsi="宋体" w:cs="宋体"/>
          <w:sz w:val="24"/>
          <w:highlight w:val="none"/>
        </w:rPr>
        <w:t>9.</w:t>
      </w:r>
      <w:r>
        <w:rPr>
          <w:rFonts w:hint="eastAsia" w:ascii="宋体" w:hAnsi="宋体" w:cs="宋体"/>
          <w:sz w:val="24"/>
          <w:highlight w:val="none"/>
          <w:lang w:val="zh-CN"/>
        </w:rPr>
        <w:t>投标文件的语言</w:t>
      </w:r>
      <w:bookmarkEnd w:id="107"/>
      <w:bookmarkEnd w:id="108"/>
      <w:bookmarkEnd w:id="109"/>
      <w:r>
        <w:rPr>
          <w:rFonts w:hint="eastAsia" w:ascii="宋体" w:hAnsi="宋体" w:cs="宋体"/>
          <w:sz w:val="24"/>
          <w:highlight w:val="none"/>
          <w:lang w:val="zh-CN"/>
        </w:rPr>
        <w:t>及计量单位</w:t>
      </w:r>
      <w:bookmarkEnd w:id="116"/>
      <w:bookmarkEnd w:id="117"/>
      <w:bookmarkEnd w:id="118"/>
      <w:bookmarkEnd w:id="119"/>
      <w:bookmarkEnd w:id="120"/>
      <w:bookmarkEnd w:id="121"/>
    </w:p>
    <w:p>
      <w:pPr>
        <w:pStyle w:val="211"/>
        <w:spacing w:line="360" w:lineRule="auto"/>
        <w:jc w:val="both"/>
        <w:rPr>
          <w:highlight w:val="none"/>
          <w:lang w:val="zh-CN"/>
        </w:rPr>
      </w:pPr>
      <w:r>
        <w:rPr>
          <w:rFonts w:hint="eastAsia"/>
          <w:highlight w:val="none"/>
        </w:rPr>
        <w:t>9</w:t>
      </w:r>
      <w:r>
        <w:rPr>
          <w:rFonts w:hint="eastAsia"/>
          <w:highlight w:val="none"/>
          <w:lang w:val="zh-CN"/>
        </w:rPr>
        <w:t>.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pStyle w:val="211"/>
        <w:spacing w:line="360" w:lineRule="auto"/>
        <w:jc w:val="both"/>
        <w:rPr>
          <w:highlight w:val="none"/>
          <w:lang w:val="zh-CN"/>
        </w:rPr>
      </w:pPr>
      <w:r>
        <w:rPr>
          <w:rFonts w:hint="eastAsia"/>
          <w:highlight w:val="none"/>
        </w:rPr>
        <w:t>9</w:t>
      </w:r>
      <w:r>
        <w:rPr>
          <w:rFonts w:hint="eastAsia"/>
          <w:highlight w:val="none"/>
          <w:lang w:val="zh-CN"/>
        </w:rPr>
        <w:t>.2翻译的中文资料与外文资料如果出现差异和矛盾时，以中文为准。但不能故意错误翻译，否则，投标人的投标文件将作为无效投标处理。</w:t>
      </w:r>
      <w:bookmarkStart w:id="122" w:name="_Toc183582216"/>
      <w:bookmarkStart w:id="123" w:name="_Toc217446044"/>
      <w:bookmarkStart w:id="124" w:name="_Toc183682353"/>
      <w:r>
        <w:rPr>
          <w:rFonts w:hint="eastAsia"/>
          <w:highlight w:val="none"/>
          <w:lang w:val="zh-CN"/>
        </w:rPr>
        <w:t>除签名、盖章、专用名称等特殊情形外，以中文以外的文字表述的投标文件，评标委员会有权拒绝其投标。</w:t>
      </w:r>
    </w:p>
    <w:bookmarkEnd w:id="122"/>
    <w:bookmarkEnd w:id="123"/>
    <w:bookmarkEnd w:id="124"/>
    <w:p>
      <w:pPr>
        <w:pStyle w:val="211"/>
        <w:spacing w:line="360" w:lineRule="auto"/>
        <w:jc w:val="both"/>
        <w:rPr>
          <w:highlight w:val="none"/>
          <w:lang w:val="zh-CN"/>
        </w:rPr>
      </w:pPr>
      <w:r>
        <w:rPr>
          <w:rFonts w:hint="eastAsia"/>
          <w:highlight w:val="none"/>
        </w:rPr>
        <w:t>9.3</w:t>
      </w:r>
      <w:r>
        <w:rPr>
          <w:rFonts w:hint="eastAsia"/>
          <w:highlight w:val="none"/>
          <w:lang w:val="zh-CN"/>
        </w:rPr>
        <w:t>除技术规格及要求中另有规定外，本采购项目下的投标均采用国家法定的计量单位。</w:t>
      </w:r>
      <w:bookmarkStart w:id="125" w:name="_Toc217446045"/>
    </w:p>
    <w:p>
      <w:pPr>
        <w:pStyle w:val="4"/>
        <w:jc w:val="both"/>
        <w:rPr>
          <w:rFonts w:ascii="宋体" w:hAnsi="宋体" w:cs="宋体"/>
          <w:sz w:val="24"/>
          <w:highlight w:val="none"/>
          <w:lang w:val="zh-CN"/>
        </w:rPr>
      </w:pPr>
      <w:bookmarkStart w:id="126" w:name="_Toc6560"/>
      <w:bookmarkStart w:id="127" w:name="_Toc15633"/>
      <w:bookmarkStart w:id="128" w:name="_Toc14511"/>
      <w:bookmarkStart w:id="129" w:name="_Toc28136"/>
      <w:bookmarkStart w:id="130" w:name="_Toc12251"/>
      <w:bookmarkStart w:id="131" w:name="_Toc14963"/>
      <w:r>
        <w:rPr>
          <w:rFonts w:hint="eastAsia" w:ascii="宋体" w:hAnsi="宋体" w:cs="宋体"/>
          <w:sz w:val="24"/>
          <w:highlight w:val="none"/>
          <w:lang w:val="zh-CN"/>
        </w:rPr>
        <w:t>10.投标货币</w:t>
      </w:r>
      <w:bookmarkEnd w:id="125"/>
      <w:bookmarkEnd w:id="126"/>
      <w:bookmarkEnd w:id="127"/>
      <w:bookmarkEnd w:id="128"/>
      <w:bookmarkEnd w:id="129"/>
      <w:bookmarkEnd w:id="130"/>
      <w:bookmarkEnd w:id="131"/>
    </w:p>
    <w:p>
      <w:pPr>
        <w:pStyle w:val="211"/>
        <w:spacing w:line="360" w:lineRule="auto"/>
        <w:jc w:val="both"/>
        <w:rPr>
          <w:highlight w:val="none"/>
          <w:lang w:val="zh-CN"/>
        </w:rPr>
      </w:pPr>
      <w:r>
        <w:rPr>
          <w:rFonts w:hint="eastAsia"/>
          <w:highlight w:val="none"/>
        </w:rPr>
        <w:t>10.1</w:t>
      </w:r>
      <w:r>
        <w:rPr>
          <w:rFonts w:hint="eastAsia"/>
          <w:highlight w:val="none"/>
          <w:lang w:val="zh-CN"/>
        </w:rPr>
        <w:t>本次招标项目的投标均以人民币报价。</w:t>
      </w:r>
      <w:bookmarkStart w:id="132" w:name="_Toc217446046"/>
    </w:p>
    <w:p>
      <w:pPr>
        <w:pStyle w:val="4"/>
        <w:jc w:val="both"/>
        <w:rPr>
          <w:rFonts w:ascii="宋体" w:hAnsi="宋体" w:cs="宋体"/>
          <w:sz w:val="24"/>
          <w:highlight w:val="none"/>
          <w:lang w:val="zh-CN"/>
        </w:rPr>
      </w:pPr>
      <w:bookmarkStart w:id="133" w:name="_Toc4857"/>
      <w:bookmarkStart w:id="134" w:name="_Toc18411"/>
      <w:bookmarkStart w:id="135" w:name="_Toc1217"/>
      <w:bookmarkStart w:id="136" w:name="_Toc24706"/>
      <w:bookmarkStart w:id="137" w:name="_Toc1855"/>
      <w:bookmarkStart w:id="138" w:name="_Toc25690"/>
      <w:r>
        <w:rPr>
          <w:rFonts w:hint="eastAsia" w:ascii="宋体" w:hAnsi="宋体" w:cs="宋体"/>
          <w:sz w:val="24"/>
          <w:highlight w:val="none"/>
          <w:lang w:val="zh-CN"/>
        </w:rPr>
        <w:t>11.联合投标</w:t>
      </w:r>
      <w:bookmarkEnd w:id="132"/>
      <w:bookmarkEnd w:id="133"/>
      <w:bookmarkEnd w:id="134"/>
      <w:bookmarkEnd w:id="135"/>
      <w:bookmarkEnd w:id="136"/>
      <w:bookmarkEnd w:id="137"/>
      <w:bookmarkEnd w:id="138"/>
    </w:p>
    <w:p>
      <w:pPr>
        <w:pStyle w:val="211"/>
        <w:spacing w:line="360" w:lineRule="auto"/>
        <w:jc w:val="both"/>
        <w:rPr>
          <w:highlight w:val="none"/>
          <w:lang w:val="zh-CN"/>
        </w:rPr>
      </w:pPr>
      <w:r>
        <w:rPr>
          <w:rFonts w:hint="eastAsia"/>
          <w:highlight w:val="none"/>
          <w:lang w:val="zh-CN"/>
        </w:rPr>
        <w:t>11.1本项目不接受联合体投标。</w:t>
      </w:r>
      <w:bookmarkStart w:id="139" w:name="_Toc217446047"/>
    </w:p>
    <w:p>
      <w:pPr>
        <w:pStyle w:val="4"/>
        <w:jc w:val="both"/>
        <w:rPr>
          <w:rFonts w:ascii="宋体" w:hAnsi="宋体" w:cs="宋体"/>
          <w:sz w:val="24"/>
          <w:highlight w:val="none"/>
          <w:lang w:val="zh-CN"/>
        </w:rPr>
      </w:pPr>
      <w:bookmarkStart w:id="140" w:name="_Toc32480"/>
      <w:bookmarkStart w:id="141" w:name="_Toc13413"/>
      <w:bookmarkStart w:id="142" w:name="_Toc966"/>
      <w:bookmarkStart w:id="143" w:name="_Toc20228"/>
      <w:bookmarkStart w:id="144" w:name="_Toc23105"/>
      <w:bookmarkStart w:id="145" w:name="_Toc18211"/>
      <w:r>
        <w:rPr>
          <w:rFonts w:hint="eastAsia" w:ascii="宋体" w:hAnsi="宋体" w:cs="宋体"/>
          <w:sz w:val="24"/>
          <w:highlight w:val="none"/>
          <w:lang w:val="zh-CN"/>
        </w:rPr>
        <w:t>12.知识产权</w:t>
      </w:r>
      <w:bookmarkEnd w:id="139"/>
      <w:bookmarkEnd w:id="140"/>
      <w:bookmarkEnd w:id="141"/>
      <w:bookmarkEnd w:id="142"/>
      <w:bookmarkEnd w:id="143"/>
      <w:bookmarkEnd w:id="144"/>
      <w:bookmarkEnd w:id="145"/>
    </w:p>
    <w:p>
      <w:pPr>
        <w:pStyle w:val="211"/>
        <w:spacing w:line="360" w:lineRule="auto"/>
        <w:jc w:val="both"/>
        <w:rPr>
          <w:highlight w:val="none"/>
          <w:lang w:val="zh-CN"/>
        </w:rPr>
      </w:pPr>
      <w:r>
        <w:rPr>
          <w:rFonts w:hint="eastAsia"/>
          <w:highlight w:val="none"/>
          <w:lang w:val="zh-CN"/>
        </w:rPr>
        <w:t>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11"/>
        <w:spacing w:line="360" w:lineRule="auto"/>
        <w:jc w:val="both"/>
        <w:rPr>
          <w:highlight w:val="none"/>
          <w:lang w:val="zh-CN"/>
        </w:rPr>
      </w:pPr>
      <w:r>
        <w:rPr>
          <w:rFonts w:hint="eastAsia"/>
          <w:highlight w:val="none"/>
          <w:lang w:val="zh-CN"/>
        </w:rPr>
        <w:t>12.2采购人享有本项目实施过程中产生的知识成果及知识产权。</w:t>
      </w:r>
    </w:p>
    <w:p>
      <w:pPr>
        <w:pStyle w:val="211"/>
        <w:spacing w:line="360" w:lineRule="auto"/>
        <w:jc w:val="both"/>
        <w:rPr>
          <w:highlight w:val="none"/>
          <w:lang w:val="zh-CN"/>
        </w:rPr>
      </w:pPr>
      <w:r>
        <w:rPr>
          <w:rFonts w:hint="eastAsia"/>
          <w:highlight w:val="none"/>
          <w:lang w:val="zh-CN"/>
        </w:rPr>
        <w:t>12.3投标人如欲在项目实施过程中采用自有知识成果，须在投标文件中声明，并提供相关知识产权证明文件。使用该知识成果后，投标人需提供开发接口和开发手册等技术文档，并承诺提供无限期技术支持，采购人享有永久使用权。</w:t>
      </w:r>
    </w:p>
    <w:p>
      <w:pPr>
        <w:pStyle w:val="211"/>
        <w:spacing w:line="360" w:lineRule="auto"/>
        <w:jc w:val="both"/>
        <w:rPr>
          <w:highlight w:val="none"/>
          <w:lang w:val="zh-CN"/>
        </w:rPr>
      </w:pPr>
      <w:r>
        <w:rPr>
          <w:rFonts w:hint="eastAsia"/>
          <w:highlight w:val="none"/>
          <w:lang w:val="zh-CN"/>
        </w:rPr>
        <w:t>12.4如采用投标人所不拥有的知识产权，则在投标报价中必须包括合法获取该知识产权的相关费用。</w:t>
      </w:r>
      <w:bookmarkStart w:id="146" w:name="_Toc183682354"/>
      <w:bookmarkStart w:id="147" w:name="_Toc183582217"/>
      <w:bookmarkStart w:id="148" w:name="_Toc217446048"/>
    </w:p>
    <w:p>
      <w:pPr>
        <w:pStyle w:val="4"/>
        <w:jc w:val="both"/>
        <w:rPr>
          <w:rFonts w:ascii="宋体" w:hAnsi="宋体" w:cs="宋体"/>
          <w:sz w:val="24"/>
          <w:highlight w:val="none"/>
          <w:lang w:val="zh-CN"/>
        </w:rPr>
      </w:pPr>
      <w:bookmarkStart w:id="149" w:name="_Toc14077"/>
      <w:bookmarkStart w:id="150" w:name="_Toc30454"/>
      <w:bookmarkStart w:id="151" w:name="_Toc3718"/>
      <w:bookmarkStart w:id="152" w:name="_Toc1478"/>
      <w:bookmarkStart w:id="153" w:name="_Toc8134"/>
      <w:bookmarkStart w:id="154" w:name="_Toc22176"/>
      <w:r>
        <w:rPr>
          <w:rFonts w:hint="eastAsia" w:ascii="宋体" w:hAnsi="宋体" w:cs="宋体"/>
          <w:sz w:val="24"/>
          <w:highlight w:val="none"/>
          <w:lang w:val="zh-CN"/>
        </w:rPr>
        <w:t>13．投标文件的组成</w:t>
      </w:r>
      <w:bookmarkEnd w:id="146"/>
      <w:bookmarkEnd w:id="147"/>
      <w:bookmarkEnd w:id="148"/>
      <w:bookmarkEnd w:id="149"/>
      <w:bookmarkEnd w:id="150"/>
      <w:bookmarkEnd w:id="151"/>
      <w:bookmarkEnd w:id="152"/>
      <w:bookmarkEnd w:id="153"/>
      <w:bookmarkEnd w:id="154"/>
    </w:p>
    <w:p>
      <w:pPr>
        <w:pStyle w:val="211"/>
        <w:spacing w:line="360" w:lineRule="auto"/>
        <w:ind w:firstLine="480" w:firstLineChars="200"/>
        <w:jc w:val="both"/>
        <w:rPr>
          <w:highlight w:val="none"/>
          <w:lang w:val="zh-CN"/>
        </w:rPr>
      </w:pPr>
      <w:r>
        <w:rPr>
          <w:rFonts w:hint="eastAsia"/>
          <w:highlight w:val="none"/>
          <w:lang w:val="zh-CN"/>
        </w:rPr>
        <w:t>投标人应按照招标文件的规定和要求编制投标文件。投标人拟在中标后将中标项目的非主体、非关键性工作交由他人完成的，应当在投标文件中载明。投标人编写的投标文件应包括下列部分：</w:t>
      </w:r>
    </w:p>
    <w:p>
      <w:pPr>
        <w:pStyle w:val="211"/>
        <w:spacing w:line="360" w:lineRule="auto"/>
        <w:jc w:val="both"/>
        <w:rPr>
          <w:highlight w:val="none"/>
          <w:lang w:val="zh-CN"/>
        </w:rPr>
      </w:pPr>
      <w:r>
        <w:rPr>
          <w:rFonts w:hint="eastAsia"/>
          <w:b/>
          <w:bCs/>
          <w:highlight w:val="none"/>
          <w:lang w:val="zh-CN"/>
        </w:rPr>
        <w:t>13.1报价部分：</w:t>
      </w:r>
      <w:r>
        <w:rPr>
          <w:rFonts w:hint="eastAsia"/>
          <w:highlight w:val="none"/>
          <w:lang w:val="zh-CN"/>
        </w:rPr>
        <w:t>投标人按照招标文件要求填写的“开标一览表”及“分项报价表”。本次招标报价要求：</w:t>
      </w:r>
    </w:p>
    <w:p>
      <w:pPr>
        <w:pStyle w:val="211"/>
        <w:spacing w:line="360" w:lineRule="auto"/>
        <w:ind w:firstLine="480" w:firstLineChars="200"/>
        <w:jc w:val="both"/>
        <w:rPr>
          <w:highlight w:val="none"/>
          <w:lang w:val="zh-CN"/>
        </w:rPr>
      </w:pPr>
      <w:r>
        <w:rPr>
          <w:rFonts w:hint="eastAsia"/>
          <w:highlight w:val="none"/>
          <w:lang w:val="zh-CN"/>
        </w:rPr>
        <w:t>（1）开标一览表、报价明细表等各表中的报价，若无特殊说明应采用人民币填报。</w:t>
      </w:r>
    </w:p>
    <w:p>
      <w:pPr>
        <w:pStyle w:val="211"/>
        <w:spacing w:line="360" w:lineRule="auto"/>
        <w:ind w:firstLine="480" w:firstLineChars="200"/>
        <w:jc w:val="both"/>
        <w:rPr>
          <w:highlight w:val="none"/>
          <w:lang w:val="zh-CN"/>
        </w:rPr>
      </w:pPr>
      <w:r>
        <w:rPr>
          <w:rFonts w:hint="eastAsia"/>
          <w:highlight w:val="none"/>
          <w:lang w:val="zh-CN"/>
        </w:rPr>
        <w:t>（2）投标报价是为完成招标文件规定的一切工作所需的全部费用的最终优惠价格。</w:t>
      </w:r>
    </w:p>
    <w:p>
      <w:pPr>
        <w:pStyle w:val="211"/>
        <w:spacing w:line="360" w:lineRule="auto"/>
        <w:ind w:firstLine="480" w:firstLineChars="200"/>
        <w:jc w:val="both"/>
        <w:rPr>
          <w:highlight w:val="none"/>
          <w:lang w:val="zh-CN"/>
        </w:rPr>
      </w:pPr>
      <w:r>
        <w:rPr>
          <w:rFonts w:hint="eastAsia"/>
          <w:highlight w:val="none"/>
          <w:lang w:val="zh-CN"/>
        </w:rPr>
        <w:t>（</w:t>
      </w:r>
      <w:r>
        <w:rPr>
          <w:rFonts w:hint="eastAsia"/>
          <w:highlight w:val="none"/>
        </w:rPr>
        <w:t>3</w:t>
      </w:r>
      <w:r>
        <w:rPr>
          <w:rFonts w:hint="eastAsia"/>
          <w:highlight w:val="none"/>
          <w:lang w:val="zh-CN"/>
        </w:rPr>
        <w:t>）除《采购需求》中说明并允许外，投标服务的单项报价以及采购项目的投标总价均只允许有一个报价，任何有选择的报价，招标采购单位均将予以拒绝。</w:t>
      </w:r>
    </w:p>
    <w:p>
      <w:pPr>
        <w:pStyle w:val="211"/>
        <w:spacing w:line="360" w:lineRule="auto"/>
        <w:ind w:firstLine="480" w:firstLineChars="200"/>
        <w:jc w:val="both"/>
        <w:rPr>
          <w:b/>
          <w:bCs/>
          <w:highlight w:val="none"/>
          <w:lang w:val="zh-CN"/>
        </w:rPr>
      </w:pPr>
      <w:r>
        <w:rPr>
          <w:rFonts w:hint="eastAsia"/>
          <w:highlight w:val="none"/>
          <w:lang w:val="zh-CN"/>
        </w:rPr>
        <w:t>（</w:t>
      </w:r>
      <w:r>
        <w:rPr>
          <w:rFonts w:hint="eastAsia"/>
          <w:highlight w:val="none"/>
        </w:rPr>
        <w:t>4</w:t>
      </w:r>
      <w:r>
        <w:rPr>
          <w:rFonts w:hint="eastAsia"/>
          <w:highlight w:val="none"/>
          <w:lang w:val="zh-CN"/>
        </w:rPr>
        <w:t>）投标人不得零报价；在评标过程中评标委员会认为报价不合理或低于成本，有可能影响诚信履约的，应当要求投标人在规定的时间提供书面文件予以解释说明，并提交相关证明，否则，评标委员会可以取消该投标人的资格。</w:t>
      </w:r>
    </w:p>
    <w:p>
      <w:pPr>
        <w:pStyle w:val="211"/>
        <w:spacing w:line="360" w:lineRule="auto"/>
        <w:jc w:val="both"/>
        <w:rPr>
          <w:highlight w:val="none"/>
          <w:lang w:val="zh-CN"/>
        </w:rPr>
      </w:pPr>
      <w:r>
        <w:rPr>
          <w:rFonts w:hint="eastAsia"/>
          <w:b/>
          <w:highlight w:val="none"/>
          <w:lang w:val="zh-CN"/>
        </w:rPr>
        <w:t>1</w:t>
      </w:r>
      <w:r>
        <w:rPr>
          <w:rFonts w:hint="eastAsia"/>
          <w:b/>
          <w:bCs/>
          <w:highlight w:val="none"/>
          <w:lang w:val="zh-CN"/>
        </w:rPr>
        <w:t>3.2技术部分:</w:t>
      </w:r>
      <w:r>
        <w:rPr>
          <w:rFonts w:hint="eastAsia"/>
          <w:highlight w:val="none"/>
          <w:lang w:val="zh-CN"/>
        </w:rPr>
        <w:t>投标人按照招标文件要求做出的技术应答，主要是针对招标项目的技术指标、参数和技术要求做出的实质性响应和满足。投标人的技术应答应包括下列内容：</w:t>
      </w:r>
    </w:p>
    <w:p>
      <w:pPr>
        <w:pStyle w:val="211"/>
        <w:spacing w:line="360" w:lineRule="auto"/>
        <w:ind w:firstLine="480" w:firstLineChars="200"/>
        <w:jc w:val="both"/>
        <w:rPr>
          <w:highlight w:val="none"/>
          <w:lang w:val="zh-CN"/>
        </w:rPr>
      </w:pPr>
      <w:r>
        <w:rPr>
          <w:rFonts w:hint="eastAsia"/>
          <w:highlight w:val="none"/>
          <w:lang w:val="zh-CN"/>
        </w:rPr>
        <w:t>（1）投标产品的品牌、型号、配置；</w:t>
      </w:r>
    </w:p>
    <w:p>
      <w:pPr>
        <w:pStyle w:val="211"/>
        <w:spacing w:line="360" w:lineRule="auto"/>
        <w:ind w:firstLine="480" w:firstLineChars="200"/>
        <w:jc w:val="both"/>
        <w:rPr>
          <w:highlight w:val="none"/>
          <w:lang w:val="zh-CN"/>
        </w:rPr>
      </w:pPr>
      <w:r>
        <w:rPr>
          <w:rFonts w:hint="eastAsia"/>
          <w:highlight w:val="none"/>
          <w:lang w:val="zh-CN"/>
        </w:rPr>
        <w:t>（2）详细的技术指标和参数；</w:t>
      </w:r>
    </w:p>
    <w:p>
      <w:pPr>
        <w:pStyle w:val="211"/>
        <w:spacing w:line="360" w:lineRule="auto"/>
        <w:ind w:firstLine="480" w:firstLineChars="200"/>
        <w:jc w:val="both"/>
        <w:rPr>
          <w:highlight w:val="none"/>
          <w:lang w:val="zh-CN"/>
        </w:rPr>
      </w:pPr>
      <w:r>
        <w:rPr>
          <w:rFonts w:hint="eastAsia"/>
          <w:highlight w:val="none"/>
          <w:lang w:val="zh-CN"/>
        </w:rPr>
        <w:t>（</w:t>
      </w:r>
      <w:r>
        <w:rPr>
          <w:rFonts w:hint="eastAsia"/>
          <w:highlight w:val="none"/>
        </w:rPr>
        <w:t>3</w:t>
      </w:r>
      <w:r>
        <w:rPr>
          <w:rFonts w:hint="eastAsia"/>
          <w:highlight w:val="none"/>
          <w:lang w:val="zh-CN"/>
        </w:rPr>
        <w:t>）技术偏离表；</w:t>
      </w:r>
    </w:p>
    <w:p>
      <w:pPr>
        <w:pStyle w:val="211"/>
        <w:spacing w:line="360" w:lineRule="auto"/>
        <w:ind w:firstLine="480" w:firstLineChars="200"/>
        <w:jc w:val="both"/>
        <w:rPr>
          <w:highlight w:val="none"/>
          <w:lang w:val="zh-CN"/>
        </w:rPr>
      </w:pPr>
      <w:r>
        <w:rPr>
          <w:rFonts w:hint="eastAsia"/>
          <w:highlight w:val="none"/>
          <w:lang w:val="zh-CN"/>
        </w:rPr>
        <w:t>（</w:t>
      </w:r>
      <w:r>
        <w:rPr>
          <w:rFonts w:hint="eastAsia"/>
          <w:highlight w:val="none"/>
        </w:rPr>
        <w:t>4</w:t>
      </w:r>
      <w:r>
        <w:rPr>
          <w:rFonts w:hint="eastAsia"/>
          <w:highlight w:val="none"/>
          <w:lang w:val="zh-CN"/>
        </w:rPr>
        <w:t>）本项目管理、技术人员情况；</w:t>
      </w:r>
    </w:p>
    <w:p>
      <w:pPr>
        <w:pStyle w:val="211"/>
        <w:spacing w:line="360" w:lineRule="auto"/>
        <w:ind w:firstLine="480" w:firstLineChars="200"/>
        <w:jc w:val="both"/>
        <w:rPr>
          <w:highlight w:val="none"/>
          <w:lang w:val="zh-CN"/>
        </w:rPr>
      </w:pPr>
      <w:r>
        <w:rPr>
          <w:rFonts w:hint="eastAsia"/>
          <w:highlight w:val="none"/>
          <w:lang w:val="zh-CN"/>
        </w:rPr>
        <w:t>（</w:t>
      </w:r>
      <w:r>
        <w:rPr>
          <w:rFonts w:hint="eastAsia"/>
          <w:highlight w:val="none"/>
        </w:rPr>
        <w:t>5</w:t>
      </w:r>
      <w:r>
        <w:rPr>
          <w:rFonts w:hint="eastAsia"/>
          <w:highlight w:val="none"/>
          <w:lang w:val="zh-CN"/>
        </w:rPr>
        <w:t>）说明书或产品介绍或产品合格证等证明材料；</w:t>
      </w:r>
    </w:p>
    <w:p>
      <w:pPr>
        <w:pStyle w:val="211"/>
        <w:spacing w:line="360" w:lineRule="auto"/>
        <w:ind w:firstLine="480" w:firstLineChars="200"/>
        <w:jc w:val="both"/>
        <w:rPr>
          <w:highlight w:val="none"/>
          <w:lang w:val="zh-CN"/>
        </w:rPr>
      </w:pPr>
      <w:r>
        <w:rPr>
          <w:rFonts w:hint="eastAsia"/>
          <w:highlight w:val="none"/>
          <w:lang w:val="zh-CN"/>
        </w:rPr>
        <w:t>（</w:t>
      </w:r>
      <w:r>
        <w:rPr>
          <w:rFonts w:hint="eastAsia"/>
          <w:highlight w:val="none"/>
        </w:rPr>
        <w:t>6</w:t>
      </w:r>
      <w:r>
        <w:rPr>
          <w:rFonts w:hint="eastAsia"/>
          <w:highlight w:val="none"/>
          <w:lang w:val="zh-CN"/>
        </w:rPr>
        <w:t>）产品工作环境条件；</w:t>
      </w:r>
    </w:p>
    <w:p>
      <w:pPr>
        <w:pStyle w:val="211"/>
        <w:spacing w:line="360" w:lineRule="auto"/>
        <w:ind w:firstLine="480" w:firstLineChars="200"/>
        <w:jc w:val="both"/>
        <w:rPr>
          <w:highlight w:val="none"/>
          <w:lang w:val="zh-CN"/>
        </w:rPr>
      </w:pPr>
      <w:r>
        <w:rPr>
          <w:rFonts w:hint="eastAsia"/>
          <w:highlight w:val="none"/>
          <w:lang w:val="zh-CN"/>
        </w:rPr>
        <w:t>（</w:t>
      </w:r>
      <w:r>
        <w:rPr>
          <w:rFonts w:hint="eastAsia"/>
          <w:highlight w:val="none"/>
        </w:rPr>
        <w:t>7</w:t>
      </w:r>
      <w:r>
        <w:rPr>
          <w:rFonts w:hint="eastAsia"/>
          <w:highlight w:val="none"/>
          <w:lang w:val="zh-CN"/>
        </w:rPr>
        <w:t>）产品验收标准和验收方法；</w:t>
      </w:r>
    </w:p>
    <w:p>
      <w:pPr>
        <w:pStyle w:val="211"/>
        <w:spacing w:line="360" w:lineRule="auto"/>
        <w:ind w:firstLine="480" w:firstLineChars="200"/>
        <w:jc w:val="both"/>
        <w:rPr>
          <w:highlight w:val="none"/>
          <w:lang w:val="zh-CN"/>
        </w:rPr>
      </w:pPr>
      <w:r>
        <w:rPr>
          <w:rFonts w:hint="eastAsia"/>
          <w:highlight w:val="none"/>
          <w:lang w:val="zh-CN"/>
        </w:rPr>
        <w:t>（</w:t>
      </w:r>
      <w:r>
        <w:rPr>
          <w:rFonts w:hint="eastAsia"/>
          <w:highlight w:val="none"/>
        </w:rPr>
        <w:t>8</w:t>
      </w:r>
      <w:r>
        <w:rPr>
          <w:rFonts w:hint="eastAsia"/>
          <w:highlight w:val="none"/>
          <w:lang w:val="zh-CN"/>
        </w:rPr>
        <w:t>）产品验收清单（注明各部件的品名、数量、价格、规格型号和原产地或生产厂家）；</w:t>
      </w:r>
    </w:p>
    <w:p>
      <w:pPr>
        <w:pStyle w:val="211"/>
        <w:spacing w:line="360" w:lineRule="auto"/>
        <w:ind w:firstLine="480" w:firstLineChars="200"/>
        <w:jc w:val="both"/>
        <w:rPr>
          <w:highlight w:val="none"/>
          <w:lang w:val="zh-CN"/>
        </w:rPr>
      </w:pPr>
      <w:r>
        <w:rPr>
          <w:rFonts w:hint="eastAsia"/>
          <w:highlight w:val="none"/>
          <w:lang w:val="zh-CN"/>
        </w:rPr>
        <w:t>（</w:t>
      </w:r>
      <w:r>
        <w:rPr>
          <w:rFonts w:hint="eastAsia"/>
          <w:highlight w:val="none"/>
        </w:rPr>
        <w:t>9</w:t>
      </w:r>
      <w:r>
        <w:rPr>
          <w:rFonts w:hint="eastAsia"/>
          <w:highlight w:val="none"/>
          <w:lang w:val="zh-CN"/>
        </w:rPr>
        <w:t>）售后服务方案；</w:t>
      </w:r>
    </w:p>
    <w:p>
      <w:pPr>
        <w:pStyle w:val="211"/>
        <w:spacing w:line="360" w:lineRule="auto"/>
        <w:ind w:firstLine="480" w:firstLineChars="200"/>
        <w:jc w:val="both"/>
        <w:rPr>
          <w:highlight w:val="none"/>
          <w:lang w:val="zh-CN"/>
        </w:rPr>
      </w:pPr>
      <w:r>
        <w:rPr>
          <w:rFonts w:hint="eastAsia"/>
          <w:highlight w:val="none"/>
          <w:lang w:val="zh-CN"/>
        </w:rPr>
        <w:t>（</w:t>
      </w:r>
      <w:r>
        <w:rPr>
          <w:rFonts w:hint="eastAsia"/>
          <w:highlight w:val="none"/>
        </w:rPr>
        <w:t>10</w:t>
      </w:r>
      <w:r>
        <w:rPr>
          <w:rFonts w:hint="eastAsia"/>
          <w:highlight w:val="none"/>
          <w:lang w:val="zh-CN"/>
        </w:rPr>
        <w:t>）投标人认为需要提供的文件和资料。</w:t>
      </w:r>
    </w:p>
    <w:p>
      <w:pPr>
        <w:pStyle w:val="211"/>
        <w:spacing w:line="360" w:lineRule="auto"/>
        <w:jc w:val="both"/>
        <w:rPr>
          <w:highlight w:val="none"/>
          <w:lang w:val="zh-CN"/>
        </w:rPr>
      </w:pPr>
      <w:r>
        <w:rPr>
          <w:rFonts w:hint="eastAsia"/>
          <w:b/>
          <w:bCs/>
          <w:highlight w:val="none"/>
          <w:lang w:val="zh-CN"/>
        </w:rPr>
        <w:t>13.3商务部分:</w:t>
      </w:r>
      <w:r>
        <w:rPr>
          <w:rFonts w:hint="eastAsia"/>
          <w:highlight w:val="none"/>
          <w:lang w:val="zh-CN"/>
        </w:rPr>
        <w:t>投标人按照招标文件要求提供的有关资质证明文件及优惠承诺。包括以下内容：</w:t>
      </w:r>
    </w:p>
    <w:p>
      <w:pPr>
        <w:pStyle w:val="211"/>
        <w:spacing w:line="360" w:lineRule="auto"/>
        <w:jc w:val="both"/>
        <w:rPr>
          <w:highlight w:val="none"/>
        </w:rPr>
      </w:pPr>
      <w:r>
        <w:rPr>
          <w:rFonts w:hint="eastAsia"/>
          <w:highlight w:val="none"/>
        </w:rPr>
        <w:t>13.3.1投标人资格证明文件</w:t>
      </w:r>
    </w:p>
    <w:p>
      <w:pPr>
        <w:pStyle w:val="211"/>
        <w:spacing w:line="360" w:lineRule="auto"/>
        <w:ind w:firstLine="480" w:firstLineChars="200"/>
        <w:jc w:val="both"/>
        <w:rPr>
          <w:highlight w:val="none"/>
        </w:rPr>
      </w:pPr>
      <w:r>
        <w:rPr>
          <w:rFonts w:hint="eastAsia"/>
          <w:highlight w:val="none"/>
        </w:rPr>
        <w:t>投标人必须按照第四章投标人资格证明文件的要求提交证明其有资格进行投标和有能力履行合同的文件，提供不全或不符合要求的视为无效投标。</w:t>
      </w:r>
    </w:p>
    <w:p>
      <w:pPr>
        <w:pStyle w:val="211"/>
        <w:spacing w:line="360" w:lineRule="auto"/>
        <w:jc w:val="both"/>
        <w:rPr>
          <w:highlight w:val="none"/>
        </w:rPr>
      </w:pPr>
      <w:r>
        <w:rPr>
          <w:rFonts w:hint="eastAsia"/>
          <w:highlight w:val="none"/>
        </w:rPr>
        <w:t>13.3.2商务响应文件；投标人按照招标文件要求提供的有关证明文件及优惠承诺。包括但不限于以下内容：</w:t>
      </w:r>
    </w:p>
    <w:p>
      <w:pPr>
        <w:pStyle w:val="211"/>
        <w:spacing w:line="360" w:lineRule="auto"/>
        <w:ind w:firstLine="480" w:firstLineChars="200"/>
        <w:jc w:val="both"/>
        <w:rPr>
          <w:highlight w:val="none"/>
        </w:rPr>
      </w:pPr>
      <w:r>
        <w:rPr>
          <w:rFonts w:hint="eastAsia"/>
          <w:highlight w:val="none"/>
        </w:rPr>
        <w:t>（1）投标函</w:t>
      </w:r>
    </w:p>
    <w:p>
      <w:pPr>
        <w:pStyle w:val="211"/>
        <w:spacing w:line="360" w:lineRule="auto"/>
        <w:ind w:firstLine="480" w:firstLineChars="200"/>
        <w:jc w:val="both"/>
        <w:rPr>
          <w:highlight w:val="none"/>
        </w:rPr>
      </w:pPr>
      <w:r>
        <w:rPr>
          <w:rFonts w:hint="eastAsia"/>
          <w:highlight w:val="none"/>
        </w:rPr>
        <w:t>（2）投标人的相关资料和业绩证明材料</w:t>
      </w:r>
    </w:p>
    <w:p>
      <w:pPr>
        <w:pStyle w:val="211"/>
        <w:spacing w:line="360" w:lineRule="auto"/>
        <w:ind w:firstLine="480" w:firstLineChars="200"/>
        <w:jc w:val="both"/>
        <w:rPr>
          <w:highlight w:val="none"/>
        </w:rPr>
      </w:pPr>
      <w:r>
        <w:rPr>
          <w:rFonts w:hint="eastAsia"/>
          <w:highlight w:val="none"/>
        </w:rPr>
        <w:t>（3）商务偏离表</w:t>
      </w:r>
    </w:p>
    <w:p>
      <w:pPr>
        <w:pStyle w:val="211"/>
        <w:spacing w:line="360" w:lineRule="auto"/>
        <w:ind w:firstLine="480" w:firstLineChars="200"/>
        <w:jc w:val="both"/>
        <w:rPr>
          <w:highlight w:val="none"/>
          <w:lang w:val="zh-CN"/>
        </w:rPr>
      </w:pPr>
      <w:r>
        <w:rPr>
          <w:rFonts w:hint="eastAsia"/>
          <w:highlight w:val="none"/>
        </w:rPr>
        <w:t>（4）</w:t>
      </w:r>
      <w:r>
        <w:rPr>
          <w:rFonts w:hint="eastAsia"/>
          <w:highlight w:val="none"/>
          <w:lang w:val="zh-CN"/>
        </w:rPr>
        <w:t>售后服务方案及培训方案（如有）；</w:t>
      </w:r>
    </w:p>
    <w:p>
      <w:pPr>
        <w:pStyle w:val="211"/>
        <w:spacing w:line="360" w:lineRule="auto"/>
        <w:ind w:firstLine="960" w:firstLineChars="400"/>
        <w:jc w:val="both"/>
        <w:rPr>
          <w:highlight w:val="none"/>
          <w:lang w:val="zh-CN"/>
        </w:rPr>
      </w:pPr>
      <w:r>
        <w:rPr>
          <w:rFonts w:hint="eastAsia"/>
          <w:highlight w:val="none"/>
          <w:lang w:val="zh-CN"/>
        </w:rPr>
        <w:t>①服务机构、服务电话和维修人员名单（加盖公章）；</w:t>
      </w:r>
    </w:p>
    <w:p>
      <w:pPr>
        <w:pStyle w:val="211"/>
        <w:spacing w:line="360" w:lineRule="auto"/>
        <w:ind w:firstLine="960" w:firstLineChars="400"/>
        <w:jc w:val="both"/>
        <w:rPr>
          <w:highlight w:val="none"/>
          <w:lang w:val="zh-CN"/>
        </w:rPr>
      </w:pPr>
      <w:r>
        <w:rPr>
          <w:rFonts w:hint="eastAsia"/>
          <w:highlight w:val="none"/>
          <w:lang w:val="zh-CN"/>
        </w:rPr>
        <w:t>②说明投标产品及软件服务系统的保修时间、保修期内的保修内容与范围、维修响应时间等；提供投标人的服务承诺和保障措施；</w:t>
      </w:r>
    </w:p>
    <w:p>
      <w:pPr>
        <w:pStyle w:val="211"/>
        <w:spacing w:line="360" w:lineRule="auto"/>
        <w:ind w:firstLine="960" w:firstLineChars="400"/>
        <w:jc w:val="both"/>
        <w:rPr>
          <w:highlight w:val="none"/>
        </w:rPr>
      </w:pPr>
      <w:r>
        <w:rPr>
          <w:rFonts w:hint="eastAsia"/>
          <w:highlight w:val="none"/>
          <w:lang w:val="zh-CN"/>
        </w:rPr>
        <w:t>③培训方案：说明培训内容及时间、地点、目标、培训人数、收费标准和办法；</w:t>
      </w:r>
    </w:p>
    <w:p>
      <w:pPr>
        <w:pStyle w:val="211"/>
        <w:spacing w:line="360" w:lineRule="auto"/>
        <w:ind w:firstLine="480" w:firstLineChars="200"/>
        <w:jc w:val="both"/>
        <w:rPr>
          <w:highlight w:val="none"/>
        </w:rPr>
      </w:pPr>
      <w:r>
        <w:rPr>
          <w:rFonts w:hint="eastAsia"/>
          <w:highlight w:val="none"/>
        </w:rPr>
        <w:t>（5）</w:t>
      </w:r>
      <w:r>
        <w:rPr>
          <w:rFonts w:hint="eastAsia"/>
          <w:highlight w:val="none"/>
          <w:lang w:eastAsia="zh-CN"/>
        </w:rPr>
        <w:t>采购</w:t>
      </w:r>
      <w:r>
        <w:rPr>
          <w:rFonts w:hint="eastAsia"/>
          <w:highlight w:val="none"/>
        </w:rPr>
        <w:t>政策产品等证明材料</w:t>
      </w:r>
    </w:p>
    <w:p>
      <w:pPr>
        <w:pStyle w:val="211"/>
        <w:spacing w:line="360" w:lineRule="auto"/>
        <w:ind w:firstLine="480" w:firstLineChars="200"/>
        <w:jc w:val="both"/>
        <w:rPr>
          <w:highlight w:val="none"/>
        </w:rPr>
      </w:pPr>
      <w:r>
        <w:rPr>
          <w:rFonts w:hint="eastAsia"/>
          <w:highlight w:val="none"/>
        </w:rPr>
        <w:t>（6）投标人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p>
    <w:p>
      <w:pPr>
        <w:pStyle w:val="211"/>
        <w:spacing w:line="360" w:lineRule="auto"/>
        <w:ind w:firstLine="480" w:firstLineChars="200"/>
        <w:jc w:val="both"/>
        <w:rPr>
          <w:highlight w:val="none"/>
        </w:rPr>
      </w:pPr>
      <w:r>
        <w:rPr>
          <w:rFonts w:hint="eastAsia"/>
          <w:highlight w:val="none"/>
        </w:rPr>
        <w:t>（7）具备法律、行政法规规定的其他条件的证明材料。</w:t>
      </w:r>
    </w:p>
    <w:p>
      <w:pPr>
        <w:pStyle w:val="211"/>
        <w:spacing w:line="360" w:lineRule="auto"/>
        <w:jc w:val="both"/>
        <w:rPr>
          <w:b/>
          <w:bCs/>
          <w:highlight w:val="none"/>
          <w:lang w:val="zh-CN"/>
        </w:rPr>
      </w:pPr>
      <w:r>
        <w:rPr>
          <w:rFonts w:hint="eastAsia"/>
          <w:b/>
          <w:bCs/>
          <w:highlight w:val="none"/>
        </w:rPr>
        <w:t>13.4</w:t>
      </w:r>
      <w:r>
        <w:rPr>
          <w:rFonts w:hint="eastAsia"/>
          <w:b/>
          <w:bCs/>
          <w:highlight w:val="none"/>
          <w:lang w:val="zh-CN"/>
        </w:rPr>
        <w:t>其他部分</w:t>
      </w:r>
    </w:p>
    <w:p>
      <w:pPr>
        <w:pStyle w:val="211"/>
        <w:spacing w:line="360" w:lineRule="auto"/>
        <w:ind w:firstLine="480" w:firstLineChars="200"/>
        <w:jc w:val="both"/>
        <w:rPr>
          <w:highlight w:val="none"/>
        </w:rPr>
      </w:pPr>
      <w:r>
        <w:rPr>
          <w:rFonts w:hint="eastAsia"/>
          <w:highlight w:val="none"/>
        </w:rPr>
        <w:t>（1）投标保证金交付凭证复印件；</w:t>
      </w:r>
    </w:p>
    <w:p>
      <w:pPr>
        <w:pStyle w:val="211"/>
        <w:spacing w:line="360" w:lineRule="auto"/>
        <w:ind w:firstLine="480" w:firstLineChars="200"/>
        <w:jc w:val="both"/>
        <w:rPr>
          <w:highlight w:val="none"/>
        </w:rPr>
      </w:pPr>
      <w:r>
        <w:rPr>
          <w:rFonts w:hint="eastAsia"/>
          <w:highlight w:val="none"/>
        </w:rPr>
        <w:t>（2）同意招标文件条款声明；</w:t>
      </w:r>
    </w:p>
    <w:p>
      <w:pPr>
        <w:pStyle w:val="211"/>
        <w:spacing w:line="360" w:lineRule="auto"/>
        <w:ind w:firstLine="480" w:firstLineChars="200"/>
        <w:jc w:val="both"/>
        <w:rPr>
          <w:highlight w:val="none"/>
        </w:rPr>
      </w:pPr>
      <w:r>
        <w:rPr>
          <w:rFonts w:hint="eastAsia"/>
          <w:highlight w:val="none"/>
        </w:rPr>
        <w:t>（3）虚假应标承担责任声明；</w:t>
      </w:r>
    </w:p>
    <w:p>
      <w:pPr>
        <w:pStyle w:val="211"/>
        <w:spacing w:line="360" w:lineRule="auto"/>
        <w:ind w:firstLine="480" w:firstLineChars="200"/>
        <w:jc w:val="both"/>
        <w:rPr>
          <w:highlight w:val="none"/>
        </w:rPr>
      </w:pPr>
      <w:r>
        <w:rPr>
          <w:rFonts w:hint="eastAsia"/>
          <w:highlight w:val="none"/>
        </w:rPr>
        <w:t>（4）投标人可在满足“招标要求及技术参数要求”中对项目的整体要求的前提下，对项目实施提出合理化建议。</w:t>
      </w:r>
    </w:p>
    <w:p>
      <w:pPr>
        <w:pStyle w:val="4"/>
        <w:jc w:val="both"/>
        <w:rPr>
          <w:rFonts w:ascii="宋体" w:hAnsi="宋体" w:cs="宋体"/>
          <w:sz w:val="24"/>
          <w:highlight w:val="none"/>
          <w:lang w:val="zh-CN"/>
        </w:rPr>
      </w:pPr>
      <w:bookmarkStart w:id="155" w:name="_Toc183582218"/>
      <w:bookmarkStart w:id="156" w:name="_Toc27701"/>
      <w:bookmarkStart w:id="157" w:name="_Toc217446049"/>
      <w:bookmarkStart w:id="158" w:name="_Toc183682355"/>
      <w:bookmarkStart w:id="159" w:name="_Toc28852"/>
      <w:bookmarkStart w:id="160" w:name="_Toc28976"/>
      <w:bookmarkStart w:id="161" w:name="_Toc27935"/>
      <w:bookmarkStart w:id="162" w:name="_Toc12820"/>
      <w:bookmarkStart w:id="163" w:name="_Toc29764"/>
      <w:r>
        <w:rPr>
          <w:rFonts w:hint="eastAsia" w:ascii="宋体" w:hAnsi="宋体" w:cs="宋体"/>
          <w:sz w:val="24"/>
          <w:highlight w:val="none"/>
          <w:lang w:val="zh-CN"/>
        </w:rPr>
        <w:t>14．投标文件格式</w:t>
      </w:r>
      <w:bookmarkEnd w:id="155"/>
      <w:bookmarkEnd w:id="156"/>
      <w:bookmarkEnd w:id="157"/>
      <w:bookmarkEnd w:id="158"/>
      <w:bookmarkEnd w:id="159"/>
      <w:bookmarkEnd w:id="160"/>
      <w:bookmarkEnd w:id="161"/>
      <w:bookmarkEnd w:id="162"/>
      <w:bookmarkEnd w:id="163"/>
    </w:p>
    <w:p>
      <w:pPr>
        <w:pStyle w:val="211"/>
        <w:spacing w:line="360" w:lineRule="auto"/>
        <w:jc w:val="both"/>
        <w:rPr>
          <w:highlight w:val="none"/>
          <w:lang w:val="zh-CN"/>
        </w:rPr>
      </w:pPr>
      <w:r>
        <w:rPr>
          <w:rFonts w:hint="eastAsia"/>
          <w:highlight w:val="none"/>
          <w:lang w:val="zh-CN"/>
        </w:rPr>
        <w:t>14.1投标人应严格按照招标文件第六章中提供的“投标文件格式”填写相关内容。除明确允许投标人可以自行编写的外，投标人不得以“投标文件格式”规定之外的方式填写相关内容。</w:t>
      </w:r>
    </w:p>
    <w:p>
      <w:pPr>
        <w:pStyle w:val="211"/>
        <w:spacing w:line="360" w:lineRule="auto"/>
        <w:jc w:val="both"/>
        <w:rPr>
          <w:highlight w:val="none"/>
          <w:lang w:val="zh-CN"/>
        </w:rPr>
      </w:pPr>
      <w:r>
        <w:rPr>
          <w:rFonts w:hint="eastAsia"/>
          <w:highlight w:val="none"/>
          <w:lang w:val="zh-CN"/>
        </w:rPr>
        <w:t>14.2对于没有格式要求的投标文件由投标人自行编写。</w:t>
      </w:r>
      <w:bookmarkStart w:id="164" w:name="_Toc217446050"/>
      <w:bookmarkStart w:id="165" w:name="_Toc183682360"/>
      <w:bookmarkStart w:id="166" w:name="_Toc183582223"/>
    </w:p>
    <w:p>
      <w:pPr>
        <w:pStyle w:val="4"/>
        <w:jc w:val="both"/>
        <w:rPr>
          <w:rFonts w:hint="eastAsia" w:ascii="宋体" w:hAnsi="宋体" w:eastAsia="宋体" w:cs="宋体"/>
          <w:sz w:val="24"/>
          <w:highlight w:val="none"/>
          <w:lang w:val="en-US" w:eastAsia="zh-CN"/>
        </w:rPr>
      </w:pPr>
      <w:bookmarkStart w:id="167" w:name="_Toc2296"/>
      <w:bookmarkStart w:id="168" w:name="_Toc28556"/>
      <w:bookmarkStart w:id="169" w:name="_Toc25301"/>
      <w:bookmarkStart w:id="170" w:name="_Toc28339"/>
      <w:bookmarkStart w:id="171" w:name="_Toc28112"/>
      <w:bookmarkStart w:id="172" w:name="_Toc23893"/>
      <w:r>
        <w:rPr>
          <w:rFonts w:hint="eastAsia" w:ascii="宋体" w:hAnsi="宋体" w:cs="宋体"/>
          <w:sz w:val="24"/>
          <w:highlight w:val="none"/>
          <w:lang w:val="zh-CN"/>
        </w:rPr>
        <w:t>15．投标保证金</w:t>
      </w:r>
      <w:bookmarkEnd w:id="164"/>
      <w:bookmarkEnd w:id="165"/>
      <w:bookmarkEnd w:id="166"/>
      <w:bookmarkEnd w:id="167"/>
      <w:bookmarkEnd w:id="168"/>
      <w:bookmarkEnd w:id="169"/>
      <w:bookmarkEnd w:id="170"/>
      <w:bookmarkEnd w:id="171"/>
      <w:bookmarkEnd w:id="172"/>
      <w:r>
        <w:rPr>
          <w:rFonts w:hint="eastAsia" w:ascii="宋体" w:hAnsi="宋体" w:cs="宋体"/>
          <w:sz w:val="24"/>
          <w:highlight w:val="none"/>
          <w:lang w:val="zh-CN"/>
        </w:rPr>
        <w:t>：</w:t>
      </w:r>
      <w:r>
        <w:rPr>
          <w:rFonts w:hint="eastAsia" w:ascii="宋体" w:hAnsi="宋体" w:cs="宋体"/>
          <w:sz w:val="24"/>
          <w:highlight w:val="none"/>
          <w:lang w:val="en-US" w:eastAsia="zh-CN"/>
        </w:rPr>
        <w:t>无</w:t>
      </w:r>
    </w:p>
    <w:p>
      <w:pPr>
        <w:pStyle w:val="4"/>
        <w:jc w:val="both"/>
        <w:rPr>
          <w:rFonts w:ascii="宋体" w:hAnsi="宋体" w:cs="宋体"/>
          <w:sz w:val="24"/>
          <w:highlight w:val="none"/>
          <w:lang w:val="zh-CN"/>
        </w:rPr>
      </w:pPr>
      <w:bookmarkStart w:id="173" w:name="_Toc7243"/>
      <w:bookmarkStart w:id="174" w:name="_Toc217446051"/>
      <w:bookmarkStart w:id="175" w:name="_Toc183582224"/>
      <w:bookmarkStart w:id="176" w:name="_Toc183682361"/>
      <w:bookmarkStart w:id="177" w:name="_Toc4168"/>
      <w:bookmarkStart w:id="178" w:name="_Toc31286"/>
      <w:bookmarkStart w:id="179" w:name="_Toc28500"/>
      <w:bookmarkStart w:id="180" w:name="_Toc29587"/>
      <w:bookmarkStart w:id="181" w:name="_Toc6620"/>
      <w:r>
        <w:rPr>
          <w:rFonts w:hint="eastAsia" w:ascii="宋体" w:hAnsi="宋体" w:cs="宋体"/>
          <w:sz w:val="24"/>
          <w:highlight w:val="none"/>
          <w:lang w:val="zh-CN"/>
        </w:rPr>
        <w:t>16．投标有效期</w:t>
      </w:r>
      <w:bookmarkEnd w:id="173"/>
      <w:bookmarkEnd w:id="174"/>
      <w:bookmarkEnd w:id="175"/>
      <w:bookmarkEnd w:id="176"/>
      <w:bookmarkEnd w:id="177"/>
      <w:bookmarkEnd w:id="178"/>
      <w:bookmarkEnd w:id="179"/>
      <w:bookmarkEnd w:id="180"/>
      <w:bookmarkEnd w:id="181"/>
    </w:p>
    <w:p>
      <w:pPr>
        <w:pStyle w:val="211"/>
        <w:spacing w:line="360" w:lineRule="auto"/>
        <w:jc w:val="both"/>
        <w:rPr>
          <w:highlight w:val="none"/>
          <w:lang w:val="zh-CN"/>
        </w:rPr>
      </w:pPr>
      <w:r>
        <w:rPr>
          <w:rFonts w:hint="eastAsia"/>
          <w:highlight w:val="none"/>
          <w:lang w:val="zh-CN"/>
        </w:rPr>
        <w:t>16.1投标有效期见投标人须知前附表。投标有效期短于此规定期限的投标，将被拒绝。</w:t>
      </w:r>
    </w:p>
    <w:p>
      <w:pPr>
        <w:pStyle w:val="211"/>
        <w:spacing w:line="360" w:lineRule="auto"/>
        <w:jc w:val="both"/>
        <w:rPr>
          <w:highlight w:val="none"/>
          <w:lang w:val="zh-CN"/>
        </w:rPr>
      </w:pPr>
      <w:r>
        <w:rPr>
          <w:rFonts w:hint="eastAsia"/>
          <w:highlight w:val="none"/>
          <w:lang w:val="zh-CN"/>
        </w:rPr>
        <w:t>16.2特殊情况下，采购人可于投标有效期满之前要求投标人同意延长有效期，要求与答复均应为书面形式。投标人可以拒绝上述要求，其投标保证金不被没收。拒绝延长投标有效期的投标人不得再参与该项目后续采购活动。同意延长投标有效期的投标人不能修改其投标文件，关于投标保证金的有关规定在延长的投标有效期内继续有效。</w:t>
      </w:r>
      <w:bookmarkStart w:id="182" w:name="_Toc183682362"/>
      <w:bookmarkStart w:id="183" w:name="_Toc217446052"/>
      <w:bookmarkStart w:id="184" w:name="_Toc183582225"/>
    </w:p>
    <w:p>
      <w:pPr>
        <w:pStyle w:val="4"/>
        <w:jc w:val="both"/>
        <w:rPr>
          <w:rFonts w:ascii="宋体" w:hAnsi="宋体" w:cs="宋体"/>
          <w:sz w:val="24"/>
          <w:highlight w:val="none"/>
          <w:lang w:val="zh-CN"/>
        </w:rPr>
      </w:pPr>
      <w:bookmarkStart w:id="185" w:name="_Toc596"/>
      <w:bookmarkStart w:id="186" w:name="_Toc16741"/>
      <w:bookmarkStart w:id="187" w:name="_Toc8468"/>
      <w:bookmarkStart w:id="188" w:name="_Toc32076"/>
      <w:bookmarkStart w:id="189" w:name="_Toc23523"/>
      <w:bookmarkStart w:id="190" w:name="_Toc8619"/>
      <w:r>
        <w:rPr>
          <w:rFonts w:hint="eastAsia" w:ascii="宋体" w:hAnsi="宋体" w:cs="宋体"/>
          <w:sz w:val="24"/>
          <w:highlight w:val="none"/>
          <w:lang w:val="zh-CN"/>
        </w:rPr>
        <w:t>17．投标文件的印制和签署</w:t>
      </w:r>
      <w:bookmarkEnd w:id="182"/>
      <w:bookmarkEnd w:id="183"/>
      <w:bookmarkEnd w:id="184"/>
      <w:bookmarkEnd w:id="185"/>
      <w:bookmarkEnd w:id="186"/>
      <w:bookmarkEnd w:id="187"/>
      <w:bookmarkEnd w:id="188"/>
      <w:bookmarkEnd w:id="189"/>
      <w:bookmarkEnd w:id="190"/>
    </w:p>
    <w:p>
      <w:pPr>
        <w:pStyle w:val="211"/>
        <w:spacing w:line="360" w:lineRule="auto"/>
        <w:jc w:val="both"/>
        <w:rPr>
          <w:highlight w:val="none"/>
          <w:lang w:val="zh-CN"/>
        </w:rPr>
      </w:pPr>
      <w:r>
        <w:rPr>
          <w:rFonts w:hint="eastAsia"/>
          <w:highlight w:val="none"/>
          <w:lang w:val="zh-CN"/>
        </w:rPr>
        <w:t>17.1投标人应按“投标须知前附表”准备投标文件正本、副本、电子版、开标一览表。投标文件的正本、副本、电子版、开标一览表应在其封面右上角清楚地标明“正本”、“副本”和“电子版（U盘）”“开标一览表”字样。若正本和副本有不一致的内容，以正本书面投标文件为准。若正本文件和电子文档不一致按无效投标处理。正本文件和电子文档中有任意一项提供虚假材料均按提供虚假材料处理。</w:t>
      </w:r>
    </w:p>
    <w:p>
      <w:pPr>
        <w:pStyle w:val="211"/>
        <w:spacing w:line="360" w:lineRule="auto"/>
        <w:jc w:val="both"/>
        <w:rPr>
          <w:highlight w:val="none"/>
          <w:lang w:val="zh-CN"/>
        </w:rPr>
      </w:pPr>
      <w:r>
        <w:rPr>
          <w:rFonts w:hint="eastAsia"/>
          <w:highlight w:val="none"/>
          <w:lang w:val="zh-CN"/>
        </w:rPr>
        <w:t>17.2投标文件的正本和副本均需打印或用不褪色、不变质的墨水书写，并由投标人的法定代表人或其授权代表在规定签章处签字和盖章。投标文件副本可采用正本的复印件。</w:t>
      </w:r>
    </w:p>
    <w:p>
      <w:pPr>
        <w:pStyle w:val="211"/>
        <w:spacing w:line="360" w:lineRule="auto"/>
        <w:jc w:val="both"/>
        <w:rPr>
          <w:highlight w:val="none"/>
          <w:lang w:val="zh-CN"/>
        </w:rPr>
      </w:pPr>
      <w:r>
        <w:rPr>
          <w:rFonts w:hint="eastAsia"/>
          <w:highlight w:val="none"/>
          <w:lang w:val="zh-CN"/>
        </w:rPr>
        <w:t>17.3投标文件的打印和书写应清楚工整，任何行间插字、涂改或增删，必须由投标人的法定代表人或其授权代表签字或盖个人印鉴。字迹潦草、表达不清或可能导致非唯一理解的投标文件可能视为无效投标。</w:t>
      </w:r>
    </w:p>
    <w:p>
      <w:pPr>
        <w:pStyle w:val="211"/>
        <w:spacing w:line="360" w:lineRule="auto"/>
        <w:jc w:val="both"/>
        <w:rPr>
          <w:highlight w:val="none"/>
          <w:lang w:val="zh-CN"/>
        </w:rPr>
      </w:pPr>
      <w:r>
        <w:rPr>
          <w:rFonts w:hint="eastAsia"/>
          <w:highlight w:val="none"/>
          <w:lang w:val="zh-CN"/>
        </w:rPr>
        <w:t>17.4投标文件正本和副本必须装订成册并逐页编目编码且使用无线胶装。</w:t>
      </w:r>
    </w:p>
    <w:p>
      <w:pPr>
        <w:pStyle w:val="211"/>
        <w:spacing w:line="360" w:lineRule="auto"/>
        <w:jc w:val="both"/>
        <w:rPr>
          <w:highlight w:val="none"/>
          <w:lang w:val="zh-CN"/>
        </w:rPr>
      </w:pPr>
      <w:r>
        <w:rPr>
          <w:rFonts w:hint="eastAsia"/>
          <w:highlight w:val="none"/>
          <w:lang w:val="zh-CN"/>
        </w:rPr>
        <w:t>17.5投标文件应根据招标文件的要求制作，签署、盖章和内容应完整，如有遗漏，将被视为无效投标。</w:t>
      </w:r>
    </w:p>
    <w:p>
      <w:pPr>
        <w:pStyle w:val="211"/>
        <w:spacing w:line="360" w:lineRule="auto"/>
        <w:jc w:val="both"/>
        <w:rPr>
          <w:highlight w:val="none"/>
          <w:lang w:val="zh-CN"/>
        </w:rPr>
      </w:pPr>
      <w:r>
        <w:rPr>
          <w:rFonts w:hint="eastAsia"/>
          <w:highlight w:val="none"/>
          <w:lang w:val="zh-CN"/>
        </w:rPr>
        <w:t>17.6投标文件统一用A4幅面纸印制。</w:t>
      </w:r>
    </w:p>
    <w:p>
      <w:pPr>
        <w:pStyle w:val="211"/>
        <w:spacing w:line="360" w:lineRule="auto"/>
        <w:jc w:val="both"/>
        <w:rPr>
          <w:highlight w:val="none"/>
          <w:lang w:val="zh-CN"/>
        </w:rPr>
      </w:pPr>
      <w:r>
        <w:rPr>
          <w:rFonts w:hint="eastAsia"/>
          <w:highlight w:val="none"/>
          <w:lang w:val="zh-CN"/>
        </w:rPr>
        <w:t>17.7投标人必须提供法定代表人和其正式授权代表的身份证复印件，其正式的授权代表如在评标现场进行必要的澄清或答疑时还必须出示身份证原件以确认其有效身份，否则将视为无效投标。</w:t>
      </w:r>
      <w:bookmarkStart w:id="191" w:name="_Toc77400781"/>
      <w:bookmarkStart w:id="192" w:name="_Toc183682363"/>
      <w:bookmarkStart w:id="193" w:name="_Toc183582226"/>
      <w:bookmarkStart w:id="194" w:name="_Toc89075877"/>
      <w:bookmarkStart w:id="195" w:name="_Toc217446053"/>
    </w:p>
    <w:p>
      <w:pPr>
        <w:pStyle w:val="4"/>
        <w:jc w:val="both"/>
        <w:rPr>
          <w:rFonts w:ascii="宋体" w:hAnsi="宋体" w:cs="宋体"/>
          <w:sz w:val="24"/>
          <w:highlight w:val="none"/>
          <w:lang w:val="zh-CN"/>
        </w:rPr>
      </w:pPr>
      <w:bookmarkStart w:id="196" w:name="_Toc2237"/>
      <w:bookmarkStart w:id="197" w:name="_Toc14241"/>
      <w:bookmarkStart w:id="198" w:name="_Toc22719"/>
      <w:bookmarkStart w:id="199" w:name="_Toc22005"/>
      <w:bookmarkStart w:id="200" w:name="_Toc6692"/>
      <w:bookmarkStart w:id="201" w:name="_Toc17395"/>
      <w:r>
        <w:rPr>
          <w:rFonts w:hint="eastAsia" w:ascii="宋体" w:hAnsi="宋体" w:cs="宋体"/>
          <w:sz w:val="24"/>
          <w:highlight w:val="none"/>
          <w:lang w:val="zh-CN"/>
        </w:rPr>
        <w:t>18.投标文件的密封和标</w:t>
      </w:r>
      <w:bookmarkEnd w:id="191"/>
      <w:bookmarkEnd w:id="192"/>
      <w:bookmarkEnd w:id="193"/>
      <w:bookmarkEnd w:id="194"/>
      <w:r>
        <w:rPr>
          <w:rFonts w:hint="eastAsia" w:ascii="宋体" w:hAnsi="宋体" w:cs="宋体"/>
          <w:sz w:val="24"/>
          <w:highlight w:val="none"/>
          <w:lang w:val="zh-CN"/>
        </w:rPr>
        <w:t>注</w:t>
      </w:r>
      <w:bookmarkEnd w:id="195"/>
      <w:bookmarkEnd w:id="196"/>
      <w:bookmarkEnd w:id="197"/>
      <w:bookmarkEnd w:id="198"/>
      <w:bookmarkEnd w:id="199"/>
      <w:bookmarkEnd w:id="200"/>
      <w:bookmarkEnd w:id="201"/>
      <w:bookmarkStart w:id="202" w:name="_Toc183582227"/>
      <w:bookmarkStart w:id="203" w:name="_Toc183682364"/>
      <w:bookmarkStart w:id="204" w:name="_Toc217446054"/>
    </w:p>
    <w:p>
      <w:pPr>
        <w:pStyle w:val="211"/>
        <w:spacing w:line="360" w:lineRule="auto"/>
        <w:jc w:val="both"/>
        <w:rPr>
          <w:highlight w:val="none"/>
          <w:lang w:val="zh-CN"/>
        </w:rPr>
      </w:pPr>
      <w:r>
        <w:rPr>
          <w:rFonts w:hint="eastAsia"/>
          <w:highlight w:val="none"/>
          <w:lang w:val="zh-CN"/>
        </w:rPr>
        <w:t>18.</w:t>
      </w:r>
      <w:r>
        <w:rPr>
          <w:rFonts w:hint="eastAsia"/>
          <w:highlight w:val="none"/>
        </w:rPr>
        <w:t>1</w:t>
      </w:r>
      <w:r>
        <w:rPr>
          <w:rFonts w:hint="eastAsia"/>
          <w:highlight w:val="none"/>
          <w:lang w:val="zh-CN"/>
        </w:rPr>
        <w:t>投标人应将投标文件密封包装以保证自己的投标信息在开标前不被泄露。</w:t>
      </w:r>
      <w:r>
        <w:rPr>
          <w:rFonts w:hint="eastAsia"/>
          <w:b/>
          <w:bCs/>
          <w:highlight w:val="none"/>
          <w:lang w:val="zh-CN"/>
        </w:rPr>
        <w:t>开标一览表除在投标文件中提交外，还需单独密封递交一份。并在该信封上标明“开标一览表”字样。未单独递交开标一览表的视为无效投标。</w:t>
      </w:r>
      <w:r>
        <w:rPr>
          <w:rFonts w:hint="eastAsia"/>
          <w:highlight w:val="none"/>
          <w:lang w:val="zh-CN"/>
        </w:rPr>
        <w:t>以上资料须在封口处加盖投标人公章或密封章。</w:t>
      </w:r>
    </w:p>
    <w:p>
      <w:pPr>
        <w:pStyle w:val="211"/>
        <w:spacing w:line="360" w:lineRule="auto"/>
        <w:jc w:val="both"/>
        <w:rPr>
          <w:highlight w:val="none"/>
          <w:lang w:val="zh-CN"/>
        </w:rPr>
      </w:pPr>
      <w:r>
        <w:rPr>
          <w:rFonts w:hint="eastAsia"/>
          <w:highlight w:val="none"/>
          <w:lang w:val="zh-CN"/>
        </w:rPr>
        <w:t>18.2投标文件、电子文档外层封套和单独提交的开标一览表封面应标明以下内容：</w:t>
      </w:r>
    </w:p>
    <w:p>
      <w:pPr>
        <w:pStyle w:val="211"/>
        <w:spacing w:line="360" w:lineRule="auto"/>
        <w:jc w:val="both"/>
        <w:rPr>
          <w:highlight w:val="none"/>
          <w:lang w:val="zh-CN"/>
        </w:rPr>
      </w:pPr>
      <w:r>
        <w:rPr>
          <w:rFonts w:hint="eastAsia"/>
          <w:highlight w:val="none"/>
          <w:lang w:val="zh-CN"/>
        </w:rPr>
        <w:t>采购人：</w:t>
      </w:r>
      <w:r>
        <w:rPr>
          <w:rFonts w:hint="eastAsia"/>
          <w:highlight w:val="none"/>
          <w:lang w:val="zh-CN"/>
        </w:rPr>
        <w:tab/>
      </w:r>
    </w:p>
    <w:p>
      <w:pPr>
        <w:pStyle w:val="211"/>
        <w:spacing w:line="360" w:lineRule="auto"/>
        <w:jc w:val="both"/>
        <w:rPr>
          <w:highlight w:val="none"/>
          <w:lang w:val="zh-CN"/>
        </w:rPr>
      </w:pPr>
      <w:r>
        <w:rPr>
          <w:rFonts w:hint="eastAsia"/>
          <w:highlight w:val="none"/>
          <w:lang w:val="zh-CN"/>
        </w:rPr>
        <w:t>项目名称：</w:t>
      </w:r>
      <w:r>
        <w:rPr>
          <w:rFonts w:hint="eastAsia"/>
          <w:highlight w:val="none"/>
          <w:lang w:val="zh-CN"/>
        </w:rPr>
        <w:tab/>
      </w:r>
      <w:r>
        <w:rPr>
          <w:rFonts w:hint="eastAsia"/>
          <w:highlight w:val="none"/>
          <w:lang w:val="zh-CN"/>
        </w:rPr>
        <w:tab/>
      </w:r>
    </w:p>
    <w:p>
      <w:pPr>
        <w:pStyle w:val="211"/>
        <w:spacing w:line="360" w:lineRule="auto"/>
        <w:jc w:val="both"/>
        <w:rPr>
          <w:rFonts w:hint="eastAsia"/>
          <w:highlight w:val="none"/>
          <w:lang w:val="zh-CN"/>
        </w:rPr>
      </w:pPr>
      <w:r>
        <w:rPr>
          <w:rFonts w:hint="eastAsia"/>
          <w:highlight w:val="none"/>
          <w:lang w:val="zh-CN"/>
        </w:rPr>
        <w:t>招标文件编号：</w:t>
      </w:r>
    </w:p>
    <w:p>
      <w:pPr>
        <w:pStyle w:val="211"/>
        <w:spacing w:line="360" w:lineRule="auto"/>
        <w:jc w:val="both"/>
        <w:rPr>
          <w:highlight w:val="none"/>
          <w:lang w:val="zh-CN"/>
        </w:rPr>
      </w:pPr>
      <w:r>
        <w:rPr>
          <w:rFonts w:hint="eastAsia"/>
          <w:highlight w:val="none"/>
          <w:lang w:val="zh-CN"/>
        </w:rPr>
        <w:t>投标人名称：</w:t>
      </w:r>
      <w:r>
        <w:rPr>
          <w:rFonts w:hint="eastAsia"/>
          <w:highlight w:val="none"/>
          <w:lang w:val="zh-CN"/>
        </w:rPr>
        <w:tab/>
      </w:r>
      <w:r>
        <w:rPr>
          <w:rFonts w:hint="eastAsia"/>
          <w:highlight w:val="none"/>
          <w:lang w:val="zh-CN"/>
        </w:rPr>
        <w:tab/>
      </w:r>
    </w:p>
    <w:p>
      <w:pPr>
        <w:pStyle w:val="211"/>
        <w:spacing w:line="360" w:lineRule="auto"/>
        <w:jc w:val="both"/>
        <w:rPr>
          <w:highlight w:val="none"/>
          <w:lang w:val="zh-CN"/>
        </w:rPr>
      </w:pPr>
      <w:r>
        <w:rPr>
          <w:rFonts w:hint="eastAsia"/>
          <w:highlight w:val="none"/>
          <w:lang w:val="zh-CN"/>
        </w:rPr>
        <w:t>详细地址：</w:t>
      </w:r>
      <w:r>
        <w:rPr>
          <w:rFonts w:hint="eastAsia"/>
          <w:highlight w:val="none"/>
          <w:lang w:val="zh-CN"/>
        </w:rPr>
        <w:tab/>
      </w:r>
    </w:p>
    <w:p>
      <w:pPr>
        <w:pStyle w:val="211"/>
        <w:spacing w:line="360" w:lineRule="auto"/>
        <w:jc w:val="both"/>
        <w:rPr>
          <w:highlight w:val="none"/>
          <w:lang w:val="zh-CN"/>
        </w:rPr>
      </w:pPr>
      <w:bookmarkStart w:id="205" w:name="_Toc24373"/>
      <w:bookmarkStart w:id="206" w:name="_Toc25881"/>
      <w:r>
        <w:rPr>
          <w:rFonts w:hint="eastAsia"/>
          <w:highlight w:val="none"/>
          <w:lang w:val="zh-CN"/>
        </w:rPr>
        <w:t>日期：</w:t>
      </w:r>
      <w:r>
        <w:rPr>
          <w:rFonts w:hint="eastAsia"/>
          <w:highlight w:val="none"/>
          <w:lang w:val="zh-CN"/>
        </w:rPr>
        <w:tab/>
      </w:r>
    </w:p>
    <w:p>
      <w:pPr>
        <w:pStyle w:val="211"/>
        <w:spacing w:line="360" w:lineRule="auto"/>
        <w:jc w:val="both"/>
        <w:rPr>
          <w:highlight w:val="none"/>
          <w:lang w:val="zh-CN"/>
        </w:rPr>
      </w:pPr>
      <w:r>
        <w:rPr>
          <w:rFonts w:hint="eastAsia"/>
          <w:highlight w:val="none"/>
          <w:lang w:val="zh-CN"/>
        </w:rPr>
        <w:t>此文件在</w:t>
      </w:r>
      <w:r>
        <w:rPr>
          <w:rFonts w:hint="eastAsia"/>
          <w:highlight w:val="none"/>
          <w:lang w:val="zh-CN"/>
        </w:rPr>
        <w:tab/>
      </w:r>
      <w:r>
        <w:rPr>
          <w:rFonts w:hint="eastAsia"/>
          <w:highlight w:val="none"/>
          <w:lang w:val="zh-CN"/>
        </w:rPr>
        <w:t>年</w:t>
      </w:r>
      <w:r>
        <w:rPr>
          <w:rFonts w:hint="eastAsia"/>
          <w:highlight w:val="none"/>
          <w:lang w:val="zh-CN"/>
        </w:rPr>
        <w:tab/>
      </w:r>
      <w:r>
        <w:rPr>
          <w:rFonts w:hint="eastAsia"/>
          <w:highlight w:val="none"/>
          <w:lang w:val="zh-CN"/>
        </w:rPr>
        <w:t>月</w:t>
      </w:r>
      <w:r>
        <w:rPr>
          <w:rFonts w:hint="eastAsia"/>
          <w:highlight w:val="none"/>
          <w:lang w:val="zh-CN"/>
        </w:rPr>
        <w:tab/>
      </w:r>
      <w:r>
        <w:rPr>
          <w:rFonts w:hint="eastAsia"/>
          <w:highlight w:val="none"/>
          <w:lang w:val="zh-CN"/>
        </w:rPr>
        <w:t>日</w:t>
      </w:r>
      <w:r>
        <w:rPr>
          <w:rFonts w:hint="eastAsia"/>
          <w:highlight w:val="none"/>
          <w:lang w:val="zh-CN"/>
        </w:rPr>
        <w:tab/>
      </w:r>
      <w:r>
        <w:rPr>
          <w:rFonts w:hint="eastAsia"/>
          <w:highlight w:val="none"/>
          <w:lang w:val="zh-CN"/>
        </w:rPr>
        <w:t>时</w:t>
      </w:r>
      <w:r>
        <w:rPr>
          <w:rFonts w:hint="eastAsia"/>
          <w:highlight w:val="none"/>
          <w:lang w:val="zh-CN"/>
        </w:rPr>
        <w:tab/>
      </w:r>
      <w:r>
        <w:rPr>
          <w:rFonts w:hint="eastAsia"/>
          <w:highlight w:val="none"/>
          <w:lang w:val="zh-CN"/>
        </w:rPr>
        <w:t>分前不得开启</w:t>
      </w:r>
    </w:p>
    <w:p>
      <w:pPr>
        <w:pStyle w:val="4"/>
        <w:jc w:val="both"/>
        <w:rPr>
          <w:rFonts w:ascii="宋体" w:hAnsi="宋体" w:cs="宋体"/>
          <w:sz w:val="24"/>
          <w:highlight w:val="none"/>
          <w:lang w:val="zh-CN"/>
        </w:rPr>
      </w:pPr>
      <w:bookmarkStart w:id="207" w:name="_Toc19557"/>
      <w:bookmarkStart w:id="208" w:name="_Toc26794"/>
      <w:bookmarkStart w:id="209" w:name="_Toc10599"/>
      <w:bookmarkStart w:id="210" w:name="_Toc30272"/>
      <w:r>
        <w:rPr>
          <w:rFonts w:hint="eastAsia" w:ascii="宋体" w:hAnsi="宋体" w:cs="宋体"/>
          <w:sz w:val="24"/>
          <w:highlight w:val="none"/>
          <w:lang w:val="zh-CN"/>
        </w:rPr>
        <w:t>19．投标文件的</w:t>
      </w:r>
      <w:bookmarkEnd w:id="202"/>
      <w:bookmarkEnd w:id="203"/>
      <w:r>
        <w:rPr>
          <w:rFonts w:hint="eastAsia" w:ascii="宋体" w:hAnsi="宋体" w:cs="宋体"/>
          <w:sz w:val="24"/>
          <w:highlight w:val="none"/>
          <w:lang w:val="zh-CN"/>
        </w:rPr>
        <w:t>递交</w:t>
      </w:r>
      <w:bookmarkEnd w:id="204"/>
      <w:bookmarkEnd w:id="205"/>
      <w:bookmarkEnd w:id="206"/>
      <w:bookmarkEnd w:id="207"/>
      <w:bookmarkEnd w:id="208"/>
      <w:bookmarkEnd w:id="209"/>
      <w:bookmarkEnd w:id="210"/>
    </w:p>
    <w:p>
      <w:pPr>
        <w:pStyle w:val="211"/>
        <w:spacing w:line="360" w:lineRule="auto"/>
        <w:jc w:val="both"/>
        <w:rPr>
          <w:highlight w:val="none"/>
          <w:lang w:val="zh-CN"/>
        </w:rPr>
      </w:pPr>
      <w:r>
        <w:rPr>
          <w:rFonts w:hint="eastAsia"/>
          <w:highlight w:val="none"/>
          <w:lang w:val="zh-CN"/>
        </w:rPr>
        <w:t>19.1投标人应在招标文件规定的投标截止时间前，将投标文件按投标须知第18条规定密封后送达开标地点。投标截止时间以后送达的投标文件将被拒绝。</w:t>
      </w:r>
    </w:p>
    <w:p>
      <w:pPr>
        <w:pStyle w:val="211"/>
        <w:spacing w:line="360" w:lineRule="auto"/>
        <w:jc w:val="both"/>
        <w:rPr>
          <w:highlight w:val="none"/>
          <w:lang w:val="zh-CN"/>
        </w:rPr>
      </w:pPr>
      <w:r>
        <w:rPr>
          <w:rFonts w:hint="eastAsia"/>
          <w:highlight w:val="none"/>
          <w:lang w:val="zh-CN"/>
        </w:rPr>
        <w:t>19.2本次招标不接受邮寄的投标文件。</w:t>
      </w:r>
      <w:bookmarkStart w:id="211" w:name="_Toc183582228"/>
      <w:bookmarkStart w:id="212" w:name="_Toc183682365"/>
      <w:bookmarkStart w:id="213" w:name="_Toc217446055"/>
    </w:p>
    <w:p>
      <w:pPr>
        <w:pStyle w:val="211"/>
        <w:spacing w:line="360" w:lineRule="auto"/>
        <w:jc w:val="both"/>
        <w:rPr>
          <w:highlight w:val="none"/>
        </w:rPr>
      </w:pPr>
      <w:r>
        <w:rPr>
          <w:rFonts w:hint="eastAsia"/>
          <w:highlight w:val="none"/>
        </w:rPr>
        <w:t>19.3根据《中华人民共和国</w:t>
      </w:r>
      <w:r>
        <w:rPr>
          <w:rFonts w:hint="eastAsia"/>
          <w:highlight w:val="none"/>
          <w:lang w:eastAsia="zh-CN"/>
        </w:rPr>
        <w:t>采购</w:t>
      </w:r>
      <w:r>
        <w:rPr>
          <w:rFonts w:hint="eastAsia"/>
          <w:highlight w:val="none"/>
        </w:rPr>
        <w:t>法》第四十二条的规定，投标人无论中标与否，其投标文件不予退还。</w:t>
      </w:r>
    </w:p>
    <w:p>
      <w:pPr>
        <w:pStyle w:val="4"/>
        <w:jc w:val="both"/>
        <w:rPr>
          <w:rFonts w:ascii="宋体" w:hAnsi="宋体" w:cs="宋体"/>
          <w:sz w:val="24"/>
          <w:highlight w:val="none"/>
          <w:lang w:val="zh-CN"/>
        </w:rPr>
      </w:pPr>
      <w:bookmarkStart w:id="214" w:name="_Toc8501"/>
      <w:bookmarkStart w:id="215" w:name="_Toc15644"/>
      <w:bookmarkStart w:id="216" w:name="_Toc15863"/>
      <w:bookmarkStart w:id="217" w:name="_Toc3396"/>
      <w:bookmarkStart w:id="218" w:name="_Toc15716"/>
      <w:bookmarkStart w:id="219" w:name="_Toc13791"/>
      <w:r>
        <w:rPr>
          <w:rFonts w:hint="eastAsia" w:ascii="宋体" w:hAnsi="宋体" w:cs="宋体"/>
          <w:sz w:val="24"/>
          <w:highlight w:val="none"/>
          <w:lang w:val="zh-CN"/>
        </w:rPr>
        <w:t>20．投标文件的修改和撤</w:t>
      </w:r>
      <w:bookmarkEnd w:id="211"/>
      <w:bookmarkEnd w:id="212"/>
      <w:r>
        <w:rPr>
          <w:rFonts w:hint="eastAsia" w:ascii="宋体" w:hAnsi="宋体" w:cs="宋体"/>
          <w:sz w:val="24"/>
          <w:highlight w:val="none"/>
          <w:lang w:val="zh-CN"/>
        </w:rPr>
        <w:t>回</w:t>
      </w:r>
      <w:bookmarkEnd w:id="213"/>
      <w:bookmarkEnd w:id="214"/>
      <w:bookmarkEnd w:id="215"/>
      <w:bookmarkEnd w:id="216"/>
      <w:bookmarkEnd w:id="217"/>
      <w:bookmarkEnd w:id="218"/>
      <w:bookmarkEnd w:id="219"/>
    </w:p>
    <w:p>
      <w:pPr>
        <w:pStyle w:val="211"/>
        <w:spacing w:line="360" w:lineRule="auto"/>
        <w:jc w:val="both"/>
        <w:rPr>
          <w:highlight w:val="none"/>
          <w:lang w:val="zh-CN"/>
        </w:rPr>
      </w:pPr>
      <w:r>
        <w:rPr>
          <w:rFonts w:hint="eastAsia"/>
          <w:highlight w:val="none"/>
          <w:lang w:val="zh-CN"/>
        </w:rPr>
        <w:t>20.1投标人在递交投标文件后，可以修改和撤回其投标文件，但采购人必须在规定的投标截止期之前收到该修改或撤回的书面通知。</w:t>
      </w:r>
    </w:p>
    <w:p>
      <w:pPr>
        <w:pStyle w:val="211"/>
        <w:spacing w:line="360" w:lineRule="auto"/>
        <w:jc w:val="both"/>
        <w:rPr>
          <w:highlight w:val="none"/>
          <w:lang w:val="zh-CN"/>
        </w:rPr>
      </w:pPr>
      <w:r>
        <w:rPr>
          <w:rFonts w:hint="eastAsia"/>
          <w:highlight w:val="none"/>
          <w:lang w:val="zh-CN"/>
        </w:rPr>
        <w:t>20.2投标人的修改书或撤回通知书，应由其法定代表人或授权代表签署并盖单位印章。修改书应按投标须知第18条规定进行密封和标注，并在密封袋上标注“修改”字样。</w:t>
      </w:r>
    </w:p>
    <w:p>
      <w:pPr>
        <w:pStyle w:val="211"/>
        <w:spacing w:line="360" w:lineRule="auto"/>
        <w:jc w:val="both"/>
        <w:rPr>
          <w:highlight w:val="none"/>
        </w:rPr>
      </w:pPr>
      <w:r>
        <w:rPr>
          <w:rFonts w:hint="eastAsia"/>
          <w:highlight w:val="none"/>
          <w:lang w:val="zh-CN"/>
        </w:rPr>
        <w:t>20.3在投标截止时间之后，投标人不得对其递交的投标文件作任何修改或撤回投标。</w:t>
      </w:r>
    </w:p>
    <w:p>
      <w:pPr>
        <w:pStyle w:val="3"/>
        <w:rPr>
          <w:rFonts w:ascii="宋体" w:hAnsi="宋体" w:cs="宋体"/>
          <w:sz w:val="32"/>
          <w:szCs w:val="32"/>
          <w:highlight w:val="none"/>
        </w:rPr>
      </w:pPr>
      <w:bookmarkStart w:id="220" w:name="_Toc7803"/>
      <w:bookmarkStart w:id="221" w:name="_Toc1802"/>
      <w:bookmarkStart w:id="222" w:name="_Toc30700"/>
      <w:bookmarkStart w:id="223" w:name="_Toc5832"/>
      <w:bookmarkStart w:id="224" w:name="_Toc10290"/>
      <w:r>
        <w:rPr>
          <w:rFonts w:hint="eastAsia" w:ascii="宋体" w:hAnsi="宋体" w:cs="宋体"/>
          <w:sz w:val="32"/>
          <w:szCs w:val="32"/>
          <w:highlight w:val="none"/>
        </w:rPr>
        <w:t>四、开标和评标</w:t>
      </w:r>
      <w:bookmarkEnd w:id="220"/>
      <w:bookmarkEnd w:id="221"/>
      <w:bookmarkEnd w:id="222"/>
      <w:bookmarkEnd w:id="223"/>
      <w:bookmarkEnd w:id="224"/>
      <w:bookmarkStart w:id="225" w:name="_Toc183682369"/>
      <w:bookmarkStart w:id="226" w:name="_Toc217446057"/>
      <w:bookmarkStart w:id="227" w:name="_Toc183582232"/>
    </w:p>
    <w:p>
      <w:pPr>
        <w:pStyle w:val="4"/>
        <w:jc w:val="both"/>
        <w:rPr>
          <w:rFonts w:ascii="宋体" w:hAnsi="宋体" w:cs="宋体"/>
          <w:sz w:val="24"/>
          <w:highlight w:val="none"/>
          <w:lang w:val="zh-CN"/>
        </w:rPr>
      </w:pPr>
      <w:bookmarkStart w:id="228" w:name="_Toc17974"/>
      <w:bookmarkStart w:id="229" w:name="_Toc30443"/>
      <w:bookmarkStart w:id="230" w:name="_Toc24669"/>
      <w:bookmarkStart w:id="231" w:name="_Toc8171"/>
      <w:bookmarkStart w:id="232" w:name="_Toc3020"/>
      <w:bookmarkStart w:id="233" w:name="_Toc25822"/>
      <w:r>
        <w:rPr>
          <w:rFonts w:hint="eastAsia" w:ascii="宋体" w:hAnsi="宋体" w:cs="宋体"/>
          <w:sz w:val="24"/>
          <w:highlight w:val="none"/>
          <w:lang w:val="zh-CN"/>
        </w:rPr>
        <w:t>21．开标</w:t>
      </w:r>
      <w:bookmarkEnd w:id="225"/>
      <w:bookmarkEnd w:id="226"/>
      <w:bookmarkEnd w:id="227"/>
      <w:bookmarkEnd w:id="228"/>
      <w:bookmarkEnd w:id="229"/>
      <w:bookmarkEnd w:id="230"/>
      <w:bookmarkEnd w:id="231"/>
      <w:bookmarkEnd w:id="232"/>
      <w:bookmarkEnd w:id="233"/>
    </w:p>
    <w:p>
      <w:pPr>
        <w:pStyle w:val="211"/>
        <w:spacing w:line="360" w:lineRule="auto"/>
        <w:jc w:val="both"/>
        <w:rPr>
          <w:highlight w:val="none"/>
          <w:lang w:val="zh-CN"/>
        </w:rPr>
      </w:pPr>
      <w:r>
        <w:rPr>
          <w:rFonts w:hint="eastAsia"/>
          <w:highlight w:val="none"/>
          <w:lang w:val="zh-CN"/>
        </w:rPr>
        <w:t>21.1</w:t>
      </w:r>
      <w:r>
        <w:rPr>
          <w:rFonts w:hint="eastAsia"/>
          <w:highlight w:val="none"/>
          <w:lang w:val="en-US" w:eastAsia="zh-CN"/>
        </w:rPr>
        <w:t>采购人</w:t>
      </w:r>
      <w:r>
        <w:rPr>
          <w:rFonts w:hint="eastAsia"/>
          <w:highlight w:val="none"/>
          <w:lang w:val="zh-CN"/>
        </w:rPr>
        <w:t>在招标文件规定的时间和地点组织公开开标仪式，采购人、投标人须派代表参加并签到以证明其出席。</w:t>
      </w:r>
    </w:p>
    <w:p>
      <w:pPr>
        <w:pStyle w:val="211"/>
        <w:spacing w:line="360" w:lineRule="auto"/>
        <w:jc w:val="both"/>
        <w:rPr>
          <w:highlight w:val="none"/>
          <w:lang w:val="zh-CN"/>
        </w:rPr>
      </w:pPr>
      <w:r>
        <w:rPr>
          <w:rFonts w:hint="eastAsia"/>
          <w:highlight w:val="none"/>
          <w:lang w:val="zh-CN"/>
        </w:rPr>
        <w:t>21.2开标时，由投标人或者其推选的代表检查投标文件的密封情况；经确认无误后，由各投标人授权代表签字确认。并由招标工作人员将投标人单独递交的“开标一览表”当众拆封，并由唱标人员进行唱标。投标人不足3家的，不得开标。</w:t>
      </w:r>
    </w:p>
    <w:p>
      <w:pPr>
        <w:pStyle w:val="211"/>
        <w:spacing w:line="360" w:lineRule="auto"/>
        <w:jc w:val="both"/>
        <w:rPr>
          <w:highlight w:val="none"/>
          <w:lang w:val="zh-CN"/>
        </w:rPr>
      </w:pPr>
      <w:r>
        <w:rPr>
          <w:rFonts w:hint="eastAsia"/>
          <w:highlight w:val="none"/>
          <w:lang w:val="zh-CN"/>
        </w:rPr>
        <w:t>21.4唱标时，“开标一览表”中的大写金额与小写金额不一致的，以大写金额为准；总价金额与按单价计算的汇总金额不一致的，以单价计算的汇总金额为准；单价金额有明显小数点错误的，以总价为准，并修改单价。</w:t>
      </w:r>
    </w:p>
    <w:p>
      <w:pPr>
        <w:pStyle w:val="211"/>
        <w:spacing w:line="360" w:lineRule="auto"/>
        <w:jc w:val="both"/>
        <w:rPr>
          <w:highlight w:val="none"/>
          <w:lang w:val="zh-CN"/>
        </w:rPr>
      </w:pPr>
      <w:r>
        <w:rPr>
          <w:rFonts w:hint="eastAsia"/>
          <w:highlight w:val="none"/>
          <w:lang w:val="zh-CN"/>
        </w:rPr>
        <w:t>21.5投标人代表对开标过程和开标记录有疑义，以及认为招标采购单位相关工作人员有需要回避的情形的，应当场提出询问或者回避申请。招标采购单位对投标人代表提出的询问或者回避申请应当及时处理。投标人未参加开标的，视同认可开标结果。</w:t>
      </w:r>
    </w:p>
    <w:p>
      <w:pPr>
        <w:pStyle w:val="4"/>
        <w:jc w:val="both"/>
        <w:rPr>
          <w:rFonts w:ascii="宋体" w:hAnsi="宋体" w:cs="宋体"/>
          <w:sz w:val="24"/>
          <w:highlight w:val="none"/>
          <w:lang w:val="zh-CN"/>
        </w:rPr>
      </w:pPr>
      <w:bookmarkStart w:id="234" w:name="_Toc217446059"/>
      <w:bookmarkStart w:id="235" w:name="_Toc5087"/>
      <w:bookmarkStart w:id="236" w:name="_Toc20981"/>
      <w:bookmarkStart w:id="237" w:name="_Toc8031"/>
      <w:bookmarkStart w:id="238" w:name="_Toc7344"/>
      <w:bookmarkStart w:id="239" w:name="_Toc23944"/>
      <w:bookmarkStart w:id="240" w:name="_Toc21549"/>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.评标</w:t>
      </w:r>
      <w:bookmarkEnd w:id="234"/>
      <w:r>
        <w:rPr>
          <w:rFonts w:hint="eastAsia" w:ascii="宋体" w:hAnsi="宋体" w:cs="宋体"/>
          <w:sz w:val="24"/>
          <w:highlight w:val="none"/>
          <w:lang w:val="zh-CN"/>
        </w:rPr>
        <w:t>委员会</w:t>
      </w:r>
      <w:bookmarkEnd w:id="235"/>
      <w:bookmarkEnd w:id="236"/>
      <w:bookmarkEnd w:id="237"/>
      <w:bookmarkEnd w:id="238"/>
      <w:bookmarkEnd w:id="239"/>
      <w:bookmarkEnd w:id="240"/>
    </w:p>
    <w:p>
      <w:pPr>
        <w:pStyle w:val="211"/>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.1评标工作由招标采购单位依法组建的评标委员会（以下简称评委会）负责。评标委员会成员由采购人代表和评审专家组成，成员人数应当为5人以上单数，其中评审专家不得少于成员总数的三分之二。</w:t>
      </w:r>
    </w:p>
    <w:p>
      <w:pPr>
        <w:pStyle w:val="211"/>
        <w:spacing w:line="360" w:lineRule="auto"/>
        <w:jc w:val="both"/>
        <w:rPr>
          <w:highlight w:val="none"/>
        </w:rPr>
      </w:pPr>
      <w:r>
        <w:rPr>
          <w:rFonts w:hint="eastAsia"/>
          <w:highlight w:val="none"/>
          <w:lang w:val="zh-CN"/>
        </w:rPr>
        <w:t>2</w:t>
      </w:r>
      <w:r>
        <w:rPr>
          <w:rFonts w:hint="eastAsia"/>
          <w:highlight w:val="none"/>
        </w:rPr>
        <w:t>2</w:t>
      </w:r>
      <w:r>
        <w:rPr>
          <w:rFonts w:hint="eastAsia"/>
          <w:highlight w:val="none"/>
          <w:lang w:val="zh-CN"/>
        </w:rPr>
        <w:t>.2</w:t>
      </w:r>
      <w:r>
        <w:rPr>
          <w:rFonts w:hint="eastAsia"/>
          <w:highlight w:val="none"/>
        </w:rPr>
        <w:t>评标委员会负责审查投标文件是否符合招标文件的要求，并进行审查、询标、评估和比较。评标委员会认为必要时，可向投标人进行询标。</w:t>
      </w:r>
    </w:p>
    <w:p>
      <w:pPr>
        <w:pStyle w:val="211"/>
        <w:spacing w:line="360" w:lineRule="auto"/>
        <w:jc w:val="both"/>
        <w:rPr>
          <w:highlight w:val="none"/>
        </w:rPr>
      </w:pPr>
      <w:r>
        <w:rPr>
          <w:rFonts w:hint="eastAsia"/>
          <w:highlight w:val="none"/>
        </w:rPr>
        <w:t>22.3评标委员会负责完成全部评标工作，向采购人提出经评标委员会签字的书面评标报告。</w:t>
      </w:r>
    </w:p>
    <w:p>
      <w:pPr>
        <w:pStyle w:val="211"/>
        <w:spacing w:line="360" w:lineRule="auto"/>
        <w:jc w:val="both"/>
        <w:rPr>
          <w:highlight w:val="none"/>
          <w:lang w:val="zh-CN"/>
        </w:rPr>
      </w:pPr>
      <w:r>
        <w:rPr>
          <w:rFonts w:hint="eastAsia"/>
          <w:highlight w:val="none"/>
        </w:rPr>
        <w:t>22.4</w:t>
      </w:r>
      <w:r>
        <w:rPr>
          <w:rFonts w:hint="eastAsia"/>
          <w:highlight w:val="none"/>
          <w:lang w:val="zh-CN"/>
        </w:rPr>
        <w:t>评委会严格按照法律规定的程序和招标文件规定的评分办法及标准对投标文件进行评审打分。</w:t>
      </w:r>
    </w:p>
    <w:p>
      <w:pPr>
        <w:pStyle w:val="211"/>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w:t>
      </w:r>
      <w:r>
        <w:rPr>
          <w:rFonts w:hint="eastAsia"/>
          <w:highlight w:val="none"/>
        </w:rPr>
        <w:t>5</w:t>
      </w:r>
      <w:r>
        <w:rPr>
          <w:rFonts w:hint="eastAsia"/>
          <w:highlight w:val="none"/>
          <w:lang w:val="zh-CN"/>
        </w:rPr>
        <w:t>评标过程严格保密。投标人对评委会的评标过程或合同授予决定施加影响的任何行为都可能导致其投标被拒绝。</w:t>
      </w:r>
    </w:p>
    <w:p>
      <w:pPr>
        <w:pStyle w:val="211"/>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.6如果投标文件没有实质性响应招标文件的要求，评委会将予以拒绝。投标人不得通过修正或撤销不合要求的偏离或保留从而使其投标成为实质性响应的投标。</w:t>
      </w:r>
    </w:p>
    <w:p>
      <w:pPr>
        <w:pStyle w:val="211"/>
        <w:spacing w:line="360" w:lineRule="auto"/>
        <w:jc w:val="both"/>
        <w:rPr>
          <w:highlight w:val="none"/>
          <w:lang w:val="zh-CN"/>
        </w:rPr>
      </w:pPr>
      <w:r>
        <w:rPr>
          <w:rFonts w:hint="eastAsia"/>
          <w:highlight w:val="none"/>
          <w:lang w:val="zh-CN"/>
        </w:rPr>
        <w:t>2</w:t>
      </w:r>
      <w:r>
        <w:rPr>
          <w:rFonts w:hint="eastAsia"/>
          <w:highlight w:val="none"/>
        </w:rPr>
        <w:t>2</w:t>
      </w:r>
      <w:r>
        <w:rPr>
          <w:rFonts w:hint="eastAsia"/>
          <w:highlight w:val="none"/>
          <w:lang w:val="zh-CN"/>
        </w:rPr>
        <w:t>.7评委会只对确定为实质性响应招标文件要求的投标文件，根据招标文件的要求采用相同的评标程序、评分办法及标准进行评价和比较。</w:t>
      </w:r>
    </w:p>
    <w:p>
      <w:pPr>
        <w:pStyle w:val="211"/>
        <w:numPr>
          <w:ilvl w:val="0"/>
          <w:numId w:val="5"/>
        </w:numPr>
        <w:spacing w:line="360" w:lineRule="auto"/>
        <w:jc w:val="both"/>
        <w:rPr>
          <w:b/>
          <w:bCs/>
          <w:highlight w:val="none"/>
        </w:rPr>
      </w:pPr>
      <w:r>
        <w:rPr>
          <w:rFonts w:hint="eastAsia"/>
          <w:b/>
          <w:bCs/>
          <w:highlight w:val="none"/>
        </w:rPr>
        <w:t>对投标文件的审查和响应性的确定</w:t>
      </w:r>
    </w:p>
    <w:p>
      <w:pPr>
        <w:pStyle w:val="211"/>
        <w:spacing w:line="360" w:lineRule="auto"/>
        <w:jc w:val="both"/>
        <w:rPr>
          <w:highlight w:val="none"/>
        </w:rPr>
      </w:pPr>
      <w:r>
        <w:rPr>
          <w:rFonts w:hint="eastAsia"/>
          <w:highlight w:val="none"/>
        </w:rPr>
        <w:t>23.1资格审查</w:t>
      </w:r>
    </w:p>
    <w:p>
      <w:pPr>
        <w:pStyle w:val="211"/>
        <w:spacing w:line="360" w:lineRule="auto"/>
        <w:jc w:val="both"/>
        <w:rPr>
          <w:highlight w:val="none"/>
        </w:rPr>
      </w:pPr>
      <w:r>
        <w:rPr>
          <w:rFonts w:hint="eastAsia"/>
          <w:highlight w:val="none"/>
        </w:rPr>
        <w:t>23.1.1本项目投标人的资格条件在开标后进行审查。投标人应在投标文件中按招标文件的规定和要求附上所有的资格证明文件，要求提供的复印件必须加盖单位鲜章。若提供的资格证明文件不全或不实，将导致其投标或中标资格被取消。</w:t>
      </w:r>
    </w:p>
    <w:p>
      <w:pPr>
        <w:pStyle w:val="211"/>
        <w:spacing w:line="360" w:lineRule="auto"/>
        <w:ind w:firstLine="480" w:firstLineChars="200"/>
        <w:jc w:val="both"/>
        <w:rPr>
          <w:highlight w:val="none"/>
        </w:rPr>
      </w:pPr>
      <w:r>
        <w:rPr>
          <w:rFonts w:hint="eastAsia"/>
          <w:highlight w:val="none"/>
        </w:rPr>
        <w:t>资格审查后合格的</w:t>
      </w:r>
      <w:r>
        <w:rPr>
          <w:rFonts w:hint="eastAsia"/>
          <w:highlight w:val="none"/>
          <w:lang w:eastAsia="zh-CN"/>
        </w:rPr>
        <w:t>投标人</w:t>
      </w:r>
      <w:r>
        <w:rPr>
          <w:rFonts w:hint="eastAsia"/>
          <w:highlight w:val="none"/>
        </w:rPr>
        <w:t>不足三家时，不得进入评审环节。</w:t>
      </w:r>
    </w:p>
    <w:p>
      <w:pPr>
        <w:pStyle w:val="211"/>
        <w:spacing w:line="360" w:lineRule="auto"/>
        <w:ind w:firstLine="480" w:firstLineChars="200"/>
        <w:jc w:val="both"/>
        <w:rPr>
          <w:highlight w:val="none"/>
        </w:rPr>
      </w:pPr>
      <w:r>
        <w:rPr>
          <w:rFonts w:hint="eastAsia"/>
          <w:highlight w:val="none"/>
        </w:rPr>
        <w:t>无论基于何种原因，各项本应作拒绝投标和无效投标处理的情形，即便未被及时发现</w:t>
      </w:r>
    </w:p>
    <w:p>
      <w:pPr>
        <w:pStyle w:val="211"/>
        <w:spacing w:line="360" w:lineRule="auto"/>
        <w:jc w:val="both"/>
        <w:rPr>
          <w:highlight w:val="none"/>
        </w:rPr>
      </w:pPr>
      <w:r>
        <w:rPr>
          <w:rFonts w:hint="eastAsia"/>
          <w:highlight w:val="none"/>
        </w:rPr>
        <w:t>而使该投标人进入初审、详细评审或其它后续程序，包括已经签约的情形，一旦被发现存</w:t>
      </w:r>
    </w:p>
    <w:p>
      <w:pPr>
        <w:pStyle w:val="211"/>
        <w:spacing w:line="360" w:lineRule="auto"/>
        <w:jc w:val="both"/>
        <w:rPr>
          <w:b/>
          <w:bCs/>
          <w:highlight w:val="none"/>
        </w:rPr>
      </w:pPr>
      <w:r>
        <w:rPr>
          <w:rFonts w:hint="eastAsia"/>
          <w:highlight w:val="none"/>
        </w:rPr>
        <w:t>在上述情形，导致此前评议结果被取消，其相关的一切损失均由该投标人承担。</w:t>
      </w:r>
    </w:p>
    <w:p>
      <w:pPr>
        <w:pStyle w:val="211"/>
        <w:spacing w:line="360" w:lineRule="auto"/>
        <w:jc w:val="both"/>
        <w:rPr>
          <w:highlight w:val="none"/>
        </w:rPr>
      </w:pPr>
      <w:r>
        <w:rPr>
          <w:rFonts w:hint="eastAsia"/>
          <w:highlight w:val="none"/>
        </w:rPr>
        <w:t>23.2投标文件属于下列情况的，在符合性审查时按照无效投标处理：</w:t>
      </w:r>
    </w:p>
    <w:p>
      <w:pPr>
        <w:pStyle w:val="211"/>
        <w:numPr>
          <w:ilvl w:val="0"/>
          <w:numId w:val="6"/>
        </w:numPr>
        <w:spacing w:line="360" w:lineRule="auto"/>
        <w:ind w:firstLine="480" w:firstLineChars="200"/>
        <w:jc w:val="both"/>
        <w:rPr>
          <w:highlight w:val="none"/>
        </w:rPr>
      </w:pPr>
      <w:r>
        <w:rPr>
          <w:rFonts w:hint="eastAsia"/>
          <w:highlight w:val="none"/>
          <w:lang w:val="en-US" w:eastAsia="zh-CN"/>
        </w:rPr>
        <w:t>未</w:t>
      </w:r>
      <w:r>
        <w:rPr>
          <w:rFonts w:hint="eastAsia"/>
          <w:highlight w:val="none"/>
        </w:rPr>
        <w:t>按照招标文件规定缴纳投标保证金；</w:t>
      </w:r>
    </w:p>
    <w:p>
      <w:pPr>
        <w:pStyle w:val="211"/>
        <w:numPr>
          <w:ilvl w:val="0"/>
          <w:numId w:val="6"/>
        </w:numPr>
        <w:spacing w:line="360" w:lineRule="auto"/>
        <w:ind w:firstLine="480" w:firstLineChars="200"/>
        <w:jc w:val="both"/>
        <w:rPr>
          <w:highlight w:val="none"/>
        </w:rPr>
      </w:pPr>
      <w:r>
        <w:rPr>
          <w:rFonts w:hint="eastAsia"/>
          <w:color w:val="auto"/>
          <w:sz w:val="24"/>
          <w:highlight w:val="none"/>
        </w:rPr>
        <w:t>报价不得超过招标文件中规定的预算金额或者最高限价的</w:t>
      </w:r>
      <w:r>
        <w:rPr>
          <w:rFonts w:hint="eastAsia"/>
          <w:highlight w:val="none"/>
        </w:rPr>
        <w:t>；</w:t>
      </w:r>
    </w:p>
    <w:p>
      <w:pPr>
        <w:pStyle w:val="211"/>
        <w:numPr>
          <w:ilvl w:val="0"/>
          <w:numId w:val="6"/>
        </w:numPr>
        <w:spacing w:line="360" w:lineRule="auto"/>
        <w:ind w:firstLine="480" w:firstLineChars="200"/>
        <w:jc w:val="both"/>
        <w:rPr>
          <w:highlight w:val="none"/>
        </w:rPr>
      </w:pPr>
      <w:r>
        <w:rPr>
          <w:rFonts w:hint="eastAsia"/>
          <w:color w:val="auto"/>
          <w:sz w:val="24"/>
          <w:highlight w:val="none"/>
        </w:rPr>
        <w:t>投标文件</w:t>
      </w:r>
      <w:r>
        <w:rPr>
          <w:rFonts w:hint="eastAsia"/>
          <w:color w:val="auto"/>
          <w:sz w:val="24"/>
          <w:highlight w:val="none"/>
          <w:lang w:val="en-US" w:eastAsia="zh-CN"/>
        </w:rPr>
        <w:t>未</w:t>
      </w:r>
      <w:r>
        <w:rPr>
          <w:rFonts w:hint="eastAsia"/>
          <w:color w:val="auto"/>
          <w:sz w:val="24"/>
          <w:highlight w:val="none"/>
        </w:rPr>
        <w:t>严格按照招标文件要求签署、盖章</w:t>
      </w:r>
      <w:r>
        <w:rPr>
          <w:rFonts w:hint="eastAsia"/>
          <w:highlight w:val="none"/>
        </w:rPr>
        <w:t>；</w:t>
      </w:r>
    </w:p>
    <w:p>
      <w:pPr>
        <w:pStyle w:val="211"/>
        <w:numPr>
          <w:ilvl w:val="0"/>
          <w:numId w:val="6"/>
        </w:numPr>
        <w:spacing w:line="360" w:lineRule="auto"/>
        <w:ind w:firstLine="480" w:firstLineChars="200"/>
        <w:jc w:val="both"/>
        <w:rPr>
          <w:highlight w:val="none"/>
        </w:rPr>
      </w:pPr>
      <w:r>
        <w:rPr>
          <w:rFonts w:hint="eastAsia"/>
          <w:color w:val="auto"/>
          <w:sz w:val="24"/>
          <w:highlight w:val="none"/>
        </w:rPr>
        <w:t>投标有效期</w:t>
      </w:r>
      <w:r>
        <w:rPr>
          <w:rFonts w:hint="eastAsia"/>
          <w:color w:val="auto"/>
          <w:sz w:val="24"/>
          <w:highlight w:val="none"/>
          <w:lang w:val="en-US" w:eastAsia="zh-CN"/>
        </w:rPr>
        <w:t>未</w:t>
      </w:r>
      <w:r>
        <w:rPr>
          <w:rFonts w:hint="eastAsia"/>
          <w:color w:val="auto"/>
          <w:sz w:val="24"/>
          <w:highlight w:val="none"/>
        </w:rPr>
        <w:t>响应招标文件的要求</w:t>
      </w:r>
      <w:r>
        <w:rPr>
          <w:rFonts w:hint="eastAsia"/>
          <w:highlight w:val="none"/>
        </w:rPr>
        <w:t>；</w:t>
      </w:r>
    </w:p>
    <w:p>
      <w:pPr>
        <w:pStyle w:val="211"/>
        <w:numPr>
          <w:ilvl w:val="0"/>
          <w:numId w:val="6"/>
        </w:numPr>
        <w:spacing w:line="360" w:lineRule="auto"/>
        <w:ind w:firstLine="480" w:firstLineChars="200"/>
        <w:jc w:val="both"/>
        <w:rPr>
          <w:highlight w:val="none"/>
        </w:rPr>
      </w:pPr>
      <w:r>
        <w:rPr>
          <w:rFonts w:hint="eastAsia"/>
          <w:color w:val="auto"/>
          <w:sz w:val="24"/>
          <w:highlight w:val="none"/>
        </w:rPr>
        <w:t>交货期</w:t>
      </w:r>
      <w:r>
        <w:rPr>
          <w:rFonts w:hint="eastAsia"/>
          <w:color w:val="auto"/>
          <w:sz w:val="24"/>
          <w:highlight w:val="none"/>
          <w:lang w:val="en-US" w:eastAsia="zh-CN"/>
        </w:rPr>
        <w:t>未</w:t>
      </w:r>
      <w:r>
        <w:rPr>
          <w:rFonts w:hint="eastAsia"/>
          <w:color w:val="auto"/>
          <w:sz w:val="24"/>
          <w:highlight w:val="none"/>
        </w:rPr>
        <w:t>响应招标文件的要求</w:t>
      </w:r>
      <w:r>
        <w:rPr>
          <w:rFonts w:hint="eastAsia"/>
          <w:highlight w:val="none"/>
        </w:rPr>
        <w:t>；</w:t>
      </w:r>
    </w:p>
    <w:p>
      <w:pPr>
        <w:pStyle w:val="211"/>
        <w:numPr>
          <w:ilvl w:val="0"/>
          <w:numId w:val="6"/>
        </w:numPr>
        <w:spacing w:line="360" w:lineRule="auto"/>
        <w:ind w:firstLine="480" w:firstLineChars="200"/>
        <w:jc w:val="both"/>
        <w:rPr>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未</w:t>
      </w:r>
      <w:r>
        <w:rPr>
          <w:rFonts w:hint="eastAsia" w:ascii="宋体" w:hAnsi="宋体" w:eastAsia="宋体" w:cs="宋体"/>
          <w:color w:val="auto"/>
          <w:sz w:val="24"/>
          <w:highlight w:val="none"/>
        </w:rPr>
        <w:t>响应招标文件的要求</w:t>
      </w:r>
      <w:r>
        <w:rPr>
          <w:rFonts w:hint="eastAsia"/>
          <w:highlight w:val="none"/>
        </w:rPr>
        <w:t>；</w:t>
      </w:r>
    </w:p>
    <w:p>
      <w:pPr>
        <w:pStyle w:val="211"/>
        <w:spacing w:line="360" w:lineRule="auto"/>
        <w:ind w:firstLine="480" w:firstLineChars="200"/>
        <w:jc w:val="both"/>
        <w:rPr>
          <w:highlight w:val="none"/>
        </w:rPr>
      </w:pPr>
      <w:r>
        <w:rPr>
          <w:rFonts w:hint="eastAsia"/>
          <w:highlight w:val="none"/>
        </w:rPr>
        <w:t>（7）</w:t>
      </w:r>
      <w:r>
        <w:rPr>
          <w:rFonts w:hint="eastAsia" w:cs="宋体"/>
          <w:color w:val="auto"/>
          <w:sz w:val="24"/>
          <w:highlight w:val="none"/>
          <w:lang w:val="en-US" w:eastAsia="zh-CN"/>
        </w:rPr>
        <w:t>质保期未</w:t>
      </w:r>
      <w:r>
        <w:rPr>
          <w:rFonts w:hint="eastAsia" w:ascii="宋体" w:hAnsi="宋体" w:eastAsia="宋体" w:cs="宋体"/>
          <w:color w:val="auto"/>
          <w:sz w:val="24"/>
          <w:highlight w:val="none"/>
        </w:rPr>
        <w:t>响应招标文件的要求</w:t>
      </w:r>
      <w:r>
        <w:rPr>
          <w:rFonts w:hint="eastAsia"/>
          <w:highlight w:val="none"/>
        </w:rPr>
        <w:t>；</w:t>
      </w:r>
    </w:p>
    <w:p>
      <w:pPr>
        <w:pStyle w:val="211"/>
        <w:spacing w:line="360" w:lineRule="auto"/>
        <w:jc w:val="both"/>
        <w:rPr>
          <w:highlight w:val="none"/>
        </w:rPr>
      </w:pPr>
      <w:r>
        <w:rPr>
          <w:rFonts w:hint="eastAsia"/>
          <w:highlight w:val="none"/>
        </w:rPr>
        <w:t>23.3投标截止时间后，除评标委员会要求提供外，不接受投标人及与投标人有关的任何一方递交的材料。</w:t>
      </w:r>
    </w:p>
    <w:p>
      <w:pPr>
        <w:pStyle w:val="211"/>
        <w:spacing w:line="360" w:lineRule="auto"/>
        <w:jc w:val="both"/>
        <w:rPr>
          <w:highlight w:val="none"/>
        </w:rPr>
      </w:pPr>
      <w:r>
        <w:rPr>
          <w:rFonts w:hint="eastAsia"/>
          <w:highlight w:val="none"/>
        </w:rPr>
        <w:t>23.4评标委员会对确定为实质上响应的投标进行审核，投标文件报价出现前后不一致的，修改错误的原则如下：</w:t>
      </w:r>
    </w:p>
    <w:p>
      <w:pPr>
        <w:pStyle w:val="211"/>
        <w:spacing w:line="360" w:lineRule="auto"/>
        <w:ind w:firstLine="480" w:firstLineChars="200"/>
        <w:jc w:val="both"/>
        <w:rPr>
          <w:highlight w:val="none"/>
        </w:rPr>
      </w:pPr>
      <w:r>
        <w:rPr>
          <w:rFonts w:hint="eastAsia"/>
          <w:highlight w:val="none"/>
        </w:rPr>
        <w:t>（1）投标文件中开标一览表（报价表）内容与投标文件中相应内容不一致的，以开标一览表（报价表）为准；</w:t>
      </w:r>
    </w:p>
    <w:p>
      <w:pPr>
        <w:pStyle w:val="211"/>
        <w:spacing w:line="360" w:lineRule="auto"/>
        <w:ind w:firstLine="480" w:firstLineChars="200"/>
        <w:jc w:val="both"/>
        <w:rPr>
          <w:highlight w:val="none"/>
        </w:rPr>
      </w:pPr>
      <w:r>
        <w:rPr>
          <w:rFonts w:hint="eastAsia"/>
          <w:highlight w:val="none"/>
        </w:rPr>
        <w:t>（2）大写金额和小写金额不一致的，以大写金额为准；</w:t>
      </w:r>
    </w:p>
    <w:p>
      <w:pPr>
        <w:pStyle w:val="211"/>
        <w:spacing w:line="360" w:lineRule="auto"/>
        <w:ind w:firstLine="480" w:firstLineChars="200"/>
        <w:jc w:val="both"/>
        <w:rPr>
          <w:highlight w:val="none"/>
        </w:rPr>
      </w:pPr>
      <w:r>
        <w:rPr>
          <w:rFonts w:hint="eastAsia"/>
          <w:highlight w:val="none"/>
        </w:rPr>
        <w:t>（3）单价金额小数点或者百分比有明显错位的，以开标一览表的总价为准，并修改单价；</w:t>
      </w:r>
    </w:p>
    <w:p>
      <w:pPr>
        <w:pStyle w:val="211"/>
        <w:spacing w:line="360" w:lineRule="auto"/>
        <w:ind w:firstLine="480" w:firstLineChars="200"/>
        <w:jc w:val="both"/>
        <w:rPr>
          <w:highlight w:val="none"/>
        </w:rPr>
      </w:pPr>
      <w:r>
        <w:rPr>
          <w:rFonts w:hint="eastAsia"/>
          <w:highlight w:val="none"/>
        </w:rPr>
        <w:t>（4）总价金额与按单价汇总金额不一致的，以单价金额计算结果为准。</w:t>
      </w:r>
    </w:p>
    <w:p>
      <w:pPr>
        <w:pStyle w:val="211"/>
        <w:spacing w:line="360" w:lineRule="auto"/>
        <w:ind w:firstLine="480" w:firstLineChars="200"/>
        <w:jc w:val="both"/>
        <w:rPr>
          <w:highlight w:val="none"/>
        </w:rPr>
      </w:pPr>
      <w:r>
        <w:rPr>
          <w:rFonts w:hint="eastAsia"/>
          <w:highlight w:val="none"/>
        </w:rPr>
        <w:t>（5）同时出现两种以上不一致的，按照前款规定的顺序修正。修正后的报价经投标人确认后产生约束力，投标人不确认的，其投标无效。</w:t>
      </w:r>
    </w:p>
    <w:p>
      <w:pPr>
        <w:pStyle w:val="211"/>
        <w:spacing w:line="360" w:lineRule="auto"/>
        <w:jc w:val="both"/>
        <w:rPr>
          <w:highlight w:val="none"/>
        </w:rPr>
      </w:pPr>
      <w:r>
        <w:rPr>
          <w:rFonts w:hint="eastAsia"/>
          <w:highlight w:val="none"/>
        </w:rPr>
        <w:t>23.5评标委员会将要求投标人按上述修改错误的方法调整投标报价，投标人同意后，调整后的报价对投标人起约束作用。如果投标人不接受修改后的报价，其投标将被拒绝。</w:t>
      </w:r>
    </w:p>
    <w:p>
      <w:pPr>
        <w:pStyle w:val="211"/>
        <w:spacing w:line="360" w:lineRule="auto"/>
        <w:jc w:val="both"/>
        <w:rPr>
          <w:b/>
          <w:bCs/>
          <w:highlight w:val="none"/>
        </w:rPr>
      </w:pPr>
      <w:r>
        <w:rPr>
          <w:rFonts w:hint="eastAsia"/>
          <w:b/>
          <w:bCs/>
          <w:highlight w:val="none"/>
        </w:rPr>
        <w:t>24.投标文件的澄清</w:t>
      </w:r>
    </w:p>
    <w:p>
      <w:pPr>
        <w:pStyle w:val="211"/>
        <w:spacing w:line="360" w:lineRule="auto"/>
        <w:jc w:val="both"/>
        <w:rPr>
          <w:highlight w:val="none"/>
        </w:rPr>
      </w:pPr>
      <w:r>
        <w:rPr>
          <w:rFonts w:hint="eastAsia"/>
          <w:highlight w:val="none"/>
        </w:rPr>
        <w:t>24.1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11"/>
        <w:spacing w:line="360" w:lineRule="auto"/>
        <w:jc w:val="both"/>
        <w:rPr>
          <w:highlight w:val="none"/>
        </w:rPr>
      </w:pPr>
      <w:r>
        <w:rPr>
          <w:rFonts w:hint="eastAsia"/>
          <w:highlight w:val="none"/>
        </w:rPr>
        <w:t>24.2投标人的澄清、说明、答复或者补充应在规定的时间内完成，有关澄清、说明或者补正的要求和答复应以书面形式提交，并不得超出投标文件的范围或对投标内容进行实质性的修改。</w:t>
      </w:r>
    </w:p>
    <w:p>
      <w:pPr>
        <w:pStyle w:val="211"/>
        <w:spacing w:line="360" w:lineRule="auto"/>
        <w:jc w:val="both"/>
        <w:rPr>
          <w:highlight w:val="none"/>
        </w:rPr>
      </w:pPr>
      <w:r>
        <w:rPr>
          <w:rFonts w:hint="eastAsia"/>
          <w:highlight w:val="none"/>
        </w:rPr>
        <w:t>24.3澄清文件将作为投标文件的一部分，与投标文件具有同等的法律效力。</w:t>
      </w:r>
    </w:p>
    <w:p>
      <w:pPr>
        <w:pStyle w:val="211"/>
        <w:spacing w:line="360" w:lineRule="auto"/>
        <w:jc w:val="both"/>
        <w:rPr>
          <w:b/>
          <w:bCs/>
          <w:highlight w:val="none"/>
        </w:rPr>
      </w:pPr>
      <w:r>
        <w:rPr>
          <w:rFonts w:hint="eastAsia"/>
          <w:b/>
          <w:bCs/>
          <w:highlight w:val="none"/>
        </w:rPr>
        <w:t>25.投标的评估和比较</w:t>
      </w:r>
    </w:p>
    <w:p>
      <w:pPr>
        <w:pStyle w:val="211"/>
        <w:spacing w:line="360" w:lineRule="auto"/>
        <w:jc w:val="both"/>
        <w:rPr>
          <w:highlight w:val="none"/>
        </w:rPr>
      </w:pPr>
      <w:r>
        <w:rPr>
          <w:rFonts w:hint="eastAsia"/>
          <w:highlight w:val="none"/>
        </w:rPr>
        <w:t>25.1评标委员会将根据招标文件确定的评标原则和评标方法对确定为实质上响应招标文件要求的投标进行评估和比较。</w:t>
      </w:r>
    </w:p>
    <w:p>
      <w:pPr>
        <w:pStyle w:val="211"/>
        <w:spacing w:line="360" w:lineRule="auto"/>
        <w:jc w:val="both"/>
        <w:rPr>
          <w:b/>
          <w:bCs/>
          <w:highlight w:val="none"/>
        </w:rPr>
      </w:pPr>
      <w:r>
        <w:rPr>
          <w:rFonts w:hint="eastAsia"/>
          <w:b/>
          <w:bCs/>
          <w:highlight w:val="none"/>
        </w:rPr>
        <w:t>26.评标原则和评标方法</w:t>
      </w:r>
    </w:p>
    <w:p>
      <w:pPr>
        <w:pStyle w:val="211"/>
        <w:spacing w:line="360" w:lineRule="auto"/>
        <w:jc w:val="both"/>
        <w:rPr>
          <w:highlight w:val="none"/>
        </w:rPr>
      </w:pPr>
      <w:r>
        <w:rPr>
          <w:rFonts w:hint="eastAsia"/>
          <w:highlight w:val="none"/>
        </w:rPr>
        <w:t>26.1评标原则</w:t>
      </w:r>
    </w:p>
    <w:p>
      <w:pPr>
        <w:pStyle w:val="211"/>
        <w:spacing w:line="360" w:lineRule="auto"/>
        <w:ind w:firstLine="480" w:firstLineChars="200"/>
        <w:jc w:val="both"/>
        <w:rPr>
          <w:highlight w:val="none"/>
        </w:rPr>
      </w:pPr>
      <w:r>
        <w:rPr>
          <w:rFonts w:hint="eastAsia"/>
          <w:highlight w:val="none"/>
        </w:rPr>
        <w:t>（1）评标委员会应当按照客观、公正、审慎的原则，根据招标文件规定的评审程序、评审方法和评审标准进行独立评审。</w:t>
      </w:r>
    </w:p>
    <w:p>
      <w:pPr>
        <w:pStyle w:val="211"/>
        <w:spacing w:line="360" w:lineRule="auto"/>
        <w:ind w:firstLine="480" w:firstLineChars="200"/>
        <w:jc w:val="both"/>
        <w:rPr>
          <w:highlight w:val="none"/>
        </w:rPr>
      </w:pPr>
      <w:r>
        <w:rPr>
          <w:rFonts w:hint="eastAsia"/>
          <w:highlight w:val="none"/>
        </w:rPr>
        <w:t>（2）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pPr>
        <w:pStyle w:val="211"/>
        <w:spacing w:line="360" w:lineRule="auto"/>
        <w:ind w:firstLine="480" w:firstLineChars="200"/>
        <w:jc w:val="both"/>
        <w:rPr>
          <w:highlight w:val="none"/>
        </w:rPr>
      </w:pPr>
      <w:r>
        <w:rPr>
          <w:rFonts w:hint="eastAsia"/>
          <w:highlight w:val="none"/>
        </w:rPr>
        <w:t>（3）对招标文件中描述有歧义或前后不一致的地方，但不影响项目评审的，评标委员会有权进行评判，但对同一条款的评判应适用于每个投标人。</w:t>
      </w:r>
    </w:p>
    <w:p>
      <w:pPr>
        <w:pStyle w:val="211"/>
        <w:spacing w:line="360" w:lineRule="auto"/>
        <w:ind w:firstLine="480" w:firstLineChars="200"/>
        <w:jc w:val="both"/>
        <w:rPr>
          <w:highlight w:val="none"/>
        </w:rPr>
      </w:pPr>
      <w:r>
        <w:rPr>
          <w:rFonts w:hint="eastAsia"/>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11"/>
        <w:spacing w:line="360" w:lineRule="auto"/>
        <w:jc w:val="both"/>
        <w:rPr>
          <w:highlight w:val="none"/>
        </w:rPr>
      </w:pPr>
      <w:r>
        <w:rPr>
          <w:rFonts w:hint="eastAsia"/>
          <w:highlight w:val="none"/>
        </w:rPr>
        <w:t>26.2评标方法（本项目采用综合评分法）</w:t>
      </w:r>
    </w:p>
    <w:p>
      <w:pPr>
        <w:pStyle w:val="211"/>
        <w:spacing w:line="360" w:lineRule="auto"/>
        <w:jc w:val="both"/>
        <w:rPr>
          <w:highlight w:val="none"/>
        </w:rPr>
      </w:pPr>
      <w:r>
        <w:rPr>
          <w:rFonts w:hint="eastAsia"/>
          <w:highlight w:val="none"/>
        </w:rPr>
        <w:t>26.2.1综合评分法</w:t>
      </w:r>
    </w:p>
    <w:p>
      <w:pPr>
        <w:pStyle w:val="211"/>
        <w:spacing w:line="360" w:lineRule="auto"/>
        <w:ind w:firstLine="480" w:firstLineChars="200"/>
        <w:jc w:val="both"/>
        <w:rPr>
          <w:highlight w:val="none"/>
        </w:rPr>
      </w:pPr>
      <w:r>
        <w:rPr>
          <w:rFonts w:hint="eastAsia"/>
          <w:highlight w:val="none"/>
        </w:rPr>
        <w:t>（1）“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pPr>
        <w:pStyle w:val="211"/>
        <w:spacing w:line="360" w:lineRule="auto"/>
        <w:ind w:firstLine="480" w:firstLineChars="200"/>
        <w:jc w:val="both"/>
        <w:rPr>
          <w:highlight w:val="none"/>
        </w:rPr>
      </w:pPr>
      <w:r>
        <w:rPr>
          <w:rFonts w:hint="eastAsia"/>
          <w:highlight w:val="none"/>
        </w:rPr>
        <w:t>（2）根据《中华人民共和国</w:t>
      </w:r>
      <w:r>
        <w:rPr>
          <w:rFonts w:hint="eastAsia"/>
          <w:highlight w:val="none"/>
          <w:lang w:eastAsia="zh-CN"/>
        </w:rPr>
        <w:t>采购</w:t>
      </w:r>
      <w:r>
        <w:rPr>
          <w:rFonts w:hint="eastAsia"/>
          <w:highlight w:val="none"/>
        </w:rPr>
        <w:t>法实施条例》和《关于进一步规范</w:t>
      </w:r>
      <w:r>
        <w:rPr>
          <w:rFonts w:hint="eastAsia"/>
          <w:highlight w:val="none"/>
          <w:lang w:eastAsia="zh-CN"/>
        </w:rPr>
        <w:t>采购</w:t>
      </w:r>
      <w:r>
        <w:rPr>
          <w:rFonts w:hint="eastAsia"/>
          <w:highlight w:val="none"/>
        </w:rPr>
        <w:t>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11"/>
        <w:spacing w:line="360" w:lineRule="auto"/>
        <w:ind w:firstLine="480" w:firstLineChars="200"/>
        <w:jc w:val="both"/>
        <w:rPr>
          <w:highlight w:val="none"/>
        </w:rPr>
      </w:pPr>
      <w:r>
        <w:rPr>
          <w:rFonts w:hint="eastAsia"/>
          <w:highlight w:val="none"/>
        </w:rPr>
        <w:t>（3）中标候选人产生办法：投标文件满足招标文件全部实质性要求，评标委员会按照评审因素的量化指标评审，按评标综合的得分由高到低依次排序后均推荐为中标候选人。得分相同的投标人，投标平均取费费率低者排名在前，得分相同且投标平均取费费率也相同的并列。</w:t>
      </w:r>
    </w:p>
    <w:p>
      <w:pPr>
        <w:pStyle w:val="211"/>
        <w:spacing w:line="360" w:lineRule="auto"/>
        <w:jc w:val="both"/>
        <w:rPr>
          <w:highlight w:val="none"/>
        </w:rPr>
      </w:pPr>
      <w:r>
        <w:rPr>
          <w:rFonts w:hint="eastAsia"/>
          <w:highlight w:val="none"/>
        </w:rPr>
        <w:t>26.2.2最低评标价法</w:t>
      </w:r>
    </w:p>
    <w:p>
      <w:pPr>
        <w:pStyle w:val="211"/>
        <w:spacing w:line="360" w:lineRule="auto"/>
        <w:ind w:firstLine="480" w:firstLineChars="200"/>
        <w:jc w:val="both"/>
        <w:rPr>
          <w:highlight w:val="none"/>
        </w:rPr>
      </w:pPr>
      <w:r>
        <w:rPr>
          <w:rFonts w:hint="eastAsia"/>
          <w:highlight w:val="none"/>
        </w:rPr>
        <w:t>（1）最低评标价法，是指投标文件满足招标文件全部实质性要求，且投标报价最低的投标人为中标候选人的评标方法。采用最低评标价法评标时，除了算术修正和落实</w:t>
      </w:r>
      <w:r>
        <w:rPr>
          <w:rFonts w:hint="eastAsia"/>
          <w:highlight w:val="none"/>
          <w:lang w:eastAsia="zh-CN"/>
        </w:rPr>
        <w:t>采购</w:t>
      </w:r>
      <w:r>
        <w:rPr>
          <w:rFonts w:hint="eastAsia"/>
          <w:highlight w:val="none"/>
        </w:rPr>
        <w:t>政策需进行的价格扣除外，不能对投标人的投标价格进行任何调整。</w:t>
      </w:r>
    </w:p>
    <w:p>
      <w:pPr>
        <w:pStyle w:val="211"/>
        <w:spacing w:line="360" w:lineRule="auto"/>
        <w:ind w:firstLine="480" w:firstLineChars="200"/>
        <w:jc w:val="both"/>
        <w:rPr>
          <w:highlight w:val="none"/>
        </w:rPr>
      </w:pPr>
      <w:r>
        <w:rPr>
          <w:rFonts w:hint="eastAsia"/>
          <w:highlight w:val="none"/>
        </w:rPr>
        <w:t>（2）中标候选人产生办法：评标结果按投标报价由低到高顺序排列。投标报价相同的并列。投标文件满足招标文件全部实质性要求且投标报价最低的投标人为排名第一的中标候选人。</w:t>
      </w:r>
    </w:p>
    <w:p>
      <w:pPr>
        <w:pStyle w:val="211"/>
        <w:spacing w:line="360" w:lineRule="auto"/>
        <w:jc w:val="both"/>
        <w:rPr>
          <w:b/>
          <w:bCs/>
          <w:highlight w:val="none"/>
        </w:rPr>
      </w:pPr>
      <w:r>
        <w:rPr>
          <w:rFonts w:hint="eastAsia"/>
          <w:b/>
          <w:bCs/>
          <w:highlight w:val="none"/>
        </w:rPr>
        <w:t>27.其他注意事项</w:t>
      </w:r>
    </w:p>
    <w:p>
      <w:pPr>
        <w:pStyle w:val="211"/>
        <w:spacing w:line="360" w:lineRule="auto"/>
        <w:jc w:val="both"/>
        <w:rPr>
          <w:highlight w:val="none"/>
        </w:rPr>
      </w:pPr>
      <w:r>
        <w:rPr>
          <w:rFonts w:hint="eastAsia"/>
          <w:highlight w:val="none"/>
        </w:rPr>
        <w:t>27.1在开标、投标期间，投标人不得向评标委员会成员或采购代理机构询问评标情况、施加任何影响，不得进行旨在影响评标结果的活动。</w:t>
      </w:r>
    </w:p>
    <w:p>
      <w:pPr>
        <w:pStyle w:val="211"/>
        <w:spacing w:line="360" w:lineRule="auto"/>
        <w:jc w:val="both"/>
        <w:rPr>
          <w:highlight w:val="none"/>
        </w:rPr>
      </w:pPr>
      <w:r>
        <w:rPr>
          <w:rFonts w:hint="eastAsia"/>
          <w:highlight w:val="none"/>
        </w:rPr>
        <w:t>27.2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11"/>
        <w:spacing w:line="360" w:lineRule="auto"/>
        <w:jc w:val="both"/>
        <w:rPr>
          <w:highlight w:val="none"/>
        </w:rPr>
      </w:pPr>
      <w:r>
        <w:rPr>
          <w:rFonts w:hint="eastAsia"/>
          <w:highlight w:val="none"/>
        </w:rPr>
        <w:t>27.3本项目不接受赠品、回扣或者与采购无关的其他商品、服务。</w:t>
      </w:r>
    </w:p>
    <w:p>
      <w:pPr>
        <w:pStyle w:val="3"/>
        <w:rPr>
          <w:rFonts w:ascii="宋体" w:hAnsi="宋体" w:cs="宋体"/>
          <w:sz w:val="32"/>
          <w:szCs w:val="32"/>
          <w:highlight w:val="none"/>
        </w:rPr>
      </w:pPr>
      <w:bookmarkStart w:id="241" w:name="_Toc4089"/>
      <w:bookmarkStart w:id="242" w:name="_Toc1818"/>
      <w:bookmarkStart w:id="243" w:name="_Toc10928"/>
      <w:bookmarkStart w:id="244" w:name="_Toc15296"/>
      <w:bookmarkStart w:id="245" w:name="_Toc32678"/>
      <w:r>
        <w:rPr>
          <w:rFonts w:hint="eastAsia" w:ascii="宋体" w:hAnsi="宋体" w:cs="宋体"/>
          <w:sz w:val="32"/>
          <w:szCs w:val="32"/>
          <w:highlight w:val="none"/>
        </w:rPr>
        <w:t>五、中标</w:t>
      </w:r>
      <w:bookmarkEnd w:id="241"/>
      <w:bookmarkEnd w:id="242"/>
      <w:bookmarkEnd w:id="243"/>
      <w:bookmarkEnd w:id="244"/>
      <w:bookmarkEnd w:id="245"/>
      <w:bookmarkStart w:id="246" w:name="_Toc217446061"/>
    </w:p>
    <w:p>
      <w:pPr>
        <w:pStyle w:val="4"/>
        <w:jc w:val="both"/>
        <w:rPr>
          <w:rFonts w:ascii="宋体" w:hAnsi="宋体" w:cs="宋体"/>
          <w:sz w:val="24"/>
          <w:highlight w:val="none"/>
          <w:lang w:val="zh-CN"/>
        </w:rPr>
      </w:pPr>
      <w:bookmarkStart w:id="247" w:name="_Toc1369"/>
      <w:bookmarkStart w:id="248" w:name="_Toc17125"/>
      <w:bookmarkStart w:id="249" w:name="_Toc14742"/>
      <w:bookmarkStart w:id="250" w:name="_Toc25683"/>
      <w:bookmarkStart w:id="251" w:name="_Toc4921"/>
      <w:bookmarkStart w:id="252" w:name="_Toc4701"/>
      <w:r>
        <w:rPr>
          <w:rFonts w:hint="eastAsia" w:ascii="宋体" w:hAnsi="宋体" w:cs="宋体"/>
          <w:sz w:val="24"/>
          <w:highlight w:val="none"/>
          <w:lang w:val="zh-CN"/>
        </w:rPr>
        <w:t>2</w:t>
      </w:r>
      <w:r>
        <w:rPr>
          <w:rFonts w:hint="eastAsia" w:ascii="宋体" w:hAnsi="宋体" w:cs="宋体"/>
          <w:sz w:val="24"/>
          <w:highlight w:val="none"/>
        </w:rPr>
        <w:t>8</w:t>
      </w:r>
      <w:r>
        <w:rPr>
          <w:rFonts w:hint="eastAsia" w:ascii="宋体" w:hAnsi="宋体" w:cs="宋体"/>
          <w:sz w:val="24"/>
          <w:highlight w:val="none"/>
          <w:lang w:val="zh-CN"/>
        </w:rPr>
        <w:t>.</w:t>
      </w:r>
      <w:bookmarkEnd w:id="246"/>
      <w:r>
        <w:rPr>
          <w:rFonts w:hint="eastAsia" w:ascii="宋体" w:hAnsi="宋体" w:cs="宋体"/>
          <w:sz w:val="24"/>
          <w:highlight w:val="none"/>
          <w:lang w:val="zh-CN"/>
        </w:rPr>
        <w:t>中标人的确定</w:t>
      </w:r>
      <w:bookmarkEnd w:id="247"/>
      <w:bookmarkEnd w:id="248"/>
      <w:bookmarkEnd w:id="249"/>
      <w:bookmarkEnd w:id="250"/>
      <w:bookmarkEnd w:id="251"/>
      <w:bookmarkEnd w:id="252"/>
    </w:p>
    <w:p>
      <w:pPr>
        <w:pStyle w:val="211"/>
        <w:spacing w:line="360" w:lineRule="auto"/>
        <w:jc w:val="both"/>
        <w:rPr>
          <w:highlight w:val="none"/>
          <w:lang w:val="zh-CN"/>
        </w:rPr>
      </w:pPr>
      <w:r>
        <w:rPr>
          <w:rFonts w:hint="eastAsia"/>
          <w:highlight w:val="none"/>
        </w:rPr>
        <w:t>28.1</w:t>
      </w:r>
      <w:bookmarkStart w:id="253" w:name="_Toc217446062"/>
      <w:r>
        <w:rPr>
          <w:rFonts w:hint="eastAsia"/>
          <w:highlight w:val="none"/>
          <w:lang w:val="zh-CN"/>
        </w:rPr>
        <w:t>评委会将评标情况写出书面报告，推荐中标候选人，并按照综合得分高低标明排列顺序。综合得分相同的，按投标报价由低到高顺序排列。得分且投标报价相同的，按技术指标优劣顺序排列。</w:t>
      </w:r>
      <w:bookmarkEnd w:id="253"/>
      <w:bookmarkStart w:id="254" w:name="_Toc183682375"/>
      <w:bookmarkStart w:id="255" w:name="_Toc183582238"/>
      <w:bookmarkStart w:id="256" w:name="_Toc217446063"/>
    </w:p>
    <w:p>
      <w:pPr>
        <w:pStyle w:val="211"/>
        <w:spacing w:line="360" w:lineRule="auto"/>
        <w:jc w:val="both"/>
        <w:rPr>
          <w:highlight w:val="none"/>
        </w:rPr>
      </w:pPr>
      <w:r>
        <w:rPr>
          <w:rFonts w:hint="eastAsia"/>
          <w:highlight w:val="none"/>
        </w:rPr>
        <w:t>28.</w:t>
      </w:r>
      <w:r>
        <w:rPr>
          <w:rFonts w:hint="eastAsia"/>
          <w:highlight w:val="none"/>
          <w:lang w:val="en-US" w:eastAsia="zh-CN"/>
        </w:rPr>
        <w:t>2</w:t>
      </w:r>
      <w:r>
        <w:rPr>
          <w:highlight w:val="none"/>
        </w:rPr>
        <w:t>采购人可以事先授权评标委员会直接确定</w:t>
      </w:r>
      <w:r>
        <w:rPr>
          <w:rFonts w:hint="eastAsia"/>
          <w:highlight w:val="none"/>
        </w:rPr>
        <w:t>中标供应商</w:t>
      </w:r>
      <w:r>
        <w:rPr>
          <w:highlight w:val="none"/>
        </w:rPr>
        <w:t>。</w:t>
      </w:r>
    </w:p>
    <w:p>
      <w:pPr>
        <w:pStyle w:val="211"/>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lang w:val="en-US" w:eastAsia="zh-CN"/>
        </w:rPr>
        <w:t>3</w:t>
      </w:r>
      <w:r>
        <w:rPr>
          <w:rFonts w:hint="eastAsia"/>
          <w:highlight w:val="none"/>
          <w:lang w:val="zh-CN"/>
        </w:rPr>
        <w:t>采购人在收到评标报告后5个工作日内，按照评标报告中推荐的中标候选人顺序确定中标人。中标候选人并列的，由采购人确定中标人。采购人在收到评标报告5个工作日内未按评标报告推荐的中标候选人顺序确定中标人，又不能说明合法理由的，视同按评标报告推荐的顺序确定中标人。</w:t>
      </w:r>
    </w:p>
    <w:p>
      <w:pPr>
        <w:pStyle w:val="211"/>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rPr>
        <w:t>5</w:t>
      </w:r>
      <w:r>
        <w:rPr>
          <w:rFonts w:hint="eastAsia"/>
          <w:highlight w:val="none"/>
          <w:lang w:val="zh-CN"/>
        </w:rPr>
        <w:t>根据采购人确定的中标人</w:t>
      </w:r>
      <w:r>
        <w:rPr>
          <w:rFonts w:hint="eastAsia"/>
          <w:highlight w:val="none"/>
          <w:lang w:val="en-US" w:eastAsia="zh-CN"/>
        </w:rPr>
        <w:t>后</w:t>
      </w:r>
      <w:r>
        <w:rPr>
          <w:rFonts w:hint="eastAsia"/>
          <w:highlight w:val="none"/>
          <w:lang w:val="zh-CN"/>
        </w:rPr>
        <w:t>应当在2个工作日内在采购信息发布媒体上发布中标公告，中标公告期限为一个工作日，同时向中标人发出中标通知书。</w:t>
      </w:r>
    </w:p>
    <w:p>
      <w:pPr>
        <w:pStyle w:val="211"/>
        <w:spacing w:line="360" w:lineRule="auto"/>
        <w:jc w:val="both"/>
        <w:rPr>
          <w:highlight w:val="none"/>
          <w:lang w:val="zh-CN"/>
        </w:rPr>
      </w:pPr>
      <w:r>
        <w:rPr>
          <w:rFonts w:hint="eastAsia"/>
          <w:highlight w:val="none"/>
          <w:lang w:val="zh-CN"/>
        </w:rPr>
        <w:t>2</w:t>
      </w:r>
      <w:r>
        <w:rPr>
          <w:rFonts w:hint="eastAsia"/>
          <w:highlight w:val="none"/>
        </w:rPr>
        <w:t>8</w:t>
      </w:r>
      <w:r>
        <w:rPr>
          <w:rFonts w:hint="eastAsia"/>
          <w:highlight w:val="none"/>
          <w:lang w:val="zh-CN"/>
        </w:rPr>
        <w:t>.</w:t>
      </w:r>
      <w:r>
        <w:rPr>
          <w:rFonts w:hint="eastAsia"/>
          <w:highlight w:val="none"/>
        </w:rPr>
        <w:t>6</w:t>
      </w:r>
      <w:r>
        <w:rPr>
          <w:rFonts w:hint="eastAsia"/>
          <w:highlight w:val="none"/>
          <w:lang w:val="zh-CN"/>
        </w:rPr>
        <w:t>招标采购单位不解释中标或落标原因，不退回投标文件和其他投标资料。</w:t>
      </w:r>
    </w:p>
    <w:p>
      <w:pPr>
        <w:pStyle w:val="4"/>
        <w:jc w:val="both"/>
        <w:rPr>
          <w:rFonts w:ascii="宋体" w:hAnsi="宋体" w:cs="宋体"/>
          <w:sz w:val="24"/>
          <w:highlight w:val="none"/>
          <w:lang w:val="zh-CN"/>
        </w:rPr>
      </w:pPr>
      <w:bookmarkStart w:id="257" w:name="_Toc12552"/>
      <w:bookmarkStart w:id="258" w:name="_Toc20810"/>
      <w:bookmarkStart w:id="259" w:name="_Toc241"/>
      <w:bookmarkStart w:id="260" w:name="_Toc2943"/>
      <w:bookmarkStart w:id="261" w:name="_Toc13120"/>
      <w:bookmarkStart w:id="262" w:name="_Toc25170"/>
      <w:r>
        <w:rPr>
          <w:rFonts w:hint="eastAsia" w:ascii="宋体" w:hAnsi="宋体" w:cs="宋体"/>
          <w:sz w:val="24"/>
          <w:highlight w:val="none"/>
          <w:lang w:val="zh-CN"/>
        </w:rPr>
        <w:t>2</w:t>
      </w:r>
      <w:r>
        <w:rPr>
          <w:rFonts w:hint="eastAsia" w:ascii="宋体" w:hAnsi="宋体" w:cs="宋体"/>
          <w:sz w:val="24"/>
          <w:highlight w:val="none"/>
        </w:rPr>
        <w:t>9</w:t>
      </w:r>
      <w:r>
        <w:rPr>
          <w:rFonts w:hint="eastAsia" w:ascii="宋体" w:hAnsi="宋体" w:cs="宋体"/>
          <w:sz w:val="24"/>
          <w:highlight w:val="none"/>
          <w:lang w:val="zh-CN"/>
        </w:rPr>
        <w:t>．中标通知</w:t>
      </w:r>
      <w:bookmarkEnd w:id="254"/>
      <w:bookmarkEnd w:id="255"/>
      <w:r>
        <w:rPr>
          <w:rFonts w:hint="eastAsia" w:ascii="宋体" w:hAnsi="宋体" w:cs="宋体"/>
          <w:sz w:val="24"/>
          <w:highlight w:val="none"/>
          <w:lang w:val="zh-CN"/>
        </w:rPr>
        <w:t>书</w:t>
      </w:r>
      <w:bookmarkEnd w:id="256"/>
      <w:bookmarkEnd w:id="257"/>
      <w:bookmarkEnd w:id="258"/>
      <w:bookmarkEnd w:id="259"/>
      <w:bookmarkEnd w:id="260"/>
      <w:bookmarkEnd w:id="261"/>
      <w:bookmarkEnd w:id="262"/>
    </w:p>
    <w:p>
      <w:pPr>
        <w:pStyle w:val="211"/>
        <w:spacing w:line="360" w:lineRule="auto"/>
        <w:jc w:val="both"/>
        <w:rPr>
          <w:highlight w:val="none"/>
          <w:lang w:val="zh-CN"/>
        </w:rPr>
      </w:pPr>
      <w:r>
        <w:rPr>
          <w:rFonts w:hint="eastAsia"/>
          <w:highlight w:val="none"/>
          <w:lang w:val="zh-CN"/>
        </w:rPr>
        <w:t>2</w:t>
      </w:r>
      <w:r>
        <w:rPr>
          <w:rFonts w:hint="eastAsia"/>
          <w:highlight w:val="none"/>
        </w:rPr>
        <w:t>9</w:t>
      </w:r>
      <w:r>
        <w:rPr>
          <w:rFonts w:hint="eastAsia"/>
          <w:highlight w:val="none"/>
          <w:lang w:val="zh-CN"/>
        </w:rPr>
        <w:t>.1中标供应商须向</w:t>
      </w:r>
      <w:r>
        <w:rPr>
          <w:rFonts w:hint="eastAsia"/>
          <w:highlight w:val="none"/>
          <w:lang w:val="en-US" w:eastAsia="zh-CN"/>
        </w:rPr>
        <w:t>采购人</w:t>
      </w:r>
      <w:r>
        <w:rPr>
          <w:rFonts w:hint="eastAsia"/>
          <w:highlight w:val="none"/>
          <w:lang w:val="zh-CN"/>
        </w:rPr>
        <w:t>领取中标通知书。</w:t>
      </w:r>
    </w:p>
    <w:p>
      <w:pPr>
        <w:pStyle w:val="211"/>
        <w:spacing w:line="360" w:lineRule="auto"/>
        <w:jc w:val="both"/>
        <w:rPr>
          <w:highlight w:val="none"/>
          <w:lang w:val="zh-CN"/>
        </w:rPr>
      </w:pPr>
      <w:r>
        <w:rPr>
          <w:rFonts w:hint="eastAsia"/>
          <w:highlight w:val="none"/>
        </w:rPr>
        <w:t>29.2</w:t>
      </w:r>
      <w:r>
        <w:rPr>
          <w:rFonts w:hint="eastAsia"/>
          <w:highlight w:val="none"/>
          <w:lang w:val="zh-CN"/>
        </w:rPr>
        <w:t>中标通知书为签订采购合同的依据，是合同的有效组成部分。</w:t>
      </w:r>
    </w:p>
    <w:p>
      <w:pPr>
        <w:pStyle w:val="211"/>
        <w:spacing w:line="360" w:lineRule="auto"/>
        <w:jc w:val="both"/>
        <w:rPr>
          <w:highlight w:val="none"/>
          <w:lang w:val="zh-CN"/>
        </w:rPr>
      </w:pPr>
      <w:r>
        <w:rPr>
          <w:rFonts w:hint="eastAsia"/>
          <w:highlight w:val="none"/>
          <w:lang w:val="zh-CN"/>
        </w:rPr>
        <w:t>2</w:t>
      </w:r>
      <w:r>
        <w:rPr>
          <w:rFonts w:hint="eastAsia"/>
          <w:highlight w:val="none"/>
        </w:rPr>
        <w:t>9</w:t>
      </w:r>
      <w:r>
        <w:rPr>
          <w:rFonts w:hint="eastAsia"/>
          <w:highlight w:val="none"/>
          <w:lang w:val="zh-CN"/>
        </w:rPr>
        <w:t>.</w:t>
      </w:r>
      <w:r>
        <w:rPr>
          <w:rFonts w:hint="eastAsia"/>
          <w:highlight w:val="none"/>
        </w:rPr>
        <w:t>3</w:t>
      </w:r>
      <w:r>
        <w:rPr>
          <w:rFonts w:hint="eastAsia"/>
          <w:highlight w:val="none"/>
          <w:lang w:val="zh-CN"/>
        </w:rPr>
        <w:t>中标通知书对采购人和中标人均具有法律效力。中标通知书发出后，采购人不得违法改变中标结果，中标人无正当理由不得放弃中标。</w:t>
      </w:r>
    </w:p>
    <w:p>
      <w:pPr>
        <w:pStyle w:val="211"/>
        <w:spacing w:line="360" w:lineRule="auto"/>
        <w:jc w:val="both"/>
        <w:rPr>
          <w:highlight w:val="none"/>
        </w:rPr>
      </w:pPr>
      <w:r>
        <w:rPr>
          <w:rFonts w:hint="eastAsia"/>
          <w:highlight w:val="none"/>
          <w:lang w:val="zh-CN"/>
        </w:rPr>
        <w:t>2</w:t>
      </w:r>
      <w:r>
        <w:rPr>
          <w:rFonts w:hint="eastAsia"/>
          <w:highlight w:val="none"/>
        </w:rPr>
        <w:t>9</w:t>
      </w:r>
      <w:r>
        <w:rPr>
          <w:rFonts w:hint="eastAsia"/>
          <w:highlight w:val="none"/>
          <w:lang w:val="zh-CN"/>
        </w:rPr>
        <w:t>.</w:t>
      </w:r>
      <w:r>
        <w:rPr>
          <w:rFonts w:hint="eastAsia"/>
          <w:highlight w:val="none"/>
        </w:rPr>
        <w:t>4采购人应当自中标通知书发出之日起 30 日内，按照招标文件和中标人投标文件的规定，与中标人签订书面合同。</w:t>
      </w:r>
    </w:p>
    <w:p>
      <w:pPr>
        <w:pStyle w:val="211"/>
        <w:spacing w:line="360" w:lineRule="auto"/>
        <w:jc w:val="both"/>
        <w:rPr>
          <w:highlight w:val="none"/>
          <w:lang w:val="zh-CN"/>
        </w:rPr>
      </w:pPr>
      <w:r>
        <w:rPr>
          <w:rFonts w:hint="eastAsia"/>
          <w:highlight w:val="none"/>
        </w:rPr>
        <w:t>29.5</w:t>
      </w:r>
      <w:r>
        <w:rPr>
          <w:rFonts w:hint="eastAsia"/>
          <w:highlight w:val="none"/>
          <w:lang w:val="zh-CN"/>
        </w:rPr>
        <w:t>中标人的投标文件本应作为无效投标处理或者有采购法律法规规章制度规定的中标无效情形的，采购人在取得有权主体的认定以后，应当宣布发出的中标通知书无效，并收回发出的中标通知书（中标人也应当缴回），依法重新确定中标人或者重新开展采购活动。</w:t>
      </w:r>
      <w:bookmarkStart w:id="263" w:name="_Toc217446064"/>
      <w:bookmarkStart w:id="264" w:name="_Toc183682377"/>
      <w:bookmarkStart w:id="265" w:name="_Toc183582240"/>
    </w:p>
    <w:p>
      <w:pPr>
        <w:pStyle w:val="3"/>
        <w:rPr>
          <w:rFonts w:ascii="宋体" w:hAnsi="宋体" w:cs="宋体"/>
          <w:sz w:val="32"/>
          <w:szCs w:val="32"/>
          <w:highlight w:val="none"/>
        </w:rPr>
      </w:pPr>
      <w:bookmarkStart w:id="266" w:name="_Toc19953"/>
      <w:bookmarkStart w:id="267" w:name="_Toc24879"/>
      <w:bookmarkStart w:id="268" w:name="_Toc9774"/>
      <w:bookmarkStart w:id="269" w:name="_Toc2668"/>
      <w:bookmarkStart w:id="270" w:name="_Toc30758"/>
      <w:r>
        <w:rPr>
          <w:rFonts w:hint="eastAsia" w:ascii="宋体" w:hAnsi="宋体" w:cs="宋体"/>
          <w:sz w:val="32"/>
          <w:szCs w:val="32"/>
          <w:highlight w:val="none"/>
        </w:rPr>
        <w:t>六、签订及履行合同</w:t>
      </w:r>
      <w:bookmarkEnd w:id="263"/>
      <w:bookmarkEnd w:id="266"/>
      <w:bookmarkEnd w:id="267"/>
      <w:bookmarkEnd w:id="268"/>
      <w:bookmarkEnd w:id="269"/>
      <w:bookmarkEnd w:id="270"/>
      <w:bookmarkStart w:id="271" w:name="_Toc217446065"/>
    </w:p>
    <w:p>
      <w:pPr>
        <w:pStyle w:val="4"/>
        <w:jc w:val="both"/>
        <w:rPr>
          <w:rFonts w:ascii="宋体" w:hAnsi="宋体" w:cs="宋体"/>
          <w:sz w:val="24"/>
          <w:highlight w:val="none"/>
          <w:lang w:val="zh-CN"/>
        </w:rPr>
      </w:pPr>
      <w:bookmarkStart w:id="272" w:name="_Toc21150"/>
      <w:bookmarkStart w:id="273" w:name="_Toc6977"/>
      <w:bookmarkStart w:id="274" w:name="_Toc26668"/>
      <w:bookmarkStart w:id="275" w:name="_Toc3372"/>
      <w:bookmarkStart w:id="276" w:name="_Toc1883"/>
      <w:bookmarkStart w:id="277" w:name="_Toc13545"/>
      <w:r>
        <w:rPr>
          <w:rFonts w:hint="eastAsia" w:ascii="宋体" w:hAnsi="宋体" w:cs="宋体"/>
          <w:sz w:val="24"/>
          <w:highlight w:val="none"/>
        </w:rPr>
        <w:t>30</w:t>
      </w:r>
      <w:r>
        <w:rPr>
          <w:rFonts w:hint="eastAsia" w:ascii="宋体" w:hAnsi="宋体" w:cs="宋体"/>
          <w:sz w:val="24"/>
          <w:highlight w:val="none"/>
          <w:lang w:val="zh-CN"/>
        </w:rPr>
        <w:t>.签订合同</w:t>
      </w:r>
      <w:bookmarkEnd w:id="271"/>
      <w:bookmarkEnd w:id="272"/>
      <w:bookmarkEnd w:id="273"/>
      <w:bookmarkEnd w:id="274"/>
      <w:bookmarkEnd w:id="275"/>
      <w:bookmarkEnd w:id="276"/>
      <w:bookmarkEnd w:id="277"/>
    </w:p>
    <w:p>
      <w:pPr>
        <w:pStyle w:val="211"/>
        <w:spacing w:line="360" w:lineRule="auto"/>
        <w:jc w:val="both"/>
        <w:rPr>
          <w:highlight w:val="none"/>
          <w:lang w:val="zh-CN"/>
        </w:rPr>
      </w:pPr>
      <w:r>
        <w:rPr>
          <w:rFonts w:hint="eastAsia"/>
          <w:highlight w:val="none"/>
        </w:rPr>
        <w:t>30</w:t>
      </w:r>
      <w:r>
        <w:rPr>
          <w:rFonts w:hint="eastAsia"/>
          <w:highlight w:val="none"/>
          <w:lang w:val="zh-CN"/>
        </w:rPr>
        <w:t>.1中标人在收到代理机构发出的《中标通知书》后，应在招标文件规定的时间内与采购人签订采购合同。由于中标人的原因拒绝与采购人签订采购合同的，将视为放弃中标，取消其中标资格并将按相关规定追究其法律责任。采购人可以按照评标报告推荐的中标候选人名单排序，确定下一候选人为中标人，也可以重新开展采购活动。</w:t>
      </w:r>
    </w:p>
    <w:p>
      <w:pPr>
        <w:pStyle w:val="211"/>
        <w:spacing w:line="360" w:lineRule="auto"/>
        <w:jc w:val="both"/>
        <w:rPr>
          <w:highlight w:val="none"/>
          <w:lang w:val="zh-CN"/>
        </w:rPr>
      </w:pPr>
      <w:r>
        <w:rPr>
          <w:rFonts w:hint="eastAsia"/>
          <w:highlight w:val="none"/>
        </w:rPr>
        <w:t>30</w:t>
      </w:r>
      <w:r>
        <w:rPr>
          <w:rFonts w:hint="eastAsia"/>
          <w:highlight w:val="none"/>
          <w:lang w:val="zh-CN"/>
        </w:rPr>
        <w:t>.2采购人不得向中标人提出任何不合理的要求，作为签订合同的条件，不得与中标人私下订立背离合同实质性内容的任何协议，所签订的合同不得对招标文件和中标人投标文件作实质性修改。</w:t>
      </w:r>
    </w:p>
    <w:p>
      <w:pPr>
        <w:pStyle w:val="211"/>
        <w:spacing w:line="360" w:lineRule="auto"/>
        <w:jc w:val="both"/>
        <w:rPr>
          <w:highlight w:val="none"/>
          <w:lang w:val="zh-CN"/>
        </w:rPr>
      </w:pPr>
      <w:r>
        <w:rPr>
          <w:rFonts w:hint="eastAsia"/>
          <w:highlight w:val="none"/>
        </w:rPr>
        <w:t>30</w:t>
      </w:r>
      <w:r>
        <w:rPr>
          <w:rFonts w:hint="eastAsia"/>
          <w:highlight w:val="none"/>
          <w:lang w:val="zh-CN"/>
        </w:rPr>
        <w:t>.3中标人因不可抗力原因不能履行采购合同或放弃中标的，采购人可以与排在中标人之后第一位的中标候选人签订采购合同，以此类推。</w:t>
      </w:r>
    </w:p>
    <w:p>
      <w:pPr>
        <w:pStyle w:val="211"/>
        <w:spacing w:line="360" w:lineRule="auto"/>
        <w:jc w:val="both"/>
        <w:rPr>
          <w:highlight w:val="none"/>
          <w:lang w:val="zh-CN"/>
        </w:rPr>
      </w:pPr>
      <w:r>
        <w:rPr>
          <w:rFonts w:hint="eastAsia"/>
          <w:highlight w:val="none"/>
        </w:rPr>
        <w:t>30</w:t>
      </w:r>
      <w:r>
        <w:rPr>
          <w:rFonts w:hint="eastAsia"/>
          <w:highlight w:val="none"/>
          <w:lang w:val="zh-CN"/>
        </w:rPr>
        <w:t>.4中标人在合同签订之后三个工作日内，将签订的合同（一式五份）送采购人审核。</w:t>
      </w:r>
      <w:bookmarkStart w:id="278" w:name="_Toc217446066"/>
    </w:p>
    <w:p>
      <w:pPr>
        <w:pStyle w:val="4"/>
        <w:jc w:val="both"/>
        <w:rPr>
          <w:rFonts w:ascii="宋体" w:hAnsi="宋体" w:cs="宋体"/>
          <w:sz w:val="24"/>
          <w:highlight w:val="none"/>
          <w:lang w:val="zh-CN"/>
        </w:rPr>
      </w:pPr>
      <w:bookmarkStart w:id="279" w:name="_Toc32157"/>
      <w:bookmarkStart w:id="280" w:name="_Toc21450"/>
      <w:bookmarkStart w:id="281" w:name="_Toc19056"/>
      <w:bookmarkStart w:id="282" w:name="_Toc19334"/>
      <w:bookmarkStart w:id="283" w:name="_Toc9553"/>
      <w:bookmarkStart w:id="284" w:name="_Toc19335"/>
      <w:r>
        <w:rPr>
          <w:rFonts w:hint="eastAsia" w:ascii="宋体" w:hAnsi="宋体" w:cs="宋体"/>
          <w:sz w:val="24"/>
          <w:highlight w:val="none"/>
        </w:rPr>
        <w:t>31</w:t>
      </w:r>
      <w:r>
        <w:rPr>
          <w:rFonts w:hint="eastAsia" w:ascii="宋体" w:hAnsi="宋体" w:cs="宋体"/>
          <w:sz w:val="24"/>
          <w:highlight w:val="none"/>
          <w:lang w:val="zh-CN"/>
        </w:rPr>
        <w:t>.合同分包</w:t>
      </w:r>
      <w:bookmarkEnd w:id="278"/>
      <w:bookmarkEnd w:id="279"/>
      <w:bookmarkEnd w:id="280"/>
      <w:bookmarkEnd w:id="281"/>
      <w:bookmarkEnd w:id="282"/>
      <w:bookmarkEnd w:id="283"/>
      <w:bookmarkEnd w:id="284"/>
    </w:p>
    <w:p>
      <w:pPr>
        <w:pStyle w:val="211"/>
        <w:spacing w:line="360" w:lineRule="auto"/>
        <w:jc w:val="both"/>
        <w:rPr>
          <w:highlight w:val="none"/>
        </w:rPr>
      </w:pPr>
      <w:r>
        <w:rPr>
          <w:rFonts w:hint="eastAsia"/>
          <w:highlight w:val="none"/>
        </w:rPr>
        <w:t>31</w:t>
      </w:r>
      <w:r>
        <w:rPr>
          <w:rFonts w:hint="eastAsia"/>
          <w:highlight w:val="none"/>
          <w:lang w:val="zh-CN"/>
        </w:rPr>
        <w:t>.1</w:t>
      </w:r>
      <w:r>
        <w:rPr>
          <w:rFonts w:hint="eastAsia"/>
          <w:highlight w:val="none"/>
        </w:rPr>
        <w:t>未经采购人同意，中标人不得分包合同。</w:t>
      </w:r>
    </w:p>
    <w:p>
      <w:pPr>
        <w:pStyle w:val="211"/>
        <w:spacing w:line="360" w:lineRule="auto"/>
        <w:jc w:val="both"/>
        <w:rPr>
          <w:highlight w:val="none"/>
          <w:lang w:val="zh-CN"/>
        </w:rPr>
      </w:pPr>
      <w:r>
        <w:rPr>
          <w:rFonts w:hint="eastAsia"/>
          <w:highlight w:val="none"/>
        </w:rPr>
        <w:t>31.2</w:t>
      </w:r>
      <w:r>
        <w:rPr>
          <w:rFonts w:hint="eastAsia"/>
          <w:highlight w:val="none"/>
          <w:lang w:val="zh-CN"/>
        </w:rPr>
        <w:t>经采购人同意，中标人可对中标项目的非主体部分采取分包方式履行合同。这种要求应当在合同签订之前征得采购人同意，并且分包投标人履行的分包项目的品牌、规格型号及技术要求等，必须与中标的一致。</w:t>
      </w:r>
    </w:p>
    <w:p>
      <w:pPr>
        <w:pStyle w:val="211"/>
        <w:spacing w:line="360" w:lineRule="auto"/>
        <w:jc w:val="both"/>
        <w:rPr>
          <w:sz w:val="21"/>
          <w:szCs w:val="21"/>
          <w:highlight w:val="none"/>
          <w:lang w:val="zh-CN"/>
        </w:rPr>
      </w:pPr>
      <w:r>
        <w:rPr>
          <w:rFonts w:hint="eastAsia"/>
          <w:highlight w:val="none"/>
        </w:rPr>
        <w:t>31</w:t>
      </w:r>
      <w:r>
        <w:rPr>
          <w:rFonts w:hint="eastAsia"/>
          <w:highlight w:val="none"/>
          <w:lang w:val="zh-CN"/>
        </w:rPr>
        <w:t>.</w:t>
      </w:r>
      <w:r>
        <w:rPr>
          <w:rFonts w:hint="eastAsia"/>
          <w:highlight w:val="none"/>
        </w:rPr>
        <w:t>3</w:t>
      </w:r>
      <w:r>
        <w:rPr>
          <w:rFonts w:hint="eastAsia"/>
          <w:highlight w:val="none"/>
          <w:lang w:val="zh-CN"/>
        </w:rPr>
        <w:t>采购合同实行分包履行的，中标人就采购项目和分包项目向采购人负责，分包投标人就分包项目承担责任。</w:t>
      </w:r>
      <w:bookmarkStart w:id="285" w:name="_Toc217446067"/>
    </w:p>
    <w:p>
      <w:pPr>
        <w:pStyle w:val="4"/>
        <w:jc w:val="both"/>
        <w:rPr>
          <w:rFonts w:ascii="宋体" w:hAnsi="宋体" w:cs="宋体"/>
          <w:sz w:val="24"/>
          <w:highlight w:val="none"/>
          <w:lang w:val="zh-CN"/>
        </w:rPr>
      </w:pPr>
      <w:bookmarkStart w:id="286" w:name="_Toc22507"/>
      <w:bookmarkStart w:id="287" w:name="_Toc9183"/>
      <w:bookmarkStart w:id="288" w:name="_Toc13021"/>
      <w:bookmarkStart w:id="289" w:name="_Toc27597"/>
      <w:bookmarkStart w:id="290" w:name="_Toc8836"/>
      <w:bookmarkStart w:id="291" w:name="_Toc8108"/>
      <w:r>
        <w:rPr>
          <w:rFonts w:hint="eastAsia" w:ascii="宋体" w:hAnsi="宋体" w:cs="宋体"/>
          <w:sz w:val="24"/>
          <w:highlight w:val="none"/>
        </w:rPr>
        <w:t>32</w:t>
      </w:r>
      <w:r>
        <w:rPr>
          <w:rFonts w:hint="eastAsia" w:ascii="宋体" w:hAnsi="宋体" w:cs="宋体"/>
          <w:sz w:val="24"/>
          <w:highlight w:val="none"/>
          <w:lang w:val="zh-CN"/>
        </w:rPr>
        <w:t>.采购人增加合同标的权</w:t>
      </w:r>
      <w:bookmarkEnd w:id="285"/>
      <w:r>
        <w:rPr>
          <w:rFonts w:hint="eastAsia" w:ascii="宋体" w:hAnsi="宋体" w:cs="宋体"/>
          <w:sz w:val="24"/>
          <w:highlight w:val="none"/>
          <w:lang w:val="zh-CN"/>
        </w:rPr>
        <w:t>利</w:t>
      </w:r>
      <w:bookmarkEnd w:id="286"/>
      <w:bookmarkEnd w:id="287"/>
      <w:bookmarkEnd w:id="288"/>
      <w:bookmarkEnd w:id="289"/>
      <w:bookmarkEnd w:id="290"/>
      <w:bookmarkEnd w:id="291"/>
    </w:p>
    <w:p>
      <w:pPr>
        <w:pStyle w:val="211"/>
        <w:spacing w:line="360" w:lineRule="auto"/>
        <w:jc w:val="both"/>
        <w:rPr>
          <w:highlight w:val="none"/>
          <w:lang w:val="zh-CN"/>
        </w:rPr>
      </w:pPr>
      <w:r>
        <w:rPr>
          <w:rFonts w:hint="eastAsia"/>
          <w:highlight w:val="none"/>
        </w:rPr>
        <w:t>32.1</w:t>
      </w:r>
      <w:r>
        <w:rPr>
          <w:rFonts w:hint="eastAsia"/>
          <w:highlight w:val="none"/>
          <w:lang w:val="zh-CN"/>
        </w:rPr>
        <w:t>采购合同履行过程中，采购人需要追加与合同标的相同的货物或者服务的，在不改变合同其他条款的前提下，可以与中标供应商协商签订补充合同，但所有补充合同的采购金额不得超过原合同采购金额的10%。</w:t>
      </w:r>
      <w:bookmarkStart w:id="292" w:name="_Toc217446068"/>
    </w:p>
    <w:bookmarkEnd w:id="292"/>
    <w:p>
      <w:pPr>
        <w:pStyle w:val="4"/>
        <w:jc w:val="both"/>
        <w:rPr>
          <w:rFonts w:ascii="宋体" w:hAnsi="宋体" w:cs="宋体"/>
          <w:sz w:val="24"/>
          <w:highlight w:val="none"/>
          <w:lang w:val="zh-CN"/>
        </w:rPr>
      </w:pPr>
      <w:bookmarkStart w:id="293" w:name="_Toc217446069"/>
      <w:bookmarkStart w:id="294" w:name="_Toc11603"/>
      <w:bookmarkStart w:id="295" w:name="_Toc9696"/>
      <w:bookmarkStart w:id="296" w:name="_Toc5335"/>
      <w:bookmarkStart w:id="297" w:name="_Toc17948"/>
      <w:bookmarkStart w:id="298" w:name="_Toc7781"/>
      <w:bookmarkStart w:id="299" w:name="_Toc14355"/>
      <w:r>
        <w:rPr>
          <w:rFonts w:hint="eastAsia" w:ascii="宋体" w:hAnsi="宋体" w:cs="宋体"/>
          <w:sz w:val="24"/>
          <w:highlight w:val="none"/>
        </w:rPr>
        <w:t>33</w:t>
      </w:r>
      <w:r>
        <w:rPr>
          <w:rFonts w:hint="eastAsia" w:ascii="宋体" w:hAnsi="宋体" w:cs="宋体"/>
          <w:sz w:val="24"/>
          <w:highlight w:val="none"/>
          <w:lang w:val="zh-CN"/>
        </w:rPr>
        <w:t>.履行合同</w:t>
      </w:r>
      <w:bookmarkEnd w:id="293"/>
      <w:bookmarkEnd w:id="294"/>
      <w:bookmarkEnd w:id="295"/>
      <w:bookmarkEnd w:id="296"/>
      <w:bookmarkEnd w:id="297"/>
      <w:bookmarkEnd w:id="298"/>
      <w:bookmarkEnd w:id="299"/>
    </w:p>
    <w:p>
      <w:pPr>
        <w:pStyle w:val="211"/>
        <w:spacing w:line="360" w:lineRule="auto"/>
        <w:jc w:val="both"/>
        <w:rPr>
          <w:highlight w:val="none"/>
          <w:lang w:val="zh-CN"/>
        </w:rPr>
      </w:pPr>
      <w:r>
        <w:rPr>
          <w:rFonts w:hint="eastAsia"/>
          <w:highlight w:val="none"/>
        </w:rPr>
        <w:t>33</w:t>
      </w:r>
      <w:r>
        <w:rPr>
          <w:rFonts w:hint="eastAsia"/>
          <w:highlight w:val="none"/>
          <w:lang w:val="zh-CN"/>
        </w:rPr>
        <w:t>.1中标人与采购人签订合同后，合同双方应严格执行合同条款，履行合同规定的义务，保证合同的顺利完成。</w:t>
      </w:r>
    </w:p>
    <w:p>
      <w:pPr>
        <w:pStyle w:val="211"/>
        <w:spacing w:line="360" w:lineRule="auto"/>
        <w:jc w:val="both"/>
        <w:rPr>
          <w:highlight w:val="none"/>
          <w:lang w:val="zh-CN"/>
        </w:rPr>
      </w:pPr>
      <w:r>
        <w:rPr>
          <w:rFonts w:hint="eastAsia"/>
          <w:highlight w:val="none"/>
        </w:rPr>
        <w:t>33</w:t>
      </w:r>
      <w:r>
        <w:rPr>
          <w:rFonts w:hint="eastAsia"/>
          <w:highlight w:val="none"/>
          <w:lang w:val="zh-CN"/>
        </w:rPr>
        <w:t>.2在合同履行过程中，如发生合同纠纷，合同双方应按照《合同法》的有关规定进行处理。</w:t>
      </w:r>
      <w:bookmarkStart w:id="300" w:name="_Toc217446071"/>
    </w:p>
    <w:p>
      <w:pPr>
        <w:pStyle w:val="3"/>
        <w:rPr>
          <w:rFonts w:ascii="宋体" w:hAnsi="宋体" w:cs="宋体"/>
          <w:sz w:val="32"/>
          <w:szCs w:val="32"/>
          <w:highlight w:val="none"/>
        </w:rPr>
      </w:pPr>
      <w:bookmarkStart w:id="301" w:name="_Toc12481"/>
      <w:bookmarkStart w:id="302" w:name="_Toc4015"/>
      <w:bookmarkStart w:id="303" w:name="_Toc13101"/>
      <w:bookmarkStart w:id="304" w:name="_Toc5712"/>
      <w:bookmarkStart w:id="305" w:name="_Toc10066"/>
      <w:r>
        <w:rPr>
          <w:rFonts w:hint="eastAsia" w:ascii="宋体" w:hAnsi="宋体" w:cs="宋体"/>
          <w:sz w:val="32"/>
          <w:szCs w:val="32"/>
          <w:highlight w:val="none"/>
        </w:rPr>
        <w:t>七、废标</w:t>
      </w:r>
      <w:bookmarkEnd w:id="264"/>
      <w:bookmarkEnd w:id="265"/>
      <w:bookmarkEnd w:id="300"/>
      <w:bookmarkStart w:id="306" w:name="_Toc217446072"/>
      <w:bookmarkStart w:id="307" w:name="_Toc183582243"/>
      <w:bookmarkStart w:id="308" w:name="_Toc183682380"/>
      <w:r>
        <w:rPr>
          <w:rFonts w:hint="eastAsia" w:ascii="宋体" w:hAnsi="宋体" w:cs="宋体"/>
          <w:sz w:val="32"/>
          <w:szCs w:val="32"/>
          <w:highlight w:val="none"/>
        </w:rPr>
        <w:t>和串通投标</w:t>
      </w:r>
      <w:bookmarkEnd w:id="301"/>
      <w:bookmarkEnd w:id="302"/>
      <w:bookmarkEnd w:id="303"/>
      <w:bookmarkEnd w:id="304"/>
      <w:bookmarkEnd w:id="305"/>
    </w:p>
    <w:p>
      <w:pPr>
        <w:pStyle w:val="4"/>
        <w:jc w:val="both"/>
        <w:rPr>
          <w:rFonts w:ascii="宋体" w:hAnsi="宋体" w:cs="宋体"/>
          <w:sz w:val="24"/>
          <w:highlight w:val="none"/>
          <w:lang w:val="zh-CN"/>
        </w:rPr>
      </w:pPr>
      <w:bookmarkStart w:id="309" w:name="_Toc30781"/>
      <w:bookmarkStart w:id="310" w:name="_Toc19778"/>
      <w:bookmarkStart w:id="311" w:name="_Toc14513"/>
      <w:bookmarkStart w:id="312" w:name="_Toc17057"/>
      <w:bookmarkStart w:id="313" w:name="_Toc15464"/>
      <w:bookmarkStart w:id="314" w:name="_Toc16307"/>
      <w:r>
        <w:rPr>
          <w:rFonts w:hint="eastAsia" w:ascii="宋体" w:hAnsi="宋体" w:cs="宋体"/>
          <w:sz w:val="24"/>
          <w:highlight w:val="none"/>
          <w:lang w:val="zh-CN"/>
        </w:rPr>
        <w:t>3</w:t>
      </w:r>
      <w:r>
        <w:rPr>
          <w:rFonts w:hint="eastAsia" w:ascii="宋体" w:hAnsi="宋体" w:cs="宋体"/>
          <w:sz w:val="24"/>
          <w:highlight w:val="none"/>
        </w:rPr>
        <w:t>4</w:t>
      </w:r>
      <w:r>
        <w:rPr>
          <w:rFonts w:hint="eastAsia" w:ascii="宋体" w:hAnsi="宋体" w:cs="宋体"/>
          <w:sz w:val="24"/>
          <w:highlight w:val="none"/>
          <w:lang w:val="zh-CN"/>
        </w:rPr>
        <w:t>.废标的情形</w:t>
      </w:r>
      <w:bookmarkEnd w:id="306"/>
      <w:bookmarkEnd w:id="309"/>
      <w:bookmarkEnd w:id="310"/>
      <w:bookmarkEnd w:id="311"/>
      <w:bookmarkEnd w:id="312"/>
      <w:bookmarkEnd w:id="313"/>
      <w:bookmarkEnd w:id="314"/>
    </w:p>
    <w:p>
      <w:pPr>
        <w:pStyle w:val="211"/>
        <w:spacing w:line="360" w:lineRule="auto"/>
        <w:jc w:val="both"/>
        <w:rPr>
          <w:highlight w:val="none"/>
          <w:lang w:val="zh-CN"/>
        </w:rPr>
      </w:pPr>
      <w:r>
        <w:rPr>
          <w:rFonts w:hint="eastAsia"/>
          <w:highlight w:val="none"/>
        </w:rPr>
        <w:t>34.1</w:t>
      </w:r>
      <w:r>
        <w:rPr>
          <w:rFonts w:hint="eastAsia"/>
          <w:highlight w:val="none"/>
          <w:lang w:val="zh-CN"/>
        </w:rPr>
        <w:t>招标采购中，出现下列情形之一的，予以废标：</w:t>
      </w:r>
    </w:p>
    <w:p>
      <w:pPr>
        <w:pStyle w:val="211"/>
        <w:spacing w:line="360" w:lineRule="auto"/>
        <w:ind w:firstLine="480" w:firstLineChars="200"/>
        <w:jc w:val="both"/>
        <w:rPr>
          <w:highlight w:val="none"/>
          <w:lang w:val="zh-CN"/>
        </w:rPr>
      </w:pPr>
      <w:r>
        <w:rPr>
          <w:rFonts w:hint="eastAsia"/>
          <w:highlight w:val="none"/>
          <w:lang w:val="zh-CN"/>
        </w:rPr>
        <w:t>（1）符合专业条件的投标人或者对招标文件作实质响应的投标人不足三家的；</w:t>
      </w:r>
    </w:p>
    <w:p>
      <w:pPr>
        <w:pStyle w:val="211"/>
        <w:spacing w:line="360" w:lineRule="auto"/>
        <w:ind w:firstLine="480" w:firstLineChars="200"/>
        <w:jc w:val="both"/>
        <w:rPr>
          <w:highlight w:val="none"/>
          <w:lang w:val="zh-CN"/>
        </w:rPr>
      </w:pPr>
      <w:r>
        <w:rPr>
          <w:rFonts w:hint="eastAsia"/>
          <w:highlight w:val="none"/>
          <w:lang w:val="zh-CN"/>
        </w:rPr>
        <w:t>（2）出现影响采购公正的违法、违规行为的；</w:t>
      </w:r>
    </w:p>
    <w:p>
      <w:pPr>
        <w:pStyle w:val="211"/>
        <w:spacing w:line="360" w:lineRule="auto"/>
        <w:ind w:firstLine="480" w:firstLineChars="200"/>
        <w:jc w:val="both"/>
        <w:rPr>
          <w:highlight w:val="none"/>
          <w:lang w:val="zh-CN"/>
        </w:rPr>
      </w:pPr>
      <w:r>
        <w:rPr>
          <w:rFonts w:hint="eastAsia"/>
          <w:highlight w:val="none"/>
          <w:lang w:val="zh-CN"/>
        </w:rPr>
        <w:t>（3）投标人的报价均超过了采购预算，采购人不能支付的；</w:t>
      </w:r>
    </w:p>
    <w:p>
      <w:pPr>
        <w:pStyle w:val="211"/>
        <w:spacing w:line="360" w:lineRule="auto"/>
        <w:ind w:firstLine="480" w:firstLineChars="200"/>
        <w:jc w:val="both"/>
        <w:rPr>
          <w:highlight w:val="none"/>
          <w:lang w:val="zh-CN"/>
        </w:rPr>
      </w:pPr>
      <w:r>
        <w:rPr>
          <w:rFonts w:hint="eastAsia"/>
          <w:highlight w:val="none"/>
          <w:lang w:val="zh-CN"/>
        </w:rPr>
        <w:t>（4）因重大变故，采购任务取消的。</w:t>
      </w:r>
    </w:p>
    <w:p>
      <w:pPr>
        <w:pStyle w:val="211"/>
        <w:spacing w:line="360" w:lineRule="auto"/>
        <w:jc w:val="both"/>
        <w:rPr>
          <w:highlight w:val="none"/>
          <w:lang w:val="zh-CN"/>
        </w:rPr>
      </w:pPr>
      <w:r>
        <w:rPr>
          <w:rFonts w:hint="eastAsia"/>
          <w:highlight w:val="none"/>
        </w:rPr>
        <w:t>34.2</w:t>
      </w:r>
      <w:r>
        <w:rPr>
          <w:rFonts w:hint="eastAsia"/>
          <w:highlight w:val="none"/>
          <w:lang w:val="zh-CN"/>
        </w:rPr>
        <w:t>废标后，采购人应在采购信息发布媒体上公告，并公告废标的详细理由。</w:t>
      </w:r>
      <w:bookmarkStart w:id="315" w:name="_Toc217446074"/>
    </w:p>
    <w:p>
      <w:pPr>
        <w:pStyle w:val="211"/>
        <w:spacing w:line="360" w:lineRule="auto"/>
        <w:jc w:val="both"/>
        <w:rPr>
          <w:b/>
          <w:bCs/>
          <w:highlight w:val="none"/>
        </w:rPr>
      </w:pPr>
      <w:r>
        <w:rPr>
          <w:rFonts w:hint="eastAsia"/>
          <w:b/>
          <w:bCs/>
          <w:highlight w:val="none"/>
        </w:rPr>
        <w:t>35.有下列情形之一的，视为投标人串通投标，其投标无效：</w:t>
      </w:r>
    </w:p>
    <w:p>
      <w:pPr>
        <w:pStyle w:val="211"/>
        <w:spacing w:line="360" w:lineRule="auto"/>
        <w:jc w:val="both"/>
        <w:rPr>
          <w:highlight w:val="none"/>
        </w:rPr>
      </w:pPr>
      <w:r>
        <w:rPr>
          <w:rFonts w:hint="eastAsia"/>
          <w:highlight w:val="none"/>
        </w:rPr>
        <w:t>（一）不同投标人的投标文件由同一单位或者个人编制；</w:t>
      </w:r>
    </w:p>
    <w:p>
      <w:pPr>
        <w:pStyle w:val="211"/>
        <w:spacing w:line="360" w:lineRule="auto"/>
        <w:jc w:val="both"/>
        <w:rPr>
          <w:highlight w:val="none"/>
        </w:rPr>
      </w:pPr>
      <w:r>
        <w:rPr>
          <w:rFonts w:hint="eastAsia"/>
          <w:highlight w:val="none"/>
        </w:rPr>
        <w:t>（二）不同投标人委托同一单位或者个人办理投标事宜；</w:t>
      </w:r>
    </w:p>
    <w:p>
      <w:pPr>
        <w:pStyle w:val="211"/>
        <w:spacing w:line="360" w:lineRule="auto"/>
        <w:jc w:val="both"/>
        <w:rPr>
          <w:highlight w:val="none"/>
        </w:rPr>
      </w:pPr>
      <w:r>
        <w:rPr>
          <w:rFonts w:hint="eastAsia"/>
          <w:highlight w:val="none"/>
        </w:rPr>
        <w:t>（三）不同投标人的投标文件载明的项目管理成员或者联系人员为同一人；</w:t>
      </w:r>
    </w:p>
    <w:p>
      <w:pPr>
        <w:pStyle w:val="211"/>
        <w:spacing w:line="360" w:lineRule="auto"/>
        <w:jc w:val="both"/>
        <w:rPr>
          <w:highlight w:val="none"/>
        </w:rPr>
      </w:pPr>
      <w:r>
        <w:rPr>
          <w:rFonts w:hint="eastAsia"/>
          <w:highlight w:val="none"/>
        </w:rPr>
        <w:t>（四）不同投标人的投标文件异常一致或者投标报价呈规律性差异；</w:t>
      </w:r>
    </w:p>
    <w:p>
      <w:pPr>
        <w:pStyle w:val="211"/>
        <w:spacing w:line="360" w:lineRule="auto"/>
        <w:jc w:val="both"/>
        <w:rPr>
          <w:highlight w:val="none"/>
        </w:rPr>
      </w:pPr>
      <w:r>
        <w:rPr>
          <w:rFonts w:hint="eastAsia"/>
          <w:highlight w:val="none"/>
        </w:rPr>
        <w:t>（五）不同投标人的投标文件相互混装；</w:t>
      </w:r>
    </w:p>
    <w:p>
      <w:pPr>
        <w:pStyle w:val="211"/>
        <w:spacing w:line="360" w:lineRule="auto"/>
        <w:jc w:val="both"/>
        <w:rPr>
          <w:highlight w:val="none"/>
        </w:rPr>
      </w:pPr>
      <w:r>
        <w:rPr>
          <w:rFonts w:hint="eastAsia"/>
          <w:highlight w:val="none"/>
        </w:rPr>
        <w:t>（六）不同投标人的投标保证金从同一单位或者个人的账户转出。</w:t>
      </w:r>
    </w:p>
    <w:p>
      <w:pPr>
        <w:pStyle w:val="211"/>
        <w:spacing w:line="360" w:lineRule="auto"/>
        <w:jc w:val="both"/>
        <w:rPr>
          <w:sz w:val="32"/>
          <w:szCs w:val="32"/>
          <w:highlight w:val="none"/>
        </w:rPr>
      </w:pPr>
      <w:r>
        <w:rPr>
          <w:rFonts w:hint="eastAsia"/>
          <w:highlight w:val="none"/>
        </w:rPr>
        <w:t>36.采购方式的变更根据《</w:t>
      </w:r>
      <w:r>
        <w:rPr>
          <w:rFonts w:hint="eastAsia"/>
          <w:highlight w:val="none"/>
          <w:lang w:eastAsia="zh-CN"/>
        </w:rPr>
        <w:t>采购</w:t>
      </w:r>
      <w:r>
        <w:rPr>
          <w:rFonts w:hint="eastAsia"/>
          <w:highlight w:val="none"/>
        </w:rPr>
        <w:t>货物和服务招标投标管理办法》（财政部令第87号）第43条规定，如评审现场经财政部门批准本项目转为其他采购方式的，按相应采购方式程序执行。</w:t>
      </w:r>
      <w:bookmarkStart w:id="316" w:name="_Toc3297"/>
      <w:bookmarkStart w:id="317" w:name="_Toc6807"/>
      <w:bookmarkStart w:id="318" w:name="_Toc13450"/>
    </w:p>
    <w:p>
      <w:pPr>
        <w:pStyle w:val="3"/>
        <w:rPr>
          <w:rFonts w:ascii="宋体" w:hAnsi="宋体" w:cs="宋体"/>
          <w:sz w:val="32"/>
          <w:szCs w:val="32"/>
          <w:highlight w:val="none"/>
        </w:rPr>
      </w:pPr>
    </w:p>
    <w:p>
      <w:pPr>
        <w:pStyle w:val="3"/>
        <w:rPr>
          <w:rFonts w:ascii="宋体" w:hAnsi="宋体" w:cs="宋体"/>
          <w:sz w:val="32"/>
          <w:szCs w:val="32"/>
          <w:highlight w:val="none"/>
        </w:rPr>
      </w:pPr>
      <w:bookmarkStart w:id="319" w:name="_Toc3534"/>
      <w:bookmarkStart w:id="320" w:name="_Toc8773"/>
      <w:r>
        <w:rPr>
          <w:rFonts w:hint="eastAsia" w:ascii="宋体" w:hAnsi="宋体" w:cs="宋体"/>
          <w:sz w:val="32"/>
          <w:szCs w:val="32"/>
          <w:highlight w:val="none"/>
        </w:rPr>
        <w:t>八、投标纪律要求</w:t>
      </w:r>
      <w:bookmarkEnd w:id="315"/>
      <w:bookmarkEnd w:id="316"/>
      <w:bookmarkEnd w:id="317"/>
      <w:bookmarkEnd w:id="318"/>
      <w:bookmarkEnd w:id="319"/>
      <w:bookmarkEnd w:id="320"/>
      <w:bookmarkStart w:id="321" w:name="_Toc217446075"/>
    </w:p>
    <w:p>
      <w:pPr>
        <w:pStyle w:val="4"/>
        <w:jc w:val="both"/>
        <w:rPr>
          <w:rFonts w:ascii="宋体" w:hAnsi="宋体" w:cs="宋体"/>
          <w:sz w:val="24"/>
          <w:highlight w:val="none"/>
          <w:lang w:val="zh-CN"/>
        </w:rPr>
      </w:pPr>
      <w:bookmarkStart w:id="322" w:name="_Toc27954"/>
      <w:bookmarkStart w:id="323" w:name="_Toc23216"/>
      <w:bookmarkStart w:id="324" w:name="_Toc12818"/>
      <w:bookmarkStart w:id="325" w:name="_Toc2492"/>
      <w:bookmarkStart w:id="326" w:name="_Toc22938"/>
      <w:bookmarkStart w:id="327" w:name="_Toc7943"/>
      <w:r>
        <w:rPr>
          <w:rFonts w:hint="eastAsia" w:ascii="宋体" w:hAnsi="宋体" w:cs="宋体"/>
          <w:sz w:val="24"/>
          <w:highlight w:val="none"/>
          <w:lang w:val="zh-CN"/>
        </w:rPr>
        <w:t>3</w:t>
      </w:r>
      <w:r>
        <w:rPr>
          <w:rFonts w:hint="eastAsia" w:ascii="宋体" w:hAnsi="宋体" w:cs="宋体"/>
          <w:sz w:val="24"/>
          <w:highlight w:val="none"/>
        </w:rPr>
        <w:t>7</w:t>
      </w:r>
      <w:r>
        <w:rPr>
          <w:rFonts w:hint="eastAsia" w:ascii="宋体" w:hAnsi="宋体" w:cs="宋体"/>
          <w:sz w:val="24"/>
          <w:highlight w:val="none"/>
          <w:lang w:val="zh-CN"/>
        </w:rPr>
        <w:t>.投标人不得具有的情形</w:t>
      </w:r>
      <w:bookmarkEnd w:id="321"/>
      <w:bookmarkEnd w:id="322"/>
      <w:bookmarkEnd w:id="323"/>
      <w:bookmarkEnd w:id="324"/>
      <w:bookmarkEnd w:id="325"/>
      <w:bookmarkEnd w:id="326"/>
      <w:bookmarkEnd w:id="327"/>
    </w:p>
    <w:p>
      <w:pPr>
        <w:pStyle w:val="211"/>
        <w:spacing w:line="360" w:lineRule="auto"/>
        <w:ind w:firstLine="480" w:firstLineChars="200"/>
        <w:jc w:val="both"/>
        <w:rPr>
          <w:highlight w:val="none"/>
          <w:lang w:val="zh-CN"/>
        </w:rPr>
      </w:pPr>
      <w:r>
        <w:rPr>
          <w:rFonts w:hint="eastAsia"/>
          <w:highlight w:val="none"/>
          <w:lang w:val="zh-CN"/>
        </w:rPr>
        <w:t>投标人参加投标不得有下列情形：</w:t>
      </w:r>
    </w:p>
    <w:p>
      <w:pPr>
        <w:pStyle w:val="211"/>
        <w:spacing w:line="360" w:lineRule="auto"/>
        <w:ind w:firstLine="480" w:firstLineChars="200"/>
        <w:jc w:val="both"/>
        <w:rPr>
          <w:highlight w:val="none"/>
          <w:lang w:val="zh-CN"/>
        </w:rPr>
      </w:pPr>
      <w:r>
        <w:rPr>
          <w:rFonts w:hint="eastAsia"/>
          <w:highlight w:val="none"/>
          <w:lang w:val="zh-CN"/>
        </w:rPr>
        <w:t>（1）提供虚假材料谋取中标；</w:t>
      </w:r>
    </w:p>
    <w:p>
      <w:pPr>
        <w:pStyle w:val="211"/>
        <w:spacing w:line="360" w:lineRule="auto"/>
        <w:ind w:firstLine="480" w:firstLineChars="200"/>
        <w:jc w:val="both"/>
        <w:rPr>
          <w:highlight w:val="none"/>
          <w:lang w:val="zh-CN"/>
        </w:rPr>
      </w:pPr>
      <w:r>
        <w:rPr>
          <w:rFonts w:hint="eastAsia"/>
          <w:highlight w:val="none"/>
          <w:lang w:val="zh-CN"/>
        </w:rPr>
        <w:t>（2）采取不正当手段诋毁、排挤其他投标人；</w:t>
      </w:r>
    </w:p>
    <w:p>
      <w:pPr>
        <w:pStyle w:val="211"/>
        <w:spacing w:line="360" w:lineRule="auto"/>
        <w:ind w:firstLine="480" w:firstLineChars="200"/>
        <w:jc w:val="both"/>
        <w:rPr>
          <w:highlight w:val="none"/>
          <w:lang w:val="zh-CN"/>
        </w:rPr>
      </w:pPr>
      <w:r>
        <w:rPr>
          <w:rFonts w:hint="eastAsia"/>
          <w:highlight w:val="none"/>
          <w:lang w:val="zh-CN"/>
        </w:rPr>
        <w:t>（3）与招标采购单位、其他投标人恶意串通；</w:t>
      </w:r>
    </w:p>
    <w:p>
      <w:pPr>
        <w:pStyle w:val="211"/>
        <w:spacing w:line="360" w:lineRule="auto"/>
        <w:ind w:firstLine="480" w:firstLineChars="200"/>
        <w:jc w:val="both"/>
        <w:rPr>
          <w:highlight w:val="none"/>
          <w:lang w:val="zh-CN"/>
        </w:rPr>
      </w:pPr>
      <w:r>
        <w:rPr>
          <w:rFonts w:hint="eastAsia"/>
          <w:highlight w:val="none"/>
          <w:lang w:val="zh-CN"/>
        </w:rPr>
        <w:t>（4）向招标采购单位、评标委员会成员行贿或者提供其他不正当利益；</w:t>
      </w:r>
    </w:p>
    <w:p>
      <w:pPr>
        <w:pStyle w:val="211"/>
        <w:spacing w:line="360" w:lineRule="auto"/>
        <w:ind w:firstLine="480" w:firstLineChars="200"/>
        <w:jc w:val="both"/>
        <w:rPr>
          <w:highlight w:val="none"/>
          <w:lang w:val="zh-CN"/>
        </w:rPr>
      </w:pPr>
      <w:r>
        <w:rPr>
          <w:rFonts w:hint="eastAsia"/>
          <w:highlight w:val="none"/>
          <w:lang w:val="zh-CN"/>
        </w:rPr>
        <w:t>（5）在招标过程中与招标采购单位进行协商谈判；</w:t>
      </w:r>
    </w:p>
    <w:p>
      <w:pPr>
        <w:pStyle w:val="211"/>
        <w:spacing w:line="360" w:lineRule="auto"/>
        <w:ind w:firstLine="480" w:firstLineChars="200"/>
        <w:jc w:val="both"/>
        <w:rPr>
          <w:highlight w:val="none"/>
          <w:lang w:val="zh-CN"/>
        </w:rPr>
      </w:pPr>
      <w:r>
        <w:rPr>
          <w:rFonts w:hint="eastAsia"/>
          <w:highlight w:val="none"/>
          <w:lang w:val="zh-CN"/>
        </w:rPr>
        <w:t>（6）拒绝有关部门的监督检查或者向监督检查部门提供虚假情况。</w:t>
      </w:r>
    </w:p>
    <w:p>
      <w:pPr>
        <w:pStyle w:val="211"/>
        <w:spacing w:line="360" w:lineRule="auto"/>
        <w:ind w:firstLine="480" w:firstLineChars="200"/>
        <w:jc w:val="both"/>
        <w:rPr>
          <w:b/>
          <w:bCs/>
          <w:sz w:val="28"/>
          <w:szCs w:val="28"/>
          <w:highlight w:val="none"/>
        </w:rPr>
      </w:pPr>
      <w:r>
        <w:rPr>
          <w:rFonts w:hint="eastAsia"/>
          <w:highlight w:val="none"/>
          <w:lang w:val="zh-CN"/>
        </w:rPr>
        <w:t>有上述情形之一的投标人，属于不合格投标人，其投标或中标资格将被取消。</w:t>
      </w:r>
      <w:bookmarkStart w:id="328" w:name="_Toc217446078"/>
    </w:p>
    <w:p>
      <w:pPr>
        <w:pStyle w:val="3"/>
        <w:rPr>
          <w:rFonts w:ascii="宋体" w:hAnsi="宋体" w:cs="宋体"/>
          <w:sz w:val="32"/>
          <w:szCs w:val="32"/>
          <w:highlight w:val="none"/>
        </w:rPr>
      </w:pPr>
      <w:bookmarkStart w:id="329" w:name="_Toc12361"/>
      <w:bookmarkStart w:id="330" w:name="_Toc15768"/>
      <w:bookmarkStart w:id="331" w:name="_Toc8706"/>
      <w:bookmarkStart w:id="332" w:name="_Toc21327"/>
      <w:bookmarkStart w:id="333" w:name="_Toc8019"/>
      <w:r>
        <w:rPr>
          <w:rFonts w:hint="eastAsia" w:ascii="宋体" w:hAnsi="宋体" w:cs="宋体"/>
          <w:sz w:val="32"/>
          <w:szCs w:val="32"/>
          <w:highlight w:val="none"/>
        </w:rPr>
        <w:t>九、资格审查</w:t>
      </w:r>
      <w:bookmarkEnd w:id="329"/>
      <w:bookmarkEnd w:id="330"/>
      <w:bookmarkEnd w:id="331"/>
      <w:bookmarkEnd w:id="332"/>
      <w:bookmarkEnd w:id="333"/>
    </w:p>
    <w:p>
      <w:pPr>
        <w:pStyle w:val="211"/>
        <w:spacing w:line="360" w:lineRule="auto"/>
        <w:jc w:val="both"/>
        <w:rPr>
          <w:highlight w:val="none"/>
          <w:lang w:val="zh-CN"/>
        </w:rPr>
      </w:pPr>
      <w:r>
        <w:rPr>
          <w:rFonts w:hint="eastAsia"/>
          <w:b/>
          <w:bCs/>
          <w:kern w:val="2"/>
          <w:szCs w:val="32"/>
          <w:highlight w:val="none"/>
          <w:lang w:val="zh-CN"/>
        </w:rPr>
        <w:t>3</w:t>
      </w:r>
      <w:r>
        <w:rPr>
          <w:rFonts w:hint="eastAsia"/>
          <w:b/>
          <w:bCs/>
          <w:kern w:val="2"/>
          <w:szCs w:val="32"/>
          <w:highlight w:val="none"/>
        </w:rPr>
        <w:t>8</w:t>
      </w:r>
      <w:r>
        <w:rPr>
          <w:rFonts w:hint="eastAsia"/>
          <w:b/>
          <w:bCs/>
          <w:kern w:val="2"/>
          <w:szCs w:val="32"/>
          <w:highlight w:val="none"/>
          <w:lang w:val="zh-CN"/>
        </w:rPr>
        <w:t>.</w:t>
      </w:r>
      <w:r>
        <w:rPr>
          <w:rFonts w:hint="eastAsia"/>
          <w:highlight w:val="none"/>
          <w:lang w:val="zh-CN"/>
        </w:rPr>
        <w:t>本项目投标人的资格条件在开标仪式结束后，由采购人或代理机构依法进行审查。投标人应在投标文件中按招标文件的规定和要求附上所有的资格证明文件，除需要提供原件的证明文件须装订在投标文件正本中，其余要求提供复印件的证明文件必须加盖单位公章。若提供的资格证明文件不全或不实，或将导致其投标或中标资格被取消。</w:t>
      </w:r>
    </w:p>
    <w:bookmarkEnd w:id="307"/>
    <w:bookmarkEnd w:id="308"/>
    <w:bookmarkEnd w:id="328"/>
    <w:p>
      <w:pPr>
        <w:pStyle w:val="3"/>
        <w:rPr>
          <w:rFonts w:ascii="宋体" w:hAnsi="宋体" w:cs="宋体"/>
          <w:sz w:val="32"/>
          <w:szCs w:val="32"/>
          <w:highlight w:val="none"/>
        </w:rPr>
      </w:pPr>
      <w:bookmarkStart w:id="334" w:name="_Toc22271"/>
      <w:bookmarkStart w:id="335" w:name="_Toc4314"/>
      <w:bookmarkStart w:id="336" w:name="_Toc20633"/>
      <w:bookmarkStart w:id="337" w:name="_Toc5443"/>
      <w:bookmarkStart w:id="338" w:name="_Toc11196"/>
      <w:r>
        <w:rPr>
          <w:rFonts w:hint="eastAsia" w:ascii="宋体" w:hAnsi="宋体" w:cs="宋体"/>
          <w:sz w:val="32"/>
          <w:szCs w:val="32"/>
          <w:highlight w:val="none"/>
        </w:rPr>
        <w:t>十、询问和质疑</w:t>
      </w:r>
      <w:bookmarkEnd w:id="334"/>
      <w:bookmarkEnd w:id="335"/>
      <w:bookmarkEnd w:id="336"/>
      <w:bookmarkEnd w:id="337"/>
      <w:bookmarkEnd w:id="338"/>
    </w:p>
    <w:p>
      <w:pPr>
        <w:pStyle w:val="4"/>
        <w:jc w:val="both"/>
        <w:rPr>
          <w:rFonts w:ascii="宋体" w:hAnsi="宋体" w:cs="宋体"/>
          <w:sz w:val="24"/>
          <w:highlight w:val="none"/>
        </w:rPr>
      </w:pPr>
      <w:bookmarkStart w:id="339" w:name="_Toc25131"/>
      <w:bookmarkStart w:id="340" w:name="_Toc18889"/>
      <w:bookmarkStart w:id="341" w:name="_Toc13003"/>
      <w:bookmarkStart w:id="342" w:name="_Toc8012"/>
      <w:bookmarkStart w:id="343" w:name="_Toc6138"/>
      <w:bookmarkStart w:id="344" w:name="_Toc31245"/>
      <w:bookmarkStart w:id="345" w:name="_Toc32433"/>
      <w:r>
        <w:rPr>
          <w:rFonts w:hint="eastAsia" w:ascii="宋体" w:hAnsi="宋体" w:cs="宋体"/>
          <w:sz w:val="24"/>
          <w:highlight w:val="none"/>
        </w:rPr>
        <w:t>39.综合说明</w:t>
      </w:r>
      <w:bookmarkEnd w:id="339"/>
      <w:bookmarkEnd w:id="340"/>
      <w:bookmarkEnd w:id="341"/>
      <w:bookmarkEnd w:id="342"/>
      <w:bookmarkEnd w:id="343"/>
      <w:bookmarkEnd w:id="344"/>
      <w:bookmarkEnd w:id="345"/>
    </w:p>
    <w:p>
      <w:pPr>
        <w:pStyle w:val="24"/>
        <w:spacing w:line="360" w:lineRule="auto"/>
        <w:ind w:firstLine="0"/>
        <w:rPr>
          <w:rFonts w:ascii="宋体" w:hAnsi="宋体" w:cs="宋体"/>
          <w:highlight w:val="none"/>
        </w:rPr>
      </w:pPr>
      <w:r>
        <w:rPr>
          <w:rFonts w:hint="eastAsia" w:ascii="宋体" w:hAnsi="宋体" w:cs="宋体"/>
          <w:highlight w:val="none"/>
        </w:rPr>
        <w:t>39.1投标人对</w:t>
      </w:r>
      <w:r>
        <w:rPr>
          <w:rFonts w:hint="eastAsia" w:ascii="宋体" w:hAnsi="宋体" w:cs="宋体"/>
          <w:highlight w:val="none"/>
          <w:lang w:eastAsia="zh-CN"/>
        </w:rPr>
        <w:t>采购</w:t>
      </w:r>
      <w:r>
        <w:rPr>
          <w:rFonts w:hint="eastAsia" w:ascii="宋体" w:hAnsi="宋体" w:cs="宋体"/>
          <w:highlight w:val="none"/>
        </w:rPr>
        <w:t>活动事项有疑问的，可以向被质疑人提出询问或质疑，被质疑人应当及时予以答复，但答复的内容不得涉及商业秘密。投标人询问和质疑实行实名制。投标人询问和质疑应当有事实根据，不得进行虚假、恶意询问或质疑，干扰</w:t>
      </w:r>
      <w:r>
        <w:rPr>
          <w:rFonts w:hint="eastAsia" w:ascii="宋体" w:hAnsi="宋体" w:cs="宋体"/>
          <w:highlight w:val="none"/>
          <w:lang w:eastAsia="zh-CN"/>
        </w:rPr>
        <w:t>采购</w:t>
      </w:r>
      <w:r>
        <w:rPr>
          <w:rFonts w:hint="eastAsia" w:ascii="宋体" w:hAnsi="宋体" w:cs="宋体"/>
          <w:highlight w:val="none"/>
        </w:rPr>
        <w:t>正常的工作秩序。</w:t>
      </w:r>
    </w:p>
    <w:p>
      <w:pPr>
        <w:pStyle w:val="24"/>
        <w:spacing w:line="360" w:lineRule="auto"/>
        <w:ind w:firstLine="0"/>
        <w:rPr>
          <w:rFonts w:ascii="宋体" w:hAnsi="宋体" w:cs="宋体"/>
          <w:highlight w:val="none"/>
        </w:rPr>
      </w:pPr>
      <w:r>
        <w:rPr>
          <w:rFonts w:hint="eastAsia" w:ascii="宋体" w:hAnsi="宋体" w:cs="宋体"/>
          <w:highlight w:val="none"/>
        </w:rPr>
        <w:t>39.2投标人提起质疑应当符合下列条件：必须是参与被质疑项目的投标人；必须在规定的质疑有效期内提起质疑；</w:t>
      </w:r>
      <w:r>
        <w:rPr>
          <w:rFonts w:hint="eastAsia" w:ascii="宋体" w:hAnsi="宋体" w:cs="宋体"/>
          <w:highlight w:val="none"/>
          <w:lang w:eastAsia="zh-CN"/>
        </w:rPr>
        <w:t>采购</w:t>
      </w:r>
      <w:r>
        <w:rPr>
          <w:rFonts w:hint="eastAsia" w:ascii="宋体" w:hAnsi="宋体" w:cs="宋体"/>
          <w:highlight w:val="none"/>
        </w:rPr>
        <w:t>监督管理部门规定的其他条件。</w:t>
      </w:r>
    </w:p>
    <w:p>
      <w:pPr>
        <w:pStyle w:val="24"/>
        <w:spacing w:line="360" w:lineRule="auto"/>
        <w:ind w:firstLine="0"/>
        <w:rPr>
          <w:rFonts w:ascii="宋体" w:hAnsi="宋体" w:cs="宋体"/>
          <w:highlight w:val="none"/>
        </w:rPr>
      </w:pPr>
      <w:r>
        <w:rPr>
          <w:rFonts w:hint="eastAsia" w:ascii="宋体" w:hAnsi="宋体" w:cs="宋体"/>
          <w:highlight w:val="none"/>
        </w:rPr>
        <w:t>39.3质疑人提出质疑时，应当提交书面质疑书，质疑书应当包括下列主要内容：被质疑人的名称、地址、电话；项目名称、项目编号；具体质疑事项、请求和主张；提起质疑的投标人名称、地址、联系人及联系方式；质疑日期。</w:t>
      </w:r>
    </w:p>
    <w:p>
      <w:pPr>
        <w:pStyle w:val="24"/>
        <w:spacing w:line="360" w:lineRule="auto"/>
        <w:ind w:firstLine="0"/>
        <w:rPr>
          <w:rFonts w:ascii="宋体" w:hAnsi="宋体" w:cs="宋体"/>
          <w:highlight w:val="none"/>
        </w:rPr>
      </w:pPr>
      <w:r>
        <w:rPr>
          <w:rFonts w:hint="eastAsia" w:ascii="宋体" w:hAnsi="宋体" w:cs="宋体"/>
          <w:highlight w:val="none"/>
        </w:rPr>
        <w:t>39</w:t>
      </w:r>
      <w:r>
        <w:rPr>
          <w:rFonts w:hint="eastAsia" w:ascii="宋体" w:hAnsi="宋体" w:cs="宋体"/>
          <w:highlight w:val="none"/>
          <w:lang w:val="zh-CN"/>
        </w:rPr>
        <w:t>.4质疑书递交地点：</w:t>
      </w:r>
    </w:p>
    <w:p>
      <w:pPr>
        <w:pStyle w:val="4"/>
        <w:jc w:val="both"/>
        <w:rPr>
          <w:rFonts w:ascii="宋体" w:hAnsi="宋体" w:cs="宋体"/>
          <w:sz w:val="24"/>
          <w:highlight w:val="none"/>
          <w:lang w:val="zh-CN"/>
        </w:rPr>
      </w:pPr>
      <w:bookmarkStart w:id="346" w:name="_Toc23620"/>
      <w:bookmarkStart w:id="347" w:name="_Toc18189"/>
      <w:bookmarkStart w:id="348" w:name="_Toc22541"/>
      <w:bookmarkStart w:id="349" w:name="_Toc1308"/>
      <w:bookmarkStart w:id="350" w:name="_Toc18115"/>
      <w:bookmarkStart w:id="351" w:name="_Toc32409"/>
      <w:bookmarkStart w:id="352" w:name="_Toc12978"/>
      <w:r>
        <w:rPr>
          <w:rFonts w:hint="eastAsia" w:ascii="宋体" w:hAnsi="宋体" w:cs="宋体"/>
          <w:sz w:val="24"/>
          <w:highlight w:val="none"/>
        </w:rPr>
        <w:t>40</w:t>
      </w:r>
      <w:r>
        <w:rPr>
          <w:rFonts w:hint="eastAsia" w:ascii="宋体" w:hAnsi="宋体" w:cs="宋体"/>
          <w:sz w:val="24"/>
          <w:highlight w:val="none"/>
          <w:lang w:val="zh-CN"/>
        </w:rPr>
        <w:t>.询问</w:t>
      </w:r>
      <w:bookmarkEnd w:id="346"/>
      <w:bookmarkEnd w:id="347"/>
      <w:bookmarkEnd w:id="348"/>
      <w:bookmarkEnd w:id="349"/>
      <w:bookmarkEnd w:id="350"/>
      <w:bookmarkEnd w:id="351"/>
      <w:bookmarkEnd w:id="352"/>
    </w:p>
    <w:p>
      <w:pPr>
        <w:pStyle w:val="24"/>
        <w:spacing w:line="360" w:lineRule="auto"/>
        <w:ind w:firstLine="0"/>
        <w:rPr>
          <w:rFonts w:ascii="宋体" w:hAnsi="宋体" w:cs="宋体"/>
          <w:highlight w:val="none"/>
          <w:lang w:val="zh-CN"/>
        </w:rPr>
      </w:pPr>
      <w:r>
        <w:rPr>
          <w:rFonts w:hint="eastAsia" w:ascii="宋体" w:hAnsi="宋体" w:cs="宋体"/>
          <w:highlight w:val="none"/>
        </w:rPr>
        <w:t>40</w:t>
      </w:r>
      <w:r>
        <w:rPr>
          <w:rFonts w:hint="eastAsia" w:ascii="宋体" w:hAnsi="宋体" w:cs="宋体"/>
          <w:highlight w:val="none"/>
          <w:lang w:val="zh-CN"/>
        </w:rPr>
        <w:t>.</w:t>
      </w:r>
      <w:r>
        <w:rPr>
          <w:rFonts w:hint="eastAsia" w:ascii="宋体" w:hAnsi="宋体" w:cs="宋体"/>
          <w:highlight w:val="none"/>
        </w:rPr>
        <w:t>1</w:t>
      </w:r>
      <w:r>
        <w:rPr>
          <w:rFonts w:hint="eastAsia" w:ascii="宋体" w:hAnsi="宋体" w:cs="宋体"/>
          <w:highlight w:val="none"/>
          <w:lang w:val="zh-CN"/>
        </w:rPr>
        <w:t>采购人或采购人应当在3个工作日内日对投标人提出的询问作出答复。</w:t>
      </w:r>
    </w:p>
    <w:p>
      <w:pPr>
        <w:pStyle w:val="4"/>
        <w:jc w:val="both"/>
        <w:rPr>
          <w:rFonts w:ascii="宋体" w:hAnsi="宋体" w:cs="宋体"/>
          <w:sz w:val="24"/>
          <w:highlight w:val="none"/>
          <w:lang w:val="zh-CN"/>
        </w:rPr>
      </w:pPr>
      <w:bookmarkStart w:id="353" w:name="_Toc3368"/>
      <w:bookmarkStart w:id="354" w:name="_Toc3555"/>
      <w:bookmarkStart w:id="355" w:name="_Toc4489"/>
      <w:bookmarkStart w:id="356" w:name="_Toc6349"/>
      <w:bookmarkStart w:id="357" w:name="_Toc31205"/>
      <w:bookmarkStart w:id="358" w:name="_Toc16498"/>
      <w:bookmarkStart w:id="359" w:name="_Toc20085"/>
      <w:r>
        <w:rPr>
          <w:rFonts w:hint="eastAsia" w:ascii="宋体" w:hAnsi="宋体" w:cs="宋体"/>
          <w:sz w:val="24"/>
          <w:highlight w:val="none"/>
        </w:rPr>
        <w:t>41</w:t>
      </w:r>
      <w:r>
        <w:rPr>
          <w:rFonts w:hint="eastAsia" w:ascii="宋体" w:hAnsi="宋体" w:cs="宋体"/>
          <w:sz w:val="24"/>
          <w:highlight w:val="none"/>
          <w:lang w:val="zh-CN"/>
        </w:rPr>
        <w:t>.质疑与答复</w:t>
      </w:r>
      <w:bookmarkEnd w:id="353"/>
      <w:bookmarkEnd w:id="354"/>
      <w:bookmarkEnd w:id="355"/>
      <w:bookmarkEnd w:id="356"/>
      <w:bookmarkEnd w:id="357"/>
      <w:bookmarkEnd w:id="358"/>
      <w:bookmarkEnd w:id="359"/>
    </w:p>
    <w:p>
      <w:pPr>
        <w:pStyle w:val="24"/>
        <w:spacing w:line="360" w:lineRule="auto"/>
        <w:ind w:firstLine="0"/>
        <w:rPr>
          <w:rFonts w:ascii="宋体" w:hAnsi="宋体" w:cs="宋体"/>
          <w:highlight w:val="none"/>
        </w:rPr>
      </w:pPr>
      <w:r>
        <w:rPr>
          <w:rFonts w:hint="eastAsia" w:ascii="宋体" w:hAnsi="宋体" w:cs="宋体"/>
          <w:highlight w:val="none"/>
        </w:rPr>
        <w:t>41</w:t>
      </w:r>
      <w:r>
        <w:rPr>
          <w:rFonts w:hint="eastAsia" w:ascii="宋体" w:hAnsi="宋体" w:cs="宋体"/>
          <w:highlight w:val="none"/>
          <w:lang w:val="zh-CN"/>
        </w:rPr>
        <w:t>.1</w:t>
      </w:r>
      <w:r>
        <w:rPr>
          <w:rFonts w:hint="eastAsia" w:ascii="宋体" w:hAnsi="宋体" w:cs="宋体"/>
          <w:highlight w:val="none"/>
        </w:rPr>
        <w:t>投标人认为招标文件、招标过程和中标结果使自己权益受到损害的，可以在知道或者应当知道其权益受到损害之日起7个工作日内，由质疑方的法定代表人或授权代理人（必须为法定代表人授权进行该项目投标的被授权人）以书面形式向采购人（或</w:t>
      </w:r>
      <w:r>
        <w:rPr>
          <w:rFonts w:hint="eastAsia" w:ascii="宋体" w:hAnsi="宋体" w:cs="宋体"/>
          <w:highlight w:val="none"/>
          <w:lang w:eastAsia="zh-CN"/>
        </w:rPr>
        <w:t>采购人</w:t>
      </w:r>
      <w:r>
        <w:rPr>
          <w:rFonts w:hint="eastAsia" w:ascii="宋体" w:hAnsi="宋体" w:cs="宋体"/>
          <w:highlight w:val="none"/>
        </w:rPr>
        <w:t>）进行质疑，并登记备案。质疑书须有法定代表人亲笔签字。质疑书除应说明需要质疑的内容外，还应提供能够证明质疑内容的相关书面证据。质疑书应内容真实，证据充分，不得进行恶意质疑。由法定代表人递交质疑书时，提供法定代表人身份证复印件；由授权代理人递交质疑书时，还须提供法定代表人授权委托书原件及授权代理人的身份证复印件，身份证复印件须正反面清晰、有效，并要求由该身份证持有人在复印件正反面非空白位置注明“该复印件用于在项目（招标编号：）质疑使用”字样，并由身份证持有人签字确认。上述资料均须加盖公章。</w:t>
      </w:r>
    </w:p>
    <w:p>
      <w:pPr>
        <w:pStyle w:val="24"/>
        <w:spacing w:line="360" w:lineRule="auto"/>
        <w:ind w:firstLine="0"/>
        <w:rPr>
          <w:rFonts w:ascii="宋体" w:hAnsi="宋体" w:cs="宋体"/>
          <w:highlight w:val="none"/>
          <w:lang w:val="zh-CN"/>
        </w:rPr>
      </w:pPr>
      <w:r>
        <w:rPr>
          <w:rFonts w:hint="eastAsia" w:ascii="宋体" w:hAnsi="宋体" w:cs="宋体"/>
          <w:highlight w:val="none"/>
        </w:rPr>
        <w:t>41</w:t>
      </w:r>
      <w:r>
        <w:rPr>
          <w:rFonts w:hint="eastAsia" w:ascii="宋体" w:hAnsi="宋体" w:cs="宋体"/>
          <w:highlight w:val="none"/>
          <w:lang w:val="zh-CN"/>
        </w:rPr>
        <w:t>.</w:t>
      </w:r>
      <w:r>
        <w:rPr>
          <w:rFonts w:hint="eastAsia" w:ascii="宋体" w:hAnsi="宋体" w:cs="宋体"/>
          <w:highlight w:val="none"/>
        </w:rPr>
        <w:t>2</w:t>
      </w:r>
      <w:r>
        <w:rPr>
          <w:rFonts w:hint="eastAsia" w:ascii="宋体" w:hAnsi="宋体" w:cs="宋体"/>
          <w:highlight w:val="none"/>
          <w:lang w:val="zh-CN"/>
        </w:rPr>
        <w:t>采购人或采购人收到投标人的书面质疑后7个工作日内根据质疑书的具体内容相应作出答复，并以书面形式通知质疑投标人和其他有关投标人，但答复内容不得涉及商业秘密。递交质疑书的投标人和其他有关投标人在收到质疑答复书后，应立即向采购人（或采购人）回函确认。未确认情况应当视为对质疑答复的知晓，也将视为对质疑答复内容接受的默认。</w:t>
      </w:r>
    </w:p>
    <w:p>
      <w:pPr>
        <w:pStyle w:val="4"/>
        <w:jc w:val="both"/>
        <w:rPr>
          <w:rFonts w:ascii="宋体" w:hAnsi="宋体" w:cs="宋体"/>
          <w:sz w:val="24"/>
          <w:highlight w:val="none"/>
        </w:rPr>
      </w:pPr>
      <w:bookmarkStart w:id="360" w:name="_Toc30103"/>
      <w:bookmarkStart w:id="361" w:name="_Toc15623"/>
      <w:bookmarkStart w:id="362" w:name="_Toc6168"/>
      <w:bookmarkStart w:id="363" w:name="_Toc22359"/>
      <w:bookmarkStart w:id="364" w:name="_Toc9205"/>
      <w:bookmarkStart w:id="365" w:name="_Toc1155"/>
      <w:bookmarkStart w:id="366" w:name="_Toc32041"/>
      <w:r>
        <w:rPr>
          <w:rFonts w:hint="eastAsia" w:ascii="宋体" w:hAnsi="宋体" w:cs="宋体"/>
          <w:sz w:val="24"/>
          <w:highlight w:val="none"/>
        </w:rPr>
        <w:t>42.补充</w:t>
      </w:r>
      <w:bookmarkEnd w:id="360"/>
      <w:bookmarkEnd w:id="361"/>
      <w:bookmarkEnd w:id="362"/>
      <w:bookmarkEnd w:id="363"/>
      <w:bookmarkEnd w:id="364"/>
      <w:bookmarkEnd w:id="365"/>
      <w:bookmarkEnd w:id="366"/>
    </w:p>
    <w:p>
      <w:pPr>
        <w:pStyle w:val="24"/>
        <w:spacing w:line="360" w:lineRule="auto"/>
        <w:ind w:firstLine="0"/>
        <w:rPr>
          <w:rFonts w:ascii="宋体" w:hAnsi="宋体" w:cs="宋体"/>
          <w:highlight w:val="none"/>
        </w:rPr>
      </w:pPr>
      <w:r>
        <w:rPr>
          <w:rFonts w:hint="eastAsia" w:ascii="宋体" w:hAnsi="宋体" w:cs="宋体"/>
          <w:highlight w:val="none"/>
        </w:rPr>
        <w:t>42.1第41.1条规定的投标人应知其权益受到损害之日，是指：</w:t>
      </w:r>
    </w:p>
    <w:p>
      <w:pPr>
        <w:pStyle w:val="24"/>
        <w:spacing w:line="360" w:lineRule="auto"/>
        <w:ind w:firstLine="0"/>
        <w:rPr>
          <w:rFonts w:ascii="宋体" w:hAnsi="宋体" w:cs="宋体"/>
          <w:highlight w:val="none"/>
        </w:rPr>
      </w:pPr>
      <w:r>
        <w:rPr>
          <w:rFonts w:hint="eastAsia" w:ascii="宋体" w:hAnsi="宋体" w:cs="宋体"/>
          <w:highlight w:val="none"/>
        </w:rPr>
        <w:t>（一）对可以质疑的招标文件提出质疑的，为收到招标文件之日；</w:t>
      </w:r>
    </w:p>
    <w:p>
      <w:pPr>
        <w:pStyle w:val="24"/>
        <w:spacing w:line="360" w:lineRule="auto"/>
        <w:ind w:firstLine="0"/>
        <w:rPr>
          <w:rFonts w:ascii="宋体" w:hAnsi="宋体" w:cs="宋体"/>
          <w:highlight w:val="none"/>
        </w:rPr>
      </w:pPr>
      <w:r>
        <w:rPr>
          <w:rFonts w:hint="eastAsia" w:ascii="宋体" w:hAnsi="宋体" w:cs="宋体"/>
          <w:highlight w:val="none"/>
        </w:rPr>
        <w:t>（二）对招标过程提出质疑的，为各招标程序环节结束之日；</w:t>
      </w:r>
    </w:p>
    <w:p>
      <w:pPr>
        <w:pStyle w:val="24"/>
        <w:spacing w:line="360" w:lineRule="auto"/>
        <w:ind w:firstLine="0"/>
        <w:rPr>
          <w:rFonts w:ascii="宋体" w:hAnsi="宋体" w:cs="宋体"/>
          <w:highlight w:val="none"/>
        </w:rPr>
      </w:pPr>
      <w:r>
        <w:rPr>
          <w:rFonts w:hint="eastAsia" w:ascii="宋体" w:hAnsi="宋体" w:cs="宋体"/>
          <w:highlight w:val="none"/>
        </w:rPr>
        <w:t>（三）对中标或者成交结果提出质疑的，为中标或者成交结果公告期限届满之日。</w:t>
      </w:r>
    </w:p>
    <w:p>
      <w:pPr>
        <w:pStyle w:val="4"/>
        <w:jc w:val="both"/>
        <w:rPr>
          <w:rFonts w:ascii="宋体" w:hAnsi="宋体" w:cs="宋体"/>
          <w:sz w:val="24"/>
          <w:highlight w:val="none"/>
          <w:lang w:val="zh-CN"/>
        </w:rPr>
      </w:pPr>
      <w:bookmarkStart w:id="367" w:name="_Toc28450"/>
      <w:bookmarkStart w:id="368" w:name="_Toc7434"/>
      <w:bookmarkStart w:id="369" w:name="_Toc8333"/>
      <w:bookmarkStart w:id="370" w:name="_Toc26287"/>
      <w:bookmarkStart w:id="371" w:name="_Toc29507"/>
      <w:bookmarkStart w:id="372" w:name="_Toc16202"/>
      <w:bookmarkStart w:id="373" w:name="_Toc19440"/>
      <w:r>
        <w:rPr>
          <w:rFonts w:hint="eastAsia" w:ascii="宋体" w:hAnsi="宋体" w:cs="宋体"/>
          <w:sz w:val="24"/>
          <w:highlight w:val="none"/>
        </w:rPr>
        <w:t>43</w:t>
      </w:r>
      <w:r>
        <w:rPr>
          <w:rFonts w:hint="eastAsia" w:ascii="宋体" w:hAnsi="宋体" w:cs="宋体"/>
          <w:sz w:val="24"/>
          <w:highlight w:val="none"/>
          <w:lang w:val="zh-CN"/>
        </w:rPr>
        <w:t>.质疑不予受理的情况</w:t>
      </w:r>
      <w:bookmarkEnd w:id="367"/>
      <w:bookmarkEnd w:id="368"/>
      <w:bookmarkEnd w:id="369"/>
      <w:bookmarkEnd w:id="370"/>
      <w:bookmarkEnd w:id="371"/>
      <w:bookmarkEnd w:id="372"/>
      <w:bookmarkEnd w:id="373"/>
    </w:p>
    <w:p>
      <w:pPr>
        <w:pStyle w:val="24"/>
        <w:spacing w:line="360" w:lineRule="auto"/>
        <w:ind w:firstLine="0"/>
        <w:rPr>
          <w:rFonts w:ascii="宋体" w:hAnsi="宋体" w:cs="宋体"/>
          <w:highlight w:val="none"/>
          <w:lang w:val="zh-CN"/>
        </w:rPr>
      </w:pPr>
      <w:r>
        <w:rPr>
          <w:rFonts w:hint="eastAsia" w:ascii="宋体" w:hAnsi="宋体" w:cs="宋体"/>
          <w:highlight w:val="none"/>
        </w:rPr>
        <w:t>43</w:t>
      </w:r>
      <w:r>
        <w:rPr>
          <w:rFonts w:hint="eastAsia" w:ascii="宋体" w:hAnsi="宋体" w:cs="宋体"/>
          <w:highlight w:val="none"/>
          <w:lang w:val="zh-CN"/>
        </w:rPr>
        <w:t>.1有下列情形之一的，属于无效质疑，被质疑人不予受理，由此产生的影响由质疑人自行承担：</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(一)不是参与该采购项目活动投标人的；</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(二)以具有法律效力的文书送达之外方式提出的；</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(三)质疑未以书面形式提出，或质疑书内容不符合本须知要求的；</w:t>
      </w:r>
    </w:p>
    <w:p>
      <w:pPr>
        <w:pStyle w:val="24"/>
        <w:spacing w:line="360" w:lineRule="auto"/>
        <w:ind w:firstLine="480" w:firstLineChars="200"/>
        <w:rPr>
          <w:rFonts w:ascii="宋体" w:hAnsi="宋体" w:cs="宋体"/>
          <w:highlight w:val="none"/>
          <w:lang w:val="zh-CN"/>
        </w:rPr>
      </w:pPr>
      <w:r>
        <w:rPr>
          <w:rFonts w:hint="eastAsia" w:ascii="宋体" w:hAnsi="宋体" w:cs="宋体"/>
          <w:highlight w:val="none"/>
          <w:lang w:val="zh-CN"/>
        </w:rPr>
        <w:t>(四)其它不符合受理条件的情形。</w:t>
      </w:r>
      <w:bookmarkEnd w:id="49"/>
      <w:bookmarkEnd w:id="50"/>
      <w:bookmarkEnd w:id="51"/>
      <w:bookmarkStart w:id="374" w:name="_Toc327439465"/>
    </w:p>
    <w:p>
      <w:pPr>
        <w:spacing w:line="360" w:lineRule="auto"/>
        <w:rPr>
          <w:rFonts w:ascii="宋体" w:hAnsi="宋体" w:cs="宋体"/>
          <w:b/>
          <w:bCs/>
          <w:kern w:val="0"/>
          <w:sz w:val="24"/>
          <w:highlight w:val="none"/>
          <w:lang w:val="zh-CN"/>
        </w:rPr>
        <w:sectPr>
          <w:footerReference r:id="rId9" w:type="first"/>
          <w:headerReference r:id="rId7" w:type="default"/>
          <w:footerReference r:id="rId8" w:type="default"/>
          <w:pgSz w:w="11906" w:h="16838"/>
          <w:pgMar w:top="1077" w:right="1134" w:bottom="1077" w:left="1417" w:header="851" w:footer="992" w:gutter="0"/>
          <w:pgNumType w:fmt="decimal"/>
          <w:cols w:space="720" w:num="1"/>
          <w:titlePg/>
          <w:docGrid w:type="lines" w:linePitch="322" w:charSpace="0"/>
        </w:sectPr>
      </w:pPr>
      <w:r>
        <w:rPr>
          <w:rFonts w:hint="eastAsia" w:ascii="宋体" w:hAnsi="宋体" w:cs="宋体"/>
          <w:b/>
          <w:bCs/>
          <w:kern w:val="0"/>
          <w:sz w:val="24"/>
          <w:highlight w:val="none"/>
        </w:rPr>
        <w:t>44.</w:t>
      </w:r>
      <w:r>
        <w:rPr>
          <w:rFonts w:hint="eastAsia" w:ascii="宋体" w:hAnsi="宋体" w:cs="宋体"/>
          <w:b/>
          <w:bCs/>
          <w:kern w:val="0"/>
          <w:sz w:val="24"/>
          <w:highlight w:val="none"/>
          <w:lang w:val="zh-CN"/>
        </w:rPr>
        <w:t>投标人对招标文件、招标过程或者中标结果的质疑必须在有效的质疑期内一次性提出针对同一采购程序环节的质疑，不接受二次质疑。</w:t>
      </w:r>
    </w:p>
    <w:p>
      <w:pPr>
        <w:pStyle w:val="3"/>
        <w:rPr>
          <w:rFonts w:hint="eastAsia"/>
          <w:highlight w:val="none"/>
          <w:lang w:val="en-US" w:eastAsia="zh-CN"/>
        </w:rPr>
      </w:pPr>
      <w:bookmarkStart w:id="375" w:name="_Toc23659"/>
      <w:bookmarkStart w:id="376" w:name="_Toc23806"/>
      <w:bookmarkStart w:id="377" w:name="_Toc21275"/>
      <w:r>
        <w:rPr>
          <w:rFonts w:hint="eastAsia" w:ascii="宋体" w:hAnsi="宋体" w:cs="宋体"/>
          <w:sz w:val="32"/>
          <w:szCs w:val="32"/>
          <w:highlight w:val="none"/>
        </w:rPr>
        <w:t>第三章  采购需求及技术要求</w:t>
      </w:r>
      <w:bookmarkEnd w:id="375"/>
      <w:bookmarkEnd w:id="376"/>
      <w:bookmarkEnd w:id="377"/>
      <w:bookmarkStart w:id="378" w:name="_Toc28555"/>
      <w:bookmarkStart w:id="379" w:name="_Toc5821"/>
      <w:bookmarkStart w:id="380" w:name="_Toc22650"/>
    </w:p>
    <w:p>
      <w:pPr>
        <w:jc w:val="center"/>
        <w:rPr>
          <w:rFonts w:hint="eastAsia"/>
          <w:b/>
          <w:bCs/>
          <w:sz w:val="28"/>
          <w:szCs w:val="28"/>
          <w:highlight w:val="none"/>
          <w:lang w:val="en-US" w:eastAsia="zh-CN"/>
        </w:rPr>
      </w:pPr>
    </w:p>
    <w:p>
      <w:pPr>
        <w:pStyle w:val="36"/>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超微量分光光度计项目采购需求</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1.技术要求</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1.1整体要求：</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测定标本中提取的DNA、RNA的浓度及纯度, 设备自带检测软件并免费升级，开机可自动检测，嵌入式显示屏显示清晰，检测速度快，结果准确。</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1.2配置要求：</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1.2.1 分光光度计主机1套；</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1.2.2 配备说明书、检测报告（厂家）、配置清单、合格证书各两套。</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1.3具体功能及参数要求：</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1.3.1可检测单链、双链核酸及蛋白质浓度；</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★1.3.2内置测量模式并可自定义,对样品进行全波长（190-850nm）光谱扫描； </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1.3.3嵌入式彩色触摸屏，屏幕≥5.1英寸，无需连接电脑使用；</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★1.3.4仪器可直插U盘用于存储数据，后期升级后可连接电脑配套相应软件；</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★1.3.5仪器体积≤175 x 190 x 180 mm，重量≤3kg；</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1.3.6测量速度快:单次测量时间≤5s；</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★1.3.7上样体积小，范围0.5-2μl； </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1.3.8  220V直流电或外置配备充电电池均可使用，设备具备蓝牙打印功能；</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1.3.9设备自带检测软件并免费升级，开机可自动检测。</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2.商务及售后要求：</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2.1交货（实施）期及地点：</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交货（实施）期：合同签订后30个工作日内；</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地点：甘肃省第二人民医院</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2.2售后服务：</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2.2.1质保期：整机（含配套附件、附属设备等）质保5年，质保期自正式验收合格之日起计算，提供原厂质保承诺文件，在质保期内进行售后服务不得收取任何费用。 </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2.2.2验收合格后质保期内每年（按365天计算）设备开机率≥95%，若达不到，不足的开机天数按照1：3相应延长质保期。</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2.2.3配备专职售后服务工程师，如实提供售后工程师名单、联系方式等证明材料。接到院方报修 2小时内响应，24小时内抵达现场维修。</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2.2.4质保期内厂家专业售后工程师需每6个月进行一次巡检保养，并向院方留存相应记录。</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2.2.5配件供应：国内有配件仓库，保证十年内配件供应。</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2.2.6安装调试完成后配合用户时间，安排进行不限时、不限人数的现场培训，直至主要使用人员及2名院内维修工程师可以熟练操作为止，相应人员熟练掌握设备，能正确操作、日常维护、维修。 </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2.2.7供货方提供操作手册、维修手册、说明书等相关中文技术资料各两套。</w:t>
      </w:r>
    </w:p>
    <w:p>
      <w:pPr>
        <w:pStyle w:val="36"/>
        <w:rPr>
          <w:rFonts w:hint="eastAsia" w:ascii="仿宋" w:hAnsi="仿宋" w:eastAsia="仿宋" w:cs="仿宋"/>
          <w:sz w:val="30"/>
          <w:szCs w:val="30"/>
          <w:highlight w:val="none"/>
        </w:rPr>
      </w:pPr>
      <w:r>
        <w:rPr>
          <w:rFonts w:hint="eastAsia" w:ascii="仿宋" w:hAnsi="仿宋" w:eastAsia="仿宋" w:cs="仿宋"/>
          <w:sz w:val="30"/>
          <w:szCs w:val="30"/>
          <w:highlight w:val="none"/>
        </w:rPr>
        <w:t>2.2.8软件系统终身免费升级更新，并提供每次进行升级更新的书面相关证明文件及记录。</w:t>
      </w:r>
    </w:p>
    <w:p>
      <w:pPr>
        <w:pStyle w:val="36"/>
        <w:rPr>
          <w:rFonts w:hint="eastAsia" w:ascii="仿宋" w:hAnsi="仿宋" w:eastAsia="仿宋" w:cs="仿宋"/>
          <w:sz w:val="30"/>
          <w:szCs w:val="30"/>
          <w:highlight w:val="none"/>
        </w:rPr>
      </w:pPr>
    </w:p>
    <w:p>
      <w:pPr>
        <w:jc w:val="center"/>
        <w:rPr>
          <w:rFonts w:hint="eastAsia" w:ascii="仿宋" w:hAnsi="仿宋" w:eastAsia="仿宋" w:cs="仿宋"/>
          <w:b/>
          <w:bCs/>
          <w:sz w:val="30"/>
          <w:szCs w:val="30"/>
        </w:rPr>
      </w:pPr>
      <w:r>
        <w:rPr>
          <w:rFonts w:hint="eastAsia" w:ascii="仿宋" w:hAnsi="仿宋" w:eastAsia="仿宋" w:cs="仿宋"/>
          <w:b/>
          <w:bCs/>
          <w:sz w:val="30"/>
          <w:szCs w:val="30"/>
        </w:rPr>
        <w:t>移液器项目采购需求</w:t>
      </w:r>
    </w:p>
    <w:p>
      <w:pPr>
        <w:rPr>
          <w:rFonts w:hint="eastAsia" w:ascii="仿宋" w:hAnsi="仿宋" w:eastAsia="仿宋" w:cs="仿宋"/>
          <w:sz w:val="30"/>
          <w:szCs w:val="30"/>
        </w:rPr>
      </w:pPr>
      <w:r>
        <w:rPr>
          <w:rFonts w:hint="eastAsia" w:ascii="仿宋" w:hAnsi="仿宋" w:eastAsia="仿宋" w:cs="仿宋"/>
          <w:sz w:val="30"/>
          <w:szCs w:val="30"/>
        </w:rPr>
        <w:t>1.技术要求</w:t>
      </w:r>
    </w:p>
    <w:p>
      <w:pPr>
        <w:rPr>
          <w:rFonts w:hint="eastAsia" w:ascii="仿宋" w:hAnsi="仿宋" w:eastAsia="仿宋" w:cs="仿宋"/>
          <w:bCs/>
          <w:sz w:val="30"/>
          <w:szCs w:val="30"/>
        </w:rPr>
      </w:pPr>
      <w:r>
        <w:rPr>
          <w:rFonts w:hint="eastAsia" w:ascii="仿宋" w:hAnsi="仿宋" w:eastAsia="仿宋" w:cs="仿宋"/>
          <w:sz w:val="30"/>
          <w:szCs w:val="30"/>
        </w:rPr>
        <w:t>1.1</w:t>
      </w:r>
      <w:r>
        <w:rPr>
          <w:rFonts w:hint="eastAsia" w:ascii="仿宋" w:hAnsi="仿宋" w:eastAsia="仿宋" w:cs="仿宋"/>
          <w:bCs/>
          <w:sz w:val="30"/>
          <w:szCs w:val="30"/>
        </w:rPr>
        <w:t>整体要求</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用于实验过程中样品的精准及微量取液和移液，多种量程，满足分子检测工作的需求。</w:t>
      </w:r>
    </w:p>
    <w:p>
      <w:pPr>
        <w:rPr>
          <w:rFonts w:hint="eastAsia" w:ascii="仿宋" w:hAnsi="仿宋" w:eastAsia="仿宋" w:cs="仿宋"/>
          <w:bCs/>
          <w:sz w:val="30"/>
          <w:szCs w:val="30"/>
        </w:rPr>
      </w:pPr>
      <w:r>
        <w:rPr>
          <w:rFonts w:hint="eastAsia" w:ascii="仿宋" w:hAnsi="仿宋" w:eastAsia="仿宋" w:cs="仿宋"/>
          <w:sz w:val="30"/>
          <w:szCs w:val="30"/>
        </w:rPr>
        <w:t>1.2</w:t>
      </w:r>
      <w:r>
        <w:rPr>
          <w:rFonts w:hint="eastAsia" w:ascii="仿宋" w:hAnsi="仿宋" w:eastAsia="仿宋" w:cs="仿宋"/>
          <w:bCs/>
          <w:sz w:val="30"/>
          <w:szCs w:val="30"/>
        </w:rPr>
        <w:t>配置要求</w:t>
      </w:r>
      <w:r>
        <w:rPr>
          <w:rFonts w:hint="eastAsia" w:ascii="仿宋" w:hAnsi="仿宋" w:eastAsia="仿宋" w:cs="仿宋"/>
          <w:sz w:val="30"/>
          <w:szCs w:val="30"/>
        </w:rPr>
        <w:t>：</w:t>
      </w:r>
    </w:p>
    <w:p>
      <w:pPr>
        <w:pStyle w:val="223"/>
        <w:numPr>
          <w:ilvl w:val="0"/>
          <w:numId w:val="0"/>
        </w:numPr>
        <w:jc w:val="left"/>
        <w:rPr>
          <w:rFonts w:hint="eastAsia" w:ascii="仿宋" w:hAnsi="仿宋" w:eastAsia="仿宋" w:cs="仿宋"/>
          <w:color w:val="auto"/>
          <w:sz w:val="30"/>
          <w:szCs w:val="30"/>
        </w:rPr>
      </w:pPr>
      <w:r>
        <w:rPr>
          <w:rFonts w:hint="eastAsia" w:ascii="仿宋" w:hAnsi="仿宋" w:eastAsia="仿宋" w:cs="仿宋"/>
          <w:sz w:val="30"/>
          <w:szCs w:val="30"/>
        </w:rPr>
        <w:t>1.2.1单道移液器2套；</w:t>
      </w:r>
      <w:r>
        <w:rPr>
          <w:rFonts w:hint="eastAsia" w:ascii="仿宋" w:hAnsi="仿宋" w:eastAsia="仿宋" w:cs="仿宋"/>
          <w:color w:val="auto"/>
          <w:sz w:val="30"/>
          <w:szCs w:val="30"/>
        </w:rPr>
        <w:t>（0.1-2.5μl、0.5-10μl、10-100μl、20-200μl、100-1000μl）</w:t>
      </w:r>
    </w:p>
    <w:p>
      <w:pPr>
        <w:pStyle w:val="223"/>
        <w:numPr>
          <w:ilvl w:val="0"/>
          <w:numId w:val="0"/>
        </w:numPr>
        <w:jc w:val="left"/>
        <w:rPr>
          <w:rFonts w:hint="eastAsia" w:ascii="仿宋" w:hAnsi="仿宋" w:eastAsia="仿宋" w:cs="仿宋"/>
          <w:sz w:val="30"/>
          <w:szCs w:val="30"/>
        </w:rPr>
      </w:pPr>
      <w:r>
        <w:rPr>
          <w:rFonts w:hint="eastAsia" w:ascii="仿宋" w:hAnsi="仿宋" w:eastAsia="仿宋" w:cs="仿宋"/>
          <w:sz w:val="30"/>
          <w:szCs w:val="30"/>
        </w:rPr>
        <w:t>1.2.2相应产品合格证书、使用说明书；</w:t>
      </w:r>
    </w:p>
    <w:p>
      <w:pPr>
        <w:pStyle w:val="223"/>
        <w:numPr>
          <w:ilvl w:val="0"/>
          <w:numId w:val="0"/>
        </w:numPr>
        <w:jc w:val="left"/>
        <w:rPr>
          <w:rFonts w:hint="eastAsia" w:ascii="仿宋" w:hAnsi="仿宋" w:eastAsia="仿宋" w:cs="仿宋"/>
          <w:color w:val="auto"/>
          <w:sz w:val="30"/>
          <w:szCs w:val="30"/>
        </w:rPr>
      </w:pPr>
      <w:r>
        <w:rPr>
          <w:rFonts w:hint="eastAsia" w:ascii="仿宋" w:hAnsi="仿宋" w:eastAsia="仿宋" w:cs="仿宋"/>
          <w:color w:val="auto"/>
          <w:sz w:val="30"/>
          <w:szCs w:val="30"/>
        </w:rPr>
        <w:t>1.3具体功能及参数要求：</w:t>
      </w:r>
    </w:p>
    <w:p>
      <w:pPr>
        <w:pStyle w:val="223"/>
        <w:numPr>
          <w:ilvl w:val="0"/>
          <w:numId w:val="0"/>
        </w:numPr>
        <w:rPr>
          <w:rFonts w:hint="eastAsia" w:ascii="仿宋" w:hAnsi="仿宋" w:eastAsia="仿宋" w:cs="仿宋"/>
          <w:sz w:val="30"/>
          <w:szCs w:val="30"/>
        </w:rPr>
      </w:pPr>
      <w:r>
        <w:rPr>
          <w:rFonts w:hint="eastAsia" w:ascii="仿宋" w:hAnsi="仿宋" w:eastAsia="仿宋" w:cs="仿宋"/>
          <w:color w:val="auto"/>
          <w:sz w:val="30"/>
          <w:szCs w:val="30"/>
        </w:rPr>
        <w:t>1.3.1适应各种滤芯吸头</w:t>
      </w:r>
      <w:r>
        <w:rPr>
          <w:rFonts w:hint="eastAsia" w:ascii="仿宋" w:hAnsi="仿宋" w:eastAsia="仿宋" w:cs="仿宋"/>
          <w:sz w:val="30"/>
          <w:szCs w:val="30"/>
        </w:rPr>
        <w:t>，</w:t>
      </w:r>
      <w:r>
        <w:rPr>
          <w:rFonts w:hint="eastAsia" w:ascii="仿宋" w:hAnsi="仿宋" w:eastAsia="仿宋" w:cs="仿宋"/>
          <w:color w:val="auto"/>
          <w:sz w:val="30"/>
          <w:szCs w:val="30"/>
        </w:rPr>
        <w:t>全手轻松控制；</w:t>
      </w:r>
    </w:p>
    <w:p>
      <w:pPr>
        <w:pStyle w:val="223"/>
        <w:numPr>
          <w:ilvl w:val="0"/>
          <w:numId w:val="0"/>
        </w:numPr>
        <w:rPr>
          <w:rFonts w:hint="eastAsia" w:ascii="仿宋" w:hAnsi="仿宋" w:eastAsia="仿宋" w:cs="仿宋"/>
          <w:color w:val="auto"/>
          <w:sz w:val="30"/>
          <w:szCs w:val="30"/>
        </w:rPr>
      </w:pPr>
      <w:r>
        <w:rPr>
          <w:rFonts w:hint="eastAsia" w:ascii="仿宋" w:hAnsi="仿宋" w:eastAsia="仿宋" w:cs="仿宋"/>
          <w:sz w:val="30"/>
          <w:szCs w:val="30"/>
        </w:rPr>
        <w:t>★1.3.2</w:t>
      </w:r>
      <w:r>
        <w:rPr>
          <w:rFonts w:hint="eastAsia" w:ascii="仿宋" w:hAnsi="仿宋" w:eastAsia="仿宋" w:cs="仿宋"/>
          <w:color w:val="auto"/>
          <w:sz w:val="30"/>
          <w:szCs w:val="30"/>
        </w:rPr>
        <w:t>整支可高温高压灭菌和紫外线灭菌；</w:t>
      </w:r>
    </w:p>
    <w:p>
      <w:pPr>
        <w:pStyle w:val="223"/>
        <w:numPr>
          <w:ilvl w:val="0"/>
          <w:numId w:val="0"/>
        </w:numPr>
        <w:rPr>
          <w:rFonts w:hint="eastAsia" w:ascii="仿宋" w:hAnsi="仿宋" w:eastAsia="仿宋" w:cs="仿宋"/>
          <w:color w:val="FF0000"/>
          <w:sz w:val="30"/>
          <w:szCs w:val="30"/>
        </w:rPr>
      </w:pPr>
      <w:r>
        <w:rPr>
          <w:rFonts w:hint="eastAsia" w:ascii="仿宋" w:hAnsi="仿宋" w:eastAsia="仿宋" w:cs="仿宋"/>
          <w:color w:val="auto"/>
          <w:sz w:val="30"/>
          <w:szCs w:val="30"/>
        </w:rPr>
        <w:t>1.3.3具备四位数显示功能；</w:t>
      </w:r>
    </w:p>
    <w:p>
      <w:pPr>
        <w:pStyle w:val="223"/>
        <w:numPr>
          <w:ilvl w:val="0"/>
          <w:numId w:val="0"/>
        </w:numPr>
        <w:rPr>
          <w:rFonts w:hint="eastAsia" w:ascii="仿宋" w:hAnsi="仿宋" w:eastAsia="仿宋" w:cs="仿宋"/>
          <w:color w:val="auto"/>
          <w:sz w:val="30"/>
          <w:szCs w:val="30"/>
        </w:rPr>
      </w:pPr>
      <w:r>
        <w:rPr>
          <w:rFonts w:hint="eastAsia" w:ascii="仿宋" w:hAnsi="仿宋" w:eastAsia="仿宋" w:cs="仿宋"/>
          <w:sz w:val="30"/>
          <w:szCs w:val="30"/>
        </w:rPr>
        <w:t>1.3.4</w:t>
      </w:r>
      <w:r>
        <w:rPr>
          <w:rFonts w:hint="eastAsia" w:ascii="仿宋" w:hAnsi="仿宋" w:eastAsia="仿宋" w:cs="仿宋"/>
          <w:color w:val="auto"/>
          <w:sz w:val="30"/>
          <w:szCs w:val="30"/>
        </w:rPr>
        <w:t>适用于不同密度的液体；</w:t>
      </w:r>
    </w:p>
    <w:p>
      <w:pPr>
        <w:pStyle w:val="223"/>
        <w:numPr>
          <w:ilvl w:val="0"/>
          <w:numId w:val="0"/>
        </w:numPr>
        <w:rPr>
          <w:rFonts w:hint="eastAsia" w:ascii="仿宋" w:hAnsi="仿宋" w:eastAsia="仿宋" w:cs="仿宋"/>
          <w:color w:val="FF0000"/>
          <w:sz w:val="30"/>
          <w:szCs w:val="30"/>
        </w:rPr>
      </w:pPr>
      <w:r>
        <w:rPr>
          <w:rFonts w:hint="eastAsia" w:ascii="仿宋" w:hAnsi="仿宋" w:eastAsia="仿宋" w:cs="仿宋"/>
          <w:sz w:val="30"/>
          <w:szCs w:val="30"/>
        </w:rPr>
        <w:t>★</w:t>
      </w:r>
      <w:r>
        <w:rPr>
          <w:rFonts w:hint="eastAsia" w:ascii="仿宋" w:hAnsi="仿宋" w:eastAsia="仿宋" w:cs="仿宋"/>
          <w:color w:val="auto"/>
          <w:sz w:val="30"/>
          <w:szCs w:val="30"/>
        </w:rPr>
        <w:t>1.3.5 0.1-2.5μl、0.5-10μl、10-100μl、20-200μl、100-1000μl不同量程，精准；</w:t>
      </w:r>
    </w:p>
    <w:p>
      <w:pPr>
        <w:pStyle w:val="223"/>
        <w:numPr>
          <w:ilvl w:val="0"/>
          <w:numId w:val="0"/>
        </w:numPr>
        <w:rPr>
          <w:rFonts w:hint="eastAsia" w:ascii="仿宋" w:hAnsi="仿宋" w:eastAsia="仿宋" w:cs="仿宋"/>
          <w:color w:val="auto"/>
          <w:sz w:val="30"/>
          <w:szCs w:val="30"/>
        </w:rPr>
      </w:pPr>
      <w:r>
        <w:rPr>
          <w:rFonts w:hint="eastAsia" w:ascii="仿宋" w:hAnsi="仿宋" w:eastAsia="仿宋" w:cs="仿宋"/>
          <w:sz w:val="30"/>
          <w:szCs w:val="30"/>
        </w:rPr>
        <w:t>★</w:t>
      </w:r>
      <w:r>
        <w:rPr>
          <w:rFonts w:hint="eastAsia" w:ascii="仿宋" w:hAnsi="仿宋" w:eastAsia="仿宋" w:cs="仿宋"/>
          <w:color w:val="auto"/>
          <w:sz w:val="30"/>
          <w:szCs w:val="30"/>
        </w:rPr>
        <w:t>1.3.6材质重量≤80g，坚固耐用，耐高温抗腐蚀。</w:t>
      </w:r>
    </w:p>
    <w:p>
      <w:pPr>
        <w:rPr>
          <w:rFonts w:hint="eastAsia" w:ascii="仿宋" w:hAnsi="仿宋" w:eastAsia="仿宋" w:cs="仿宋"/>
          <w:sz w:val="30"/>
          <w:szCs w:val="30"/>
        </w:rPr>
      </w:pPr>
      <w:r>
        <w:rPr>
          <w:rFonts w:hint="eastAsia" w:ascii="仿宋" w:hAnsi="仿宋" w:eastAsia="仿宋" w:cs="仿宋"/>
          <w:sz w:val="30"/>
          <w:szCs w:val="30"/>
        </w:rPr>
        <w:t>2.商务及售后要求：</w:t>
      </w:r>
    </w:p>
    <w:p>
      <w:pPr>
        <w:rPr>
          <w:rFonts w:hint="eastAsia" w:ascii="仿宋" w:hAnsi="仿宋" w:eastAsia="仿宋" w:cs="仿宋"/>
          <w:sz w:val="30"/>
          <w:szCs w:val="30"/>
        </w:rPr>
      </w:pPr>
      <w:r>
        <w:rPr>
          <w:rFonts w:hint="eastAsia" w:ascii="仿宋" w:hAnsi="仿宋" w:eastAsia="仿宋" w:cs="仿宋"/>
          <w:sz w:val="30"/>
          <w:szCs w:val="30"/>
        </w:rPr>
        <w:t>2.1交货（实施）期及地点：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交货（实施）期：合同签订后30个工作日内；</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地点：甘肃省第二人民医院</w:t>
      </w:r>
    </w:p>
    <w:p>
      <w:pPr>
        <w:rPr>
          <w:rFonts w:hint="eastAsia" w:ascii="仿宋" w:hAnsi="仿宋" w:eastAsia="仿宋" w:cs="仿宋"/>
          <w:sz w:val="30"/>
          <w:szCs w:val="30"/>
        </w:rPr>
      </w:pPr>
      <w:r>
        <w:rPr>
          <w:rFonts w:hint="eastAsia" w:ascii="仿宋" w:hAnsi="仿宋" w:eastAsia="仿宋" w:cs="仿宋"/>
          <w:sz w:val="30"/>
          <w:szCs w:val="30"/>
        </w:rPr>
        <w:t>2.2售后服务：</w:t>
      </w:r>
    </w:p>
    <w:p>
      <w:pPr>
        <w:rPr>
          <w:rFonts w:hint="eastAsia" w:ascii="仿宋" w:hAnsi="仿宋" w:eastAsia="仿宋" w:cs="仿宋"/>
          <w:sz w:val="30"/>
          <w:szCs w:val="30"/>
        </w:rPr>
      </w:pPr>
      <w:r>
        <w:rPr>
          <w:rFonts w:hint="eastAsia" w:ascii="仿宋" w:hAnsi="仿宋" w:eastAsia="仿宋" w:cs="仿宋"/>
          <w:sz w:val="30"/>
          <w:szCs w:val="30"/>
        </w:rPr>
        <w:t>2.2.1质保期：</w:t>
      </w:r>
      <w:r>
        <w:rPr>
          <w:rFonts w:hint="eastAsia" w:ascii="仿宋" w:hAnsi="仿宋" w:eastAsia="仿宋" w:cs="仿宋"/>
          <w:sz w:val="30"/>
          <w:szCs w:val="30"/>
          <w:lang w:val="en-US" w:eastAsia="zh-CN"/>
        </w:rPr>
        <w:t>整机</w:t>
      </w:r>
      <w:r>
        <w:rPr>
          <w:rFonts w:hint="eastAsia" w:ascii="仿宋" w:hAnsi="仿宋" w:eastAsia="仿宋" w:cs="仿宋"/>
          <w:sz w:val="30"/>
          <w:szCs w:val="30"/>
        </w:rPr>
        <w:t>质保5年，在质保期内进行售后服务不得收取任何费用。</w:t>
      </w:r>
    </w:p>
    <w:p>
      <w:pPr>
        <w:rPr>
          <w:rFonts w:hint="eastAsia" w:ascii="仿宋" w:hAnsi="仿宋" w:eastAsia="仿宋" w:cs="仿宋"/>
          <w:sz w:val="30"/>
          <w:szCs w:val="30"/>
        </w:rPr>
      </w:pPr>
      <w:r>
        <w:rPr>
          <w:rFonts w:hint="eastAsia" w:ascii="仿宋" w:hAnsi="仿宋" w:eastAsia="仿宋" w:cs="仿宋"/>
          <w:sz w:val="30"/>
          <w:szCs w:val="30"/>
        </w:rPr>
        <w:t>2.2.2验收合格后质保期内每年（按365天计算）仪器使用率≥95%，若达不到，不足的使用天数按照1：3相应延长质保期。</w:t>
      </w:r>
    </w:p>
    <w:p>
      <w:pPr>
        <w:rPr>
          <w:rFonts w:hint="eastAsia" w:ascii="仿宋" w:hAnsi="仿宋" w:eastAsia="仿宋" w:cs="仿宋"/>
          <w:sz w:val="30"/>
          <w:szCs w:val="30"/>
        </w:rPr>
      </w:pPr>
      <w:r>
        <w:rPr>
          <w:rFonts w:hint="eastAsia" w:ascii="仿宋" w:hAnsi="仿宋" w:eastAsia="仿宋" w:cs="仿宋"/>
          <w:sz w:val="30"/>
          <w:szCs w:val="30"/>
        </w:rPr>
        <w:t>2.2.3配备专职售后服务工程师，如实提供售后工程师名单、联系方式等证明材料。</w:t>
      </w:r>
      <w:r>
        <w:rPr>
          <w:rFonts w:hint="eastAsia" w:ascii="仿宋" w:hAnsi="仿宋" w:eastAsia="仿宋" w:cs="仿宋"/>
          <w:color w:val="000000" w:themeColor="text1"/>
          <w:sz w:val="30"/>
          <w:szCs w:val="30"/>
        </w:rPr>
        <w:t>线上线下均可进行培训，接到院方报修 2小时内响应，48小时内抵达现场维修或返厂维修。</w:t>
      </w:r>
    </w:p>
    <w:p>
      <w:pPr>
        <w:rPr>
          <w:rFonts w:hint="eastAsia" w:ascii="仿宋" w:hAnsi="仿宋" w:eastAsia="仿宋" w:cs="仿宋"/>
          <w:sz w:val="30"/>
          <w:szCs w:val="30"/>
        </w:rPr>
      </w:pPr>
      <w:r>
        <w:rPr>
          <w:rFonts w:hint="eastAsia" w:ascii="仿宋" w:hAnsi="仿宋" w:eastAsia="仿宋" w:cs="仿宋"/>
          <w:sz w:val="30"/>
          <w:szCs w:val="30"/>
        </w:rPr>
        <w:t>2.2.4安装调试完成后配合用户时间，安排进行</w:t>
      </w:r>
      <w:r>
        <w:rPr>
          <w:rFonts w:hint="eastAsia" w:ascii="仿宋" w:hAnsi="仿宋" w:eastAsia="仿宋" w:cs="仿宋"/>
          <w:color w:val="000000" w:themeColor="text1"/>
          <w:sz w:val="30"/>
          <w:szCs w:val="30"/>
        </w:rPr>
        <w:t>不限时、不限人数的现场培训，直至主要使用人员及2名院内维修工</w:t>
      </w:r>
      <w:r>
        <w:rPr>
          <w:rFonts w:hint="eastAsia" w:ascii="仿宋" w:hAnsi="仿宋" w:eastAsia="仿宋" w:cs="仿宋"/>
          <w:sz w:val="30"/>
          <w:szCs w:val="30"/>
        </w:rPr>
        <w:t>程师可以熟练操作为止，相应人员熟练掌握设备，能正确操作、日常维护、维修。</w:t>
      </w:r>
    </w:p>
    <w:p>
      <w:pPr>
        <w:rPr>
          <w:rFonts w:hint="eastAsia" w:ascii="仿宋" w:hAnsi="仿宋" w:eastAsia="仿宋" w:cs="仿宋"/>
          <w:sz w:val="30"/>
          <w:szCs w:val="30"/>
        </w:rPr>
      </w:pPr>
      <w:r>
        <w:rPr>
          <w:rFonts w:hint="eastAsia" w:ascii="仿宋" w:hAnsi="仿宋" w:eastAsia="仿宋" w:cs="仿宋"/>
          <w:sz w:val="30"/>
          <w:szCs w:val="30"/>
        </w:rPr>
        <w:t>2.2.5供货方需提供</w:t>
      </w:r>
      <w:r>
        <w:rPr>
          <w:rFonts w:hint="eastAsia" w:ascii="仿宋" w:hAnsi="仿宋" w:eastAsia="仿宋" w:cs="仿宋"/>
          <w:color w:val="000000" w:themeColor="text1"/>
          <w:sz w:val="30"/>
          <w:szCs w:val="30"/>
        </w:rPr>
        <w:t>操作手册、维修手册、说明书</w:t>
      </w:r>
      <w:r>
        <w:rPr>
          <w:rFonts w:hint="eastAsia" w:ascii="仿宋" w:hAnsi="仿宋" w:eastAsia="仿宋" w:cs="仿宋"/>
          <w:sz w:val="30"/>
          <w:szCs w:val="30"/>
        </w:rPr>
        <w:t>等相关中文技术资料各两套。</w:t>
      </w:r>
    </w:p>
    <w:p>
      <w:pPr>
        <w:rPr>
          <w:rFonts w:hint="eastAsia" w:ascii="仿宋" w:hAnsi="仿宋" w:eastAsia="仿宋" w:cs="仿宋"/>
          <w:sz w:val="30"/>
          <w:szCs w:val="30"/>
        </w:rPr>
      </w:pPr>
    </w:p>
    <w:p>
      <w:pPr>
        <w:jc w:val="center"/>
        <w:rPr>
          <w:rFonts w:hint="eastAsia" w:ascii="仿宋" w:hAnsi="仿宋" w:eastAsia="仿宋" w:cs="仿宋"/>
          <w:b/>
          <w:bCs/>
          <w:sz w:val="30"/>
          <w:szCs w:val="30"/>
        </w:rPr>
      </w:pPr>
      <w:r>
        <w:rPr>
          <w:rFonts w:hint="eastAsia" w:ascii="仿宋" w:hAnsi="仿宋" w:eastAsia="仿宋" w:cs="仿宋"/>
          <w:b/>
          <w:bCs/>
          <w:sz w:val="30"/>
          <w:szCs w:val="30"/>
        </w:rPr>
        <w:t>金属浴项目采购需求</w:t>
      </w:r>
    </w:p>
    <w:p>
      <w:pPr>
        <w:numPr>
          <w:ilvl w:val="0"/>
          <w:numId w:val="7"/>
        </w:numPr>
        <w:rPr>
          <w:rFonts w:hint="eastAsia" w:ascii="仿宋" w:hAnsi="仿宋" w:eastAsia="仿宋" w:cs="仿宋"/>
          <w:bCs/>
          <w:color w:val="000000" w:themeColor="text1"/>
          <w:sz w:val="30"/>
          <w:szCs w:val="30"/>
        </w:rPr>
      </w:pPr>
      <w:r>
        <w:rPr>
          <w:rFonts w:hint="eastAsia" w:ascii="仿宋" w:hAnsi="仿宋" w:eastAsia="仿宋" w:cs="仿宋"/>
          <w:sz w:val="30"/>
          <w:szCs w:val="30"/>
        </w:rPr>
        <w:t>技术要求</w:t>
      </w:r>
      <w:r>
        <w:rPr>
          <w:rFonts w:hint="eastAsia" w:ascii="仿宋" w:hAnsi="仿宋" w:eastAsia="仿宋" w:cs="仿宋"/>
          <w:sz w:val="30"/>
          <w:szCs w:val="30"/>
        </w:rPr>
        <w:br w:type="textWrapping"/>
      </w:r>
      <w:r>
        <w:rPr>
          <w:rFonts w:hint="eastAsia" w:ascii="仿宋" w:hAnsi="仿宋" w:eastAsia="仿宋" w:cs="仿宋"/>
          <w:sz w:val="30"/>
          <w:szCs w:val="30"/>
        </w:rPr>
        <w:t>1.1</w:t>
      </w:r>
      <w:r>
        <w:rPr>
          <w:rFonts w:hint="eastAsia" w:ascii="仿宋" w:hAnsi="仿宋" w:eastAsia="仿宋" w:cs="仿宋"/>
          <w:bCs/>
          <w:sz w:val="30"/>
          <w:szCs w:val="30"/>
        </w:rPr>
        <w:t>整体要求</w:t>
      </w:r>
      <w:r>
        <w:rPr>
          <w:rFonts w:hint="eastAsia" w:ascii="仿宋" w:hAnsi="仿宋" w:eastAsia="仿宋" w:cs="仿宋"/>
          <w:sz w:val="30"/>
          <w:szCs w:val="30"/>
        </w:rPr>
        <w:t>：</w:t>
      </w:r>
    </w:p>
    <w:p>
      <w:pPr>
        <w:tabs>
          <w:tab w:val="left" w:pos="312"/>
        </w:tabs>
        <w:ind w:firstLine="600" w:firstLineChars="200"/>
        <w:rPr>
          <w:rFonts w:hint="eastAsia" w:ascii="仿宋" w:hAnsi="仿宋" w:eastAsia="仿宋" w:cs="仿宋"/>
          <w:bCs/>
          <w:color w:val="000000" w:themeColor="text1"/>
          <w:sz w:val="30"/>
          <w:szCs w:val="30"/>
        </w:rPr>
      </w:pPr>
      <w:r>
        <w:rPr>
          <w:rFonts w:hint="eastAsia" w:ascii="仿宋" w:hAnsi="仿宋" w:eastAsia="仿宋" w:cs="仿宋"/>
          <w:bCs/>
          <w:color w:val="000000" w:themeColor="text1"/>
          <w:sz w:val="30"/>
          <w:szCs w:val="30"/>
        </w:rPr>
        <w:t>温度设定范围</w:t>
      </w:r>
      <w:r>
        <w:rPr>
          <w:rFonts w:hint="eastAsia" w:ascii="仿宋" w:hAnsi="仿宋" w:eastAsia="仿宋" w:cs="仿宋"/>
          <w:bCs/>
          <w:sz w:val="30"/>
          <w:szCs w:val="30"/>
        </w:rPr>
        <w:t>0.1℃-100℃</w:t>
      </w:r>
      <w:r>
        <w:rPr>
          <w:rFonts w:hint="eastAsia" w:ascii="仿宋" w:hAnsi="仿宋" w:eastAsia="仿宋" w:cs="仿宋"/>
          <w:bCs/>
          <w:color w:val="000000" w:themeColor="text1"/>
          <w:sz w:val="30"/>
          <w:szCs w:val="30"/>
        </w:rPr>
        <w:t>，精准；升、降温速度快，具备振荡功能。</w:t>
      </w:r>
    </w:p>
    <w:p>
      <w:pPr>
        <w:rPr>
          <w:rFonts w:hint="eastAsia" w:ascii="仿宋" w:hAnsi="仿宋" w:eastAsia="仿宋" w:cs="仿宋"/>
          <w:sz w:val="30"/>
          <w:szCs w:val="30"/>
        </w:rPr>
      </w:pPr>
      <w:r>
        <w:rPr>
          <w:rFonts w:hint="eastAsia" w:ascii="仿宋" w:hAnsi="仿宋" w:eastAsia="仿宋" w:cs="仿宋"/>
          <w:sz w:val="30"/>
          <w:szCs w:val="30"/>
        </w:rPr>
        <w:t>1.2配置要求：</w:t>
      </w:r>
    </w:p>
    <w:p>
      <w:pPr>
        <w:rPr>
          <w:rFonts w:hint="eastAsia" w:ascii="仿宋" w:hAnsi="仿宋" w:eastAsia="仿宋" w:cs="仿宋"/>
          <w:sz w:val="30"/>
          <w:szCs w:val="30"/>
        </w:rPr>
      </w:pPr>
      <w:r>
        <w:rPr>
          <w:rFonts w:hint="eastAsia" w:ascii="仿宋" w:hAnsi="仿宋" w:eastAsia="仿宋" w:cs="仿宋"/>
          <w:sz w:val="30"/>
          <w:szCs w:val="30"/>
        </w:rPr>
        <w:t>1.2.1. 金属浴主机1台；</w:t>
      </w:r>
    </w:p>
    <w:p>
      <w:pPr>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1.2.2. 0.2ml*96孔板1个；</w:t>
      </w:r>
    </w:p>
    <w:p>
      <w:pPr>
        <w:rPr>
          <w:rFonts w:hint="eastAsia" w:ascii="仿宋" w:hAnsi="仿宋" w:eastAsia="仿宋" w:cs="仿宋"/>
          <w:sz w:val="30"/>
          <w:szCs w:val="30"/>
        </w:rPr>
      </w:pPr>
      <w:r>
        <w:rPr>
          <w:rFonts w:hint="eastAsia" w:ascii="仿宋" w:hAnsi="仿宋" w:eastAsia="仿宋" w:cs="仿宋"/>
          <w:color w:val="000000" w:themeColor="text1"/>
          <w:sz w:val="30"/>
          <w:szCs w:val="30"/>
        </w:rPr>
        <w:t>1.2.3. 1.5ml*24孔板1个；</w:t>
      </w:r>
      <w:r>
        <w:rPr>
          <w:rFonts w:hint="eastAsia" w:ascii="仿宋" w:hAnsi="仿宋" w:eastAsia="仿宋" w:cs="仿宋"/>
          <w:color w:val="FF0000"/>
          <w:sz w:val="30"/>
          <w:szCs w:val="30"/>
        </w:rPr>
        <w:br w:type="textWrapping"/>
      </w:r>
      <w:r>
        <w:rPr>
          <w:rFonts w:hint="eastAsia" w:ascii="仿宋" w:hAnsi="仿宋" w:eastAsia="仿宋" w:cs="仿宋"/>
          <w:sz w:val="30"/>
          <w:szCs w:val="30"/>
        </w:rPr>
        <w:t>1.2.4. 酶标板1个;</w:t>
      </w:r>
    </w:p>
    <w:p>
      <w:pPr>
        <w:rPr>
          <w:rFonts w:hint="eastAsia" w:ascii="仿宋" w:hAnsi="仿宋" w:eastAsia="仿宋" w:cs="仿宋"/>
          <w:bCs/>
          <w:sz w:val="30"/>
          <w:szCs w:val="30"/>
        </w:rPr>
      </w:pPr>
      <w:r>
        <w:rPr>
          <w:rFonts w:hint="eastAsia" w:ascii="仿宋" w:hAnsi="仿宋" w:eastAsia="仿宋" w:cs="仿宋"/>
          <w:sz w:val="30"/>
          <w:szCs w:val="30"/>
        </w:rPr>
        <w:t>1.2.5.</w:t>
      </w:r>
      <w:r>
        <w:rPr>
          <w:rFonts w:hint="eastAsia" w:ascii="仿宋" w:hAnsi="仿宋" w:eastAsia="仿宋" w:cs="仿宋"/>
          <w:bCs/>
          <w:sz w:val="30"/>
          <w:szCs w:val="30"/>
        </w:rPr>
        <w:t xml:space="preserve"> 保温功能模块罩</w:t>
      </w:r>
      <w:r>
        <w:rPr>
          <w:rFonts w:hint="eastAsia" w:ascii="仿宋" w:hAnsi="仿宋" w:eastAsia="仿宋" w:cs="仿宋"/>
          <w:sz w:val="30"/>
          <w:szCs w:val="30"/>
        </w:rPr>
        <w:t>1个。</w:t>
      </w:r>
      <w:r>
        <w:rPr>
          <w:rFonts w:hint="eastAsia" w:ascii="仿宋" w:hAnsi="仿宋" w:eastAsia="仿宋" w:cs="仿宋"/>
          <w:sz w:val="30"/>
          <w:szCs w:val="30"/>
        </w:rPr>
        <w:br w:type="textWrapping"/>
      </w:r>
      <w:r>
        <w:rPr>
          <w:rFonts w:hint="eastAsia" w:ascii="仿宋" w:hAnsi="仿宋" w:eastAsia="仿宋" w:cs="仿宋"/>
          <w:sz w:val="30"/>
          <w:szCs w:val="30"/>
        </w:rPr>
        <w:t>1.</w:t>
      </w:r>
      <w:r>
        <w:rPr>
          <w:rFonts w:hint="eastAsia" w:ascii="仿宋" w:hAnsi="仿宋" w:eastAsia="仿宋" w:cs="仿宋"/>
          <w:bCs/>
          <w:sz w:val="30"/>
          <w:szCs w:val="30"/>
        </w:rPr>
        <w:t>3具体功能及参数要求</w:t>
      </w:r>
      <w:r>
        <w:rPr>
          <w:rFonts w:hint="eastAsia" w:ascii="仿宋" w:hAnsi="仿宋" w:eastAsia="仿宋" w:cs="仿宋"/>
          <w:sz w:val="30"/>
          <w:szCs w:val="30"/>
        </w:rPr>
        <w:t>：</w:t>
      </w:r>
      <w:r>
        <w:rPr>
          <w:rFonts w:hint="eastAsia" w:ascii="仿宋" w:hAnsi="仿宋" w:eastAsia="仿宋" w:cs="仿宋"/>
          <w:sz w:val="30"/>
          <w:szCs w:val="30"/>
        </w:rPr>
        <w:br w:type="textWrapping"/>
      </w:r>
      <w:r>
        <w:rPr>
          <w:rFonts w:hint="eastAsia" w:ascii="仿宋" w:hAnsi="仿宋" w:eastAsia="仿宋" w:cs="仿宋"/>
          <w:sz w:val="30"/>
          <w:szCs w:val="30"/>
        </w:rPr>
        <w:t>★1.3.</w:t>
      </w:r>
      <w:r>
        <w:rPr>
          <w:rFonts w:hint="eastAsia" w:ascii="仿宋" w:hAnsi="仿宋" w:eastAsia="仿宋" w:cs="仿宋"/>
          <w:bCs/>
          <w:sz w:val="30"/>
          <w:szCs w:val="30"/>
        </w:rPr>
        <w:t>1.具备</w:t>
      </w:r>
      <w:r>
        <w:rPr>
          <w:rFonts w:hint="eastAsia" w:ascii="仿宋" w:hAnsi="仿宋" w:eastAsia="仿宋" w:cs="仿宋"/>
          <w:bCs/>
          <w:color w:val="000000" w:themeColor="text1"/>
          <w:sz w:val="30"/>
          <w:szCs w:val="30"/>
        </w:rPr>
        <w:t>振荡</w:t>
      </w:r>
      <w:r>
        <w:rPr>
          <w:rFonts w:hint="eastAsia" w:ascii="仿宋" w:hAnsi="仿宋" w:eastAsia="仿宋" w:cs="仿宋"/>
          <w:bCs/>
          <w:sz w:val="30"/>
          <w:szCs w:val="30"/>
        </w:rPr>
        <w:t>和温度控制功能，</w:t>
      </w:r>
      <w:r>
        <w:rPr>
          <w:rFonts w:hint="eastAsia" w:ascii="仿宋" w:hAnsi="仿宋" w:eastAsia="仿宋" w:cs="仿宋"/>
          <w:bCs/>
          <w:color w:val="000000" w:themeColor="text1"/>
          <w:sz w:val="30"/>
          <w:szCs w:val="30"/>
        </w:rPr>
        <w:t>振荡转速范围300-1500rpm；</w:t>
      </w:r>
    </w:p>
    <w:p>
      <w:pPr>
        <w:rPr>
          <w:rFonts w:hint="eastAsia" w:ascii="仿宋" w:hAnsi="仿宋" w:eastAsia="仿宋" w:cs="仿宋"/>
          <w:bCs/>
          <w:sz w:val="30"/>
          <w:szCs w:val="30"/>
        </w:rPr>
      </w:pPr>
      <w:r>
        <w:rPr>
          <w:rFonts w:hint="eastAsia" w:ascii="仿宋" w:hAnsi="仿宋" w:eastAsia="仿宋" w:cs="仿宋"/>
          <w:bCs/>
          <w:sz w:val="30"/>
          <w:szCs w:val="30"/>
        </w:rPr>
        <w:t>1.3.2.温度控制系统，范围0.1℃-100℃；</w:t>
      </w:r>
    </w:p>
    <w:p>
      <w:pPr>
        <w:rPr>
          <w:rFonts w:hint="eastAsia" w:ascii="仿宋" w:hAnsi="仿宋" w:eastAsia="仿宋" w:cs="仿宋"/>
          <w:bCs/>
          <w:sz w:val="30"/>
          <w:szCs w:val="30"/>
        </w:rPr>
      </w:pPr>
      <w:r>
        <w:rPr>
          <w:rFonts w:hint="eastAsia" w:ascii="仿宋" w:hAnsi="仿宋" w:eastAsia="仿宋" w:cs="仿宋"/>
          <w:sz w:val="30"/>
          <w:szCs w:val="30"/>
        </w:rPr>
        <w:t>★</w:t>
      </w:r>
      <w:r>
        <w:rPr>
          <w:rFonts w:hint="eastAsia" w:ascii="仿宋" w:hAnsi="仿宋" w:eastAsia="仿宋" w:cs="仿宋"/>
          <w:bCs/>
          <w:sz w:val="30"/>
          <w:szCs w:val="30"/>
        </w:rPr>
        <w:t>1.3.3. 控温范围:-10℃-100℃；控温精度为±0.5℃；</w:t>
      </w:r>
    </w:p>
    <w:p>
      <w:pPr>
        <w:rPr>
          <w:rFonts w:hint="eastAsia" w:ascii="仿宋" w:hAnsi="仿宋" w:eastAsia="仿宋" w:cs="仿宋"/>
          <w:bCs/>
          <w:sz w:val="30"/>
          <w:szCs w:val="30"/>
        </w:rPr>
      </w:pPr>
      <w:r>
        <w:rPr>
          <w:rFonts w:hint="eastAsia" w:ascii="仿宋" w:hAnsi="仿宋" w:eastAsia="仿宋" w:cs="仿宋"/>
          <w:bCs/>
          <w:sz w:val="30"/>
          <w:szCs w:val="30"/>
        </w:rPr>
        <w:t>1.3.4内置时间设定：范围1min-99h59min，恒温时间倒计时显示并提示；</w:t>
      </w:r>
    </w:p>
    <w:p>
      <w:pPr>
        <w:rPr>
          <w:rFonts w:hint="eastAsia" w:ascii="仿宋" w:hAnsi="仿宋" w:eastAsia="仿宋" w:cs="仿宋"/>
          <w:bCs/>
          <w:sz w:val="30"/>
          <w:szCs w:val="30"/>
        </w:rPr>
      </w:pPr>
      <w:r>
        <w:rPr>
          <w:rFonts w:hint="eastAsia" w:ascii="仿宋" w:hAnsi="仿宋" w:eastAsia="仿宋" w:cs="仿宋"/>
          <w:bCs/>
          <w:sz w:val="30"/>
          <w:szCs w:val="30"/>
        </w:rPr>
        <w:t xml:space="preserve">1.3.5仪器升温速度：在20℃至100℃温度下≤15分钟；1.3.6仪器降温速度：从100℃下降到25℃≤10分钟；  </w:t>
      </w:r>
      <w:r>
        <w:rPr>
          <w:rFonts w:hint="eastAsia" w:ascii="仿宋" w:hAnsi="仿宋" w:eastAsia="仿宋" w:cs="仿宋"/>
          <w:bCs/>
          <w:sz w:val="30"/>
          <w:szCs w:val="30"/>
        </w:rPr>
        <w:br w:type="textWrapping"/>
      </w:r>
      <w:r>
        <w:rPr>
          <w:rFonts w:hint="eastAsia" w:ascii="仿宋" w:hAnsi="仿宋" w:eastAsia="仿宋" w:cs="仿宋"/>
          <w:bCs/>
          <w:sz w:val="30"/>
          <w:szCs w:val="30"/>
        </w:rPr>
        <w:t>1.3.7具备磁铁吸附功能；</w:t>
      </w:r>
    </w:p>
    <w:p>
      <w:pPr>
        <w:rPr>
          <w:rFonts w:hint="eastAsia" w:ascii="仿宋" w:hAnsi="仿宋" w:eastAsia="仿宋" w:cs="仿宋"/>
          <w:bCs/>
          <w:sz w:val="30"/>
          <w:szCs w:val="30"/>
        </w:rPr>
      </w:pPr>
      <w:r>
        <w:rPr>
          <w:rFonts w:hint="eastAsia" w:ascii="仿宋" w:hAnsi="仿宋" w:eastAsia="仿宋" w:cs="仿宋"/>
          <w:sz w:val="30"/>
          <w:szCs w:val="30"/>
        </w:rPr>
        <w:t>1.3.8</w:t>
      </w:r>
      <w:r>
        <w:rPr>
          <w:rFonts w:hint="eastAsia" w:ascii="仿宋" w:hAnsi="仿宋" w:eastAsia="仿宋" w:cs="仿宋"/>
          <w:bCs/>
          <w:sz w:val="30"/>
          <w:szCs w:val="30"/>
        </w:rPr>
        <w:t>配置保温功能模块罩。</w:t>
      </w:r>
    </w:p>
    <w:p>
      <w:pPr>
        <w:rPr>
          <w:rFonts w:hint="eastAsia" w:ascii="仿宋" w:hAnsi="仿宋" w:eastAsia="仿宋" w:cs="仿宋"/>
          <w:sz w:val="30"/>
          <w:szCs w:val="30"/>
        </w:rPr>
      </w:pPr>
      <w:r>
        <w:rPr>
          <w:rFonts w:hint="eastAsia" w:ascii="仿宋" w:hAnsi="仿宋" w:eastAsia="仿宋" w:cs="仿宋"/>
          <w:sz w:val="30"/>
          <w:szCs w:val="30"/>
        </w:rPr>
        <w:t>2.商务及售后要求：</w:t>
      </w:r>
    </w:p>
    <w:p>
      <w:pPr>
        <w:rPr>
          <w:rFonts w:hint="eastAsia" w:ascii="仿宋" w:hAnsi="仿宋" w:eastAsia="仿宋" w:cs="仿宋"/>
          <w:sz w:val="30"/>
          <w:szCs w:val="30"/>
        </w:rPr>
      </w:pPr>
      <w:r>
        <w:rPr>
          <w:rFonts w:hint="eastAsia" w:ascii="仿宋" w:hAnsi="仿宋" w:eastAsia="仿宋" w:cs="仿宋"/>
          <w:sz w:val="30"/>
          <w:szCs w:val="30"/>
        </w:rPr>
        <w:t>2.1交货（实施）期及地点：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交货（实施）期：合同签订后30个工作日内；</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地点：甘肃省第二人民医院</w:t>
      </w:r>
    </w:p>
    <w:p>
      <w:pPr>
        <w:rPr>
          <w:rFonts w:hint="eastAsia" w:ascii="仿宋" w:hAnsi="仿宋" w:eastAsia="仿宋" w:cs="仿宋"/>
          <w:sz w:val="30"/>
          <w:szCs w:val="30"/>
        </w:rPr>
      </w:pPr>
      <w:r>
        <w:rPr>
          <w:rFonts w:hint="eastAsia" w:ascii="仿宋" w:hAnsi="仿宋" w:eastAsia="仿宋" w:cs="仿宋"/>
          <w:sz w:val="30"/>
          <w:szCs w:val="30"/>
        </w:rPr>
        <w:t>2.2售后服务：</w:t>
      </w:r>
    </w:p>
    <w:p>
      <w:pPr>
        <w:rPr>
          <w:rFonts w:hint="eastAsia" w:ascii="仿宋" w:hAnsi="仿宋" w:eastAsia="仿宋" w:cs="仿宋"/>
          <w:sz w:val="30"/>
          <w:szCs w:val="30"/>
        </w:rPr>
      </w:pPr>
      <w:r>
        <w:rPr>
          <w:rFonts w:hint="eastAsia" w:ascii="仿宋" w:hAnsi="仿宋" w:eastAsia="仿宋" w:cs="仿宋"/>
          <w:sz w:val="30"/>
          <w:szCs w:val="30"/>
        </w:rPr>
        <w:t>2.2.1质保期：整机质保</w:t>
      </w:r>
      <w:r>
        <w:rPr>
          <w:rFonts w:hint="eastAsia" w:ascii="仿宋" w:hAnsi="仿宋" w:eastAsia="仿宋" w:cs="仿宋"/>
          <w:color w:val="000000" w:themeColor="text1"/>
          <w:sz w:val="30"/>
          <w:szCs w:val="30"/>
        </w:rPr>
        <w:t xml:space="preserve">5 </w:t>
      </w:r>
      <w:r>
        <w:rPr>
          <w:rFonts w:hint="eastAsia" w:ascii="仿宋" w:hAnsi="仿宋" w:eastAsia="仿宋" w:cs="仿宋"/>
          <w:sz w:val="30"/>
          <w:szCs w:val="30"/>
        </w:rPr>
        <w:t>年，质保期自正式验收合格之日起计算，提供原厂质保承诺文件，在质保期内进行售后服务不得收取任何费用。</w:t>
      </w:r>
    </w:p>
    <w:p>
      <w:pPr>
        <w:rPr>
          <w:rFonts w:hint="eastAsia" w:ascii="仿宋" w:hAnsi="仿宋" w:eastAsia="仿宋" w:cs="仿宋"/>
          <w:sz w:val="30"/>
          <w:szCs w:val="30"/>
        </w:rPr>
      </w:pPr>
      <w:r>
        <w:rPr>
          <w:rFonts w:hint="eastAsia" w:ascii="仿宋" w:hAnsi="仿宋" w:eastAsia="仿宋" w:cs="仿宋"/>
          <w:sz w:val="30"/>
          <w:szCs w:val="30"/>
        </w:rPr>
        <w:t>2.2.2验收合格后质保期内每年（按365天计算）设备开机率≥95%，若达不到，不足的开机天数按照1：3相应延长质保期。</w:t>
      </w:r>
    </w:p>
    <w:p>
      <w:pPr>
        <w:rPr>
          <w:rFonts w:hint="eastAsia" w:ascii="仿宋" w:hAnsi="仿宋" w:eastAsia="仿宋" w:cs="仿宋"/>
          <w:color w:val="FF0000"/>
          <w:sz w:val="30"/>
          <w:szCs w:val="30"/>
        </w:rPr>
      </w:pPr>
      <w:r>
        <w:rPr>
          <w:rFonts w:hint="eastAsia" w:ascii="仿宋" w:hAnsi="仿宋" w:eastAsia="仿宋" w:cs="仿宋"/>
          <w:sz w:val="30"/>
          <w:szCs w:val="30"/>
        </w:rPr>
        <w:t>2.2.3配备售后服务工程师，如实提供售后工程师名单、联系方式等证明材料。</w:t>
      </w:r>
      <w:r>
        <w:rPr>
          <w:rFonts w:hint="eastAsia" w:ascii="仿宋" w:hAnsi="仿宋" w:eastAsia="仿宋" w:cs="仿宋"/>
          <w:color w:val="000000" w:themeColor="text1"/>
          <w:sz w:val="30"/>
          <w:szCs w:val="30"/>
        </w:rPr>
        <w:t>线上线下均可培训，接到院方报修 2小时内响应，48小时内抵达现场维修。</w:t>
      </w:r>
    </w:p>
    <w:p>
      <w:pPr>
        <w:rPr>
          <w:rFonts w:hint="eastAsia" w:ascii="仿宋" w:hAnsi="仿宋" w:eastAsia="仿宋" w:cs="仿宋"/>
          <w:sz w:val="30"/>
          <w:szCs w:val="30"/>
        </w:rPr>
      </w:pPr>
      <w:r>
        <w:rPr>
          <w:rFonts w:hint="eastAsia" w:ascii="仿宋" w:hAnsi="仿宋" w:eastAsia="仿宋" w:cs="仿宋"/>
          <w:sz w:val="30"/>
          <w:szCs w:val="30"/>
        </w:rPr>
        <w:t>2.2.4培训方案：安装调试完成后配合用户时间，</w:t>
      </w:r>
      <w:r>
        <w:rPr>
          <w:rFonts w:hint="eastAsia" w:ascii="仿宋" w:hAnsi="仿宋" w:eastAsia="仿宋" w:cs="仿宋"/>
          <w:color w:val="000000" w:themeColor="text1"/>
          <w:sz w:val="30"/>
          <w:szCs w:val="30"/>
        </w:rPr>
        <w:t>安排进行不限时、不限人数的现场培训</w:t>
      </w:r>
      <w:r>
        <w:rPr>
          <w:rFonts w:hint="eastAsia" w:ascii="仿宋" w:hAnsi="仿宋" w:eastAsia="仿宋" w:cs="仿宋"/>
          <w:sz w:val="30"/>
          <w:szCs w:val="30"/>
        </w:rPr>
        <w:t xml:space="preserve">，直至主要使用人员及2名院内维修工程师可以熟练操作为止，相应人员熟练掌握设备，能正确操作、日常维护、维修。 </w:t>
      </w:r>
    </w:p>
    <w:p>
      <w:pPr>
        <w:rPr>
          <w:rFonts w:hint="eastAsia" w:ascii="仿宋" w:hAnsi="仿宋" w:eastAsia="仿宋" w:cs="仿宋"/>
          <w:color w:val="000000" w:themeColor="text1"/>
          <w:sz w:val="30"/>
          <w:szCs w:val="30"/>
        </w:rPr>
      </w:pPr>
      <w:r>
        <w:rPr>
          <w:rFonts w:hint="eastAsia" w:ascii="仿宋" w:hAnsi="仿宋" w:eastAsia="仿宋" w:cs="仿宋"/>
          <w:sz w:val="30"/>
          <w:szCs w:val="30"/>
        </w:rPr>
        <w:t>2.2.5配件供应：</w:t>
      </w:r>
      <w:r>
        <w:rPr>
          <w:rFonts w:hint="eastAsia" w:ascii="仿宋" w:hAnsi="仿宋" w:eastAsia="仿宋" w:cs="仿宋"/>
          <w:color w:val="000000" w:themeColor="text1"/>
          <w:sz w:val="30"/>
          <w:szCs w:val="30"/>
        </w:rPr>
        <w:t>国内有配件仓库，保证十年内配件供应。</w:t>
      </w:r>
    </w:p>
    <w:p>
      <w:pPr>
        <w:rPr>
          <w:rFonts w:hint="eastAsia" w:ascii="仿宋" w:hAnsi="仿宋" w:eastAsia="仿宋" w:cs="仿宋"/>
          <w:sz w:val="30"/>
          <w:szCs w:val="30"/>
        </w:rPr>
      </w:pPr>
      <w:r>
        <w:rPr>
          <w:rFonts w:hint="eastAsia" w:ascii="仿宋" w:hAnsi="仿宋" w:eastAsia="仿宋" w:cs="仿宋"/>
          <w:sz w:val="30"/>
          <w:szCs w:val="30"/>
        </w:rPr>
        <w:t>2.2.6供货方需提</w:t>
      </w:r>
      <w:r>
        <w:rPr>
          <w:rFonts w:hint="eastAsia" w:ascii="仿宋" w:hAnsi="仿宋" w:eastAsia="仿宋" w:cs="仿宋"/>
          <w:color w:val="000000" w:themeColor="text1"/>
          <w:sz w:val="30"/>
          <w:szCs w:val="30"/>
        </w:rPr>
        <w:t>供操作手册、维修手册、说明书</w:t>
      </w:r>
      <w:r>
        <w:rPr>
          <w:rFonts w:hint="eastAsia" w:ascii="仿宋" w:hAnsi="仿宋" w:eastAsia="仿宋" w:cs="仿宋"/>
          <w:sz w:val="30"/>
          <w:szCs w:val="30"/>
        </w:rPr>
        <w:t>等相关中文技术资料各两套。</w:t>
      </w:r>
    </w:p>
    <w:p>
      <w:pPr>
        <w:jc w:val="center"/>
        <w:rPr>
          <w:rFonts w:hint="eastAsia" w:ascii="仿宋" w:hAnsi="仿宋" w:eastAsia="仿宋" w:cs="仿宋"/>
          <w:sz w:val="30"/>
          <w:szCs w:val="30"/>
        </w:rPr>
      </w:pPr>
    </w:p>
    <w:p>
      <w:pPr>
        <w:jc w:val="center"/>
        <w:rPr>
          <w:rFonts w:hint="eastAsia" w:ascii="仿宋" w:hAnsi="仿宋" w:eastAsia="仿宋" w:cs="仿宋"/>
          <w:b/>
          <w:bCs/>
          <w:sz w:val="30"/>
          <w:szCs w:val="30"/>
        </w:rPr>
      </w:pPr>
      <w:r>
        <w:rPr>
          <w:rFonts w:hint="eastAsia" w:ascii="仿宋" w:hAnsi="仿宋" w:eastAsia="仿宋" w:cs="仿宋"/>
          <w:b/>
          <w:bCs/>
          <w:sz w:val="30"/>
          <w:szCs w:val="30"/>
        </w:rPr>
        <w:t>冷藏冷冻冰箱项目采购需求</w:t>
      </w:r>
    </w:p>
    <w:p>
      <w:pPr>
        <w:rPr>
          <w:rFonts w:hint="eastAsia" w:ascii="仿宋" w:hAnsi="仿宋" w:eastAsia="仿宋" w:cs="仿宋"/>
          <w:sz w:val="30"/>
          <w:szCs w:val="30"/>
        </w:rPr>
      </w:pPr>
      <w:r>
        <w:rPr>
          <w:rFonts w:hint="eastAsia" w:ascii="仿宋" w:hAnsi="仿宋" w:eastAsia="仿宋" w:cs="仿宋"/>
          <w:sz w:val="30"/>
          <w:szCs w:val="30"/>
        </w:rPr>
        <w:t>1.技术要求</w:t>
      </w:r>
    </w:p>
    <w:p>
      <w:pPr>
        <w:jc w:val="left"/>
        <w:rPr>
          <w:rFonts w:hint="eastAsia" w:ascii="仿宋" w:hAnsi="仿宋" w:eastAsia="仿宋" w:cs="仿宋"/>
          <w:sz w:val="30"/>
          <w:szCs w:val="30"/>
        </w:rPr>
      </w:pPr>
      <w:r>
        <w:rPr>
          <w:rFonts w:hint="eastAsia" w:ascii="仿宋" w:hAnsi="仿宋" w:eastAsia="仿宋" w:cs="仿宋"/>
          <w:sz w:val="30"/>
          <w:szCs w:val="30"/>
        </w:rPr>
        <w:t>1.1</w:t>
      </w:r>
      <w:r>
        <w:rPr>
          <w:rFonts w:hint="eastAsia" w:ascii="仿宋" w:hAnsi="仿宋" w:eastAsia="仿宋" w:cs="仿宋"/>
          <w:bCs/>
          <w:sz w:val="30"/>
          <w:szCs w:val="30"/>
        </w:rPr>
        <w:t>整体要求</w:t>
      </w:r>
      <w:r>
        <w:rPr>
          <w:rFonts w:hint="eastAsia" w:ascii="仿宋" w:hAnsi="仿宋" w:eastAsia="仿宋" w:cs="仿宋"/>
          <w:sz w:val="30"/>
          <w:szCs w:val="30"/>
        </w:rPr>
        <w:t>：</w:t>
      </w:r>
      <w:r>
        <w:rPr>
          <w:rFonts w:hint="eastAsia" w:ascii="仿宋" w:hAnsi="仿宋" w:eastAsia="仿宋" w:cs="仿宋"/>
          <w:sz w:val="30"/>
          <w:szCs w:val="30"/>
        </w:rPr>
        <w:br w:type="textWrapping"/>
      </w:r>
      <w:r>
        <w:rPr>
          <w:rFonts w:hint="eastAsia" w:ascii="仿宋" w:hAnsi="仿宋" w:eastAsia="仿宋" w:cs="仿宋"/>
          <w:sz w:val="30"/>
          <w:szCs w:val="30"/>
        </w:rPr>
        <w:t>用于试剂的保存，血液、体液及组织样本的存放；</w:t>
      </w:r>
    </w:p>
    <w:p>
      <w:pPr>
        <w:rPr>
          <w:rFonts w:hint="eastAsia" w:ascii="仿宋" w:hAnsi="仿宋" w:eastAsia="仿宋" w:cs="仿宋"/>
          <w:sz w:val="30"/>
          <w:szCs w:val="30"/>
        </w:rPr>
      </w:pPr>
      <w:r>
        <w:rPr>
          <w:rFonts w:hint="eastAsia" w:ascii="仿宋" w:hAnsi="仿宋" w:eastAsia="仿宋" w:cs="仿宋"/>
          <w:sz w:val="30"/>
          <w:szCs w:val="30"/>
        </w:rPr>
        <w:t>1.2配置要求：</w:t>
      </w:r>
    </w:p>
    <w:p>
      <w:pPr>
        <w:rPr>
          <w:rFonts w:hint="eastAsia" w:ascii="仿宋" w:hAnsi="仿宋" w:eastAsia="仿宋" w:cs="仿宋"/>
          <w:sz w:val="30"/>
          <w:szCs w:val="30"/>
        </w:rPr>
      </w:pPr>
      <w:r>
        <w:rPr>
          <w:rFonts w:hint="eastAsia" w:ascii="仿宋" w:hAnsi="仿宋" w:eastAsia="仿宋" w:cs="仿宋"/>
          <w:sz w:val="30"/>
          <w:szCs w:val="30"/>
        </w:rPr>
        <w:t>1.2.1冷藏冷冻冰箱2台；</w:t>
      </w:r>
    </w:p>
    <w:p>
      <w:pPr>
        <w:rPr>
          <w:rFonts w:hint="eastAsia" w:ascii="仿宋" w:hAnsi="仿宋" w:eastAsia="仿宋" w:cs="仿宋"/>
          <w:color w:val="000000" w:themeColor="text1"/>
          <w:sz w:val="30"/>
          <w:szCs w:val="30"/>
        </w:rPr>
      </w:pPr>
      <w:r>
        <w:rPr>
          <w:rFonts w:hint="eastAsia" w:ascii="仿宋" w:hAnsi="仿宋" w:eastAsia="仿宋" w:cs="仿宋"/>
          <w:sz w:val="30"/>
          <w:szCs w:val="30"/>
        </w:rPr>
        <w:t>1.2.2相应产品保修卡、说明书各一套；</w:t>
      </w:r>
      <w:r>
        <w:rPr>
          <w:rFonts w:hint="eastAsia" w:ascii="仿宋" w:hAnsi="仿宋" w:eastAsia="仿宋" w:cs="仿宋"/>
          <w:sz w:val="30"/>
          <w:szCs w:val="30"/>
        </w:rPr>
        <w:br w:type="textWrapping"/>
      </w:r>
      <w:r>
        <w:rPr>
          <w:rFonts w:hint="eastAsia" w:ascii="仿宋" w:hAnsi="仿宋" w:eastAsia="仿宋" w:cs="仿宋"/>
          <w:sz w:val="30"/>
          <w:szCs w:val="30"/>
        </w:rPr>
        <w:t>1.</w:t>
      </w:r>
      <w:r>
        <w:rPr>
          <w:rFonts w:hint="eastAsia" w:ascii="仿宋" w:hAnsi="仿宋" w:eastAsia="仿宋" w:cs="仿宋"/>
          <w:bCs/>
          <w:sz w:val="30"/>
          <w:szCs w:val="30"/>
        </w:rPr>
        <w:t>3具体功能及参数要求</w:t>
      </w:r>
      <w:r>
        <w:rPr>
          <w:rFonts w:hint="eastAsia" w:ascii="仿宋" w:hAnsi="仿宋" w:eastAsia="仿宋" w:cs="仿宋"/>
          <w:sz w:val="30"/>
          <w:szCs w:val="30"/>
        </w:rPr>
        <w:t>：</w:t>
      </w:r>
      <w:r>
        <w:rPr>
          <w:rFonts w:hint="eastAsia" w:ascii="仿宋" w:hAnsi="仿宋" w:eastAsia="仿宋" w:cs="仿宋"/>
          <w:sz w:val="30"/>
          <w:szCs w:val="30"/>
        </w:rPr>
        <w:br w:type="textWrapping"/>
      </w:r>
      <w:r>
        <w:rPr>
          <w:rFonts w:hint="eastAsia" w:ascii="仿宋" w:hAnsi="仿宋" w:eastAsia="仿宋" w:cs="仿宋"/>
          <w:sz w:val="30"/>
          <w:szCs w:val="30"/>
        </w:rPr>
        <w:t>1.3.</w:t>
      </w:r>
      <w:r>
        <w:rPr>
          <w:rFonts w:hint="eastAsia" w:ascii="仿宋" w:hAnsi="仿宋" w:eastAsia="仿宋" w:cs="仿宋"/>
          <w:bCs/>
          <w:sz w:val="30"/>
          <w:szCs w:val="30"/>
        </w:rPr>
        <w:t>1.</w:t>
      </w:r>
      <w:r>
        <w:rPr>
          <w:rFonts w:hint="eastAsia" w:ascii="仿宋" w:hAnsi="仿宋" w:eastAsia="仿宋" w:cs="仿宋"/>
          <w:color w:val="000000" w:themeColor="text1"/>
          <w:sz w:val="30"/>
          <w:szCs w:val="30"/>
        </w:rPr>
        <w:t>上、下双开门，</w:t>
      </w:r>
      <w:r>
        <w:rPr>
          <w:rFonts w:hint="eastAsia" w:ascii="仿宋" w:hAnsi="仿宋" w:eastAsia="仿宋" w:cs="仿宋"/>
          <w:sz w:val="30"/>
          <w:szCs w:val="30"/>
        </w:rPr>
        <w:t>上冷藏下冷冻，冷藏室2℃-8℃调节，冷冻室温度-15℃～-25℃可调节</w:t>
      </w:r>
      <w:r>
        <w:rPr>
          <w:rFonts w:hint="eastAsia" w:ascii="仿宋" w:hAnsi="仿宋" w:eastAsia="仿宋" w:cs="仿宋"/>
          <w:color w:val="000000" w:themeColor="text1"/>
          <w:sz w:val="30"/>
          <w:szCs w:val="30"/>
        </w:rPr>
        <w:t>；</w:t>
      </w:r>
    </w:p>
    <w:p>
      <w:pPr>
        <w:spacing w:line="360" w:lineRule="auto"/>
        <w:rPr>
          <w:rFonts w:hint="eastAsia" w:ascii="仿宋" w:hAnsi="仿宋" w:eastAsia="仿宋" w:cs="仿宋"/>
          <w:color w:val="000000" w:themeColor="text1"/>
          <w:sz w:val="30"/>
          <w:szCs w:val="30"/>
        </w:rPr>
      </w:pPr>
      <w:r>
        <w:rPr>
          <w:rFonts w:hint="eastAsia" w:ascii="仿宋" w:hAnsi="仿宋" w:eastAsia="仿宋" w:cs="仿宋"/>
          <w:sz w:val="30"/>
          <w:szCs w:val="30"/>
        </w:rPr>
        <w:t>★</w:t>
      </w:r>
      <w:r>
        <w:rPr>
          <w:rFonts w:hint="eastAsia" w:ascii="仿宋" w:hAnsi="仿宋" w:eastAsia="仿宋" w:cs="仿宋"/>
          <w:bCs/>
          <w:sz w:val="30"/>
          <w:szCs w:val="30"/>
        </w:rPr>
        <w:t>1.3.2.</w:t>
      </w:r>
      <w:r>
        <w:rPr>
          <w:rFonts w:hint="eastAsia" w:ascii="仿宋" w:hAnsi="仿宋" w:eastAsia="仿宋" w:cs="仿宋"/>
          <w:kern w:val="0"/>
          <w:sz w:val="30"/>
          <w:szCs w:val="30"/>
        </w:rPr>
        <w:t>冰箱整体总容积≥2</w:t>
      </w:r>
      <w:r>
        <w:rPr>
          <w:rFonts w:hint="eastAsia" w:ascii="仿宋" w:hAnsi="仿宋" w:eastAsia="仿宋" w:cs="仿宋"/>
          <w:kern w:val="0"/>
          <w:sz w:val="30"/>
          <w:szCs w:val="30"/>
          <w:lang w:val="en-US" w:eastAsia="zh-CN"/>
        </w:rPr>
        <w:t>20</w:t>
      </w:r>
      <w:r>
        <w:rPr>
          <w:rFonts w:hint="eastAsia" w:ascii="仿宋" w:hAnsi="仿宋" w:eastAsia="仿宋" w:cs="仿宋"/>
          <w:kern w:val="0"/>
          <w:sz w:val="30"/>
          <w:szCs w:val="30"/>
        </w:rPr>
        <w:t>L</w:t>
      </w:r>
      <w:r>
        <w:rPr>
          <w:rFonts w:hint="eastAsia" w:ascii="仿宋" w:hAnsi="仿宋" w:eastAsia="仿宋" w:cs="仿宋"/>
          <w:color w:val="000000" w:themeColor="text1"/>
          <w:sz w:val="30"/>
          <w:szCs w:val="30"/>
        </w:rPr>
        <w:t>；</w:t>
      </w:r>
    </w:p>
    <w:p>
      <w:pPr>
        <w:pStyle w:val="238"/>
        <w:widowControl/>
        <w:shd w:val="clear" w:color="auto" w:fill="FFFFFF"/>
        <w:spacing w:before="0" w:after="0"/>
        <w:rPr>
          <w:rFonts w:hint="eastAsia" w:ascii="仿宋" w:hAnsi="仿宋" w:eastAsia="仿宋" w:cs="仿宋"/>
          <w:sz w:val="30"/>
          <w:szCs w:val="30"/>
          <w:lang w:val="zh-CN"/>
        </w:rPr>
      </w:pPr>
      <w:r>
        <w:rPr>
          <w:rFonts w:hint="eastAsia" w:ascii="仿宋" w:hAnsi="仿宋" w:eastAsia="仿宋" w:cs="仿宋"/>
          <w:sz w:val="30"/>
          <w:szCs w:val="30"/>
        </w:rPr>
        <w:t>★1.3.</w:t>
      </w:r>
      <w:r>
        <w:rPr>
          <w:rFonts w:hint="eastAsia" w:ascii="仿宋" w:hAnsi="仿宋" w:eastAsia="仿宋" w:cs="仿宋"/>
          <w:bCs/>
          <w:kern w:val="2"/>
          <w:sz w:val="30"/>
          <w:szCs w:val="30"/>
        </w:rPr>
        <w:t>3.</w:t>
      </w:r>
      <w:r>
        <w:rPr>
          <w:rFonts w:hint="eastAsia" w:ascii="仿宋" w:hAnsi="仿宋" w:eastAsia="仿宋" w:cs="仿宋"/>
          <w:sz w:val="30"/>
          <w:szCs w:val="30"/>
          <w:lang w:val="zh-CN"/>
        </w:rPr>
        <w:t>冷藏</w:t>
      </w:r>
      <w:r>
        <w:rPr>
          <w:rFonts w:hint="eastAsia" w:ascii="仿宋" w:hAnsi="仿宋" w:eastAsia="仿宋" w:cs="仿宋"/>
          <w:sz w:val="30"/>
          <w:szCs w:val="30"/>
        </w:rPr>
        <w:t>室</w:t>
      </w:r>
      <w:r>
        <w:rPr>
          <w:rFonts w:hint="eastAsia" w:ascii="仿宋" w:hAnsi="仿宋" w:eastAsia="仿宋" w:cs="仿宋"/>
          <w:sz w:val="30"/>
          <w:szCs w:val="30"/>
          <w:lang w:val="zh-CN"/>
        </w:rPr>
        <w:t>容积</w:t>
      </w:r>
      <w:r>
        <w:rPr>
          <w:rFonts w:hint="eastAsia" w:ascii="仿宋" w:hAnsi="仿宋" w:eastAsia="仿宋" w:cs="仿宋"/>
          <w:sz w:val="30"/>
          <w:szCs w:val="30"/>
        </w:rPr>
        <w:t>≥140</w:t>
      </w:r>
      <w:r>
        <w:rPr>
          <w:rFonts w:hint="eastAsia" w:ascii="仿宋" w:hAnsi="仿宋" w:eastAsia="仿宋" w:cs="仿宋"/>
          <w:sz w:val="30"/>
          <w:szCs w:val="30"/>
          <w:lang w:val="zh-CN"/>
        </w:rPr>
        <w:t>L，冷冻</w:t>
      </w:r>
      <w:r>
        <w:rPr>
          <w:rFonts w:hint="eastAsia" w:ascii="仿宋" w:hAnsi="仿宋" w:eastAsia="仿宋" w:cs="仿宋"/>
          <w:sz w:val="30"/>
          <w:szCs w:val="30"/>
        </w:rPr>
        <w:t>室</w:t>
      </w:r>
      <w:r>
        <w:rPr>
          <w:rFonts w:hint="eastAsia" w:ascii="仿宋" w:hAnsi="仿宋" w:eastAsia="仿宋" w:cs="仿宋"/>
          <w:sz w:val="30"/>
          <w:szCs w:val="30"/>
          <w:lang w:val="zh-CN"/>
        </w:rPr>
        <w:t>容积</w:t>
      </w:r>
      <w:r>
        <w:rPr>
          <w:rFonts w:hint="eastAsia" w:ascii="仿宋" w:hAnsi="仿宋" w:eastAsia="仿宋" w:cs="仿宋"/>
          <w:sz w:val="30"/>
          <w:szCs w:val="30"/>
        </w:rPr>
        <w:t>≥80</w:t>
      </w:r>
      <w:r>
        <w:rPr>
          <w:rFonts w:hint="eastAsia" w:ascii="仿宋" w:hAnsi="仿宋" w:eastAsia="仿宋" w:cs="仿宋"/>
          <w:sz w:val="30"/>
          <w:szCs w:val="30"/>
          <w:lang w:val="zh-CN"/>
        </w:rPr>
        <w:t>L；</w:t>
      </w:r>
    </w:p>
    <w:p>
      <w:pPr>
        <w:pStyle w:val="238"/>
        <w:widowControl/>
        <w:shd w:val="clear" w:color="auto" w:fill="FFFFFF"/>
        <w:spacing w:before="0" w:after="0"/>
        <w:rPr>
          <w:rFonts w:hint="eastAsia" w:ascii="仿宋" w:hAnsi="仿宋" w:eastAsia="仿宋" w:cs="仿宋"/>
          <w:bCs/>
          <w:kern w:val="2"/>
          <w:sz w:val="30"/>
          <w:szCs w:val="30"/>
        </w:rPr>
      </w:pPr>
      <w:r>
        <w:rPr>
          <w:rFonts w:hint="eastAsia" w:ascii="仿宋" w:hAnsi="仿宋" w:eastAsia="仿宋" w:cs="仿宋"/>
          <w:bCs/>
          <w:kern w:val="2"/>
          <w:sz w:val="30"/>
          <w:szCs w:val="30"/>
        </w:rPr>
        <w:t>1.3.4.</w:t>
      </w:r>
      <w:r>
        <w:rPr>
          <w:rFonts w:hint="eastAsia" w:ascii="仿宋" w:hAnsi="仿宋" w:eastAsia="仿宋" w:cs="仿宋"/>
          <w:color w:val="000000" w:themeColor="text1"/>
          <w:sz w:val="30"/>
          <w:szCs w:val="30"/>
        </w:rPr>
        <w:t>内置LED照明灯，寿命长、亮度高，灯光自动开启关闭，开门灯亮，关门灯灭；</w:t>
      </w:r>
    </w:p>
    <w:p>
      <w:pPr>
        <w:pStyle w:val="238"/>
        <w:widowControl/>
        <w:shd w:val="clear" w:color="auto" w:fill="FFFFFF"/>
        <w:spacing w:before="0" w:after="0"/>
        <w:rPr>
          <w:rFonts w:hint="eastAsia" w:ascii="仿宋" w:hAnsi="仿宋" w:eastAsia="仿宋" w:cs="仿宋"/>
          <w:color w:val="000000" w:themeColor="text1"/>
          <w:sz w:val="30"/>
          <w:szCs w:val="30"/>
        </w:rPr>
      </w:pPr>
      <w:r>
        <w:rPr>
          <w:rFonts w:hint="eastAsia" w:ascii="仿宋" w:hAnsi="仿宋" w:eastAsia="仿宋" w:cs="仿宋"/>
          <w:sz w:val="30"/>
          <w:szCs w:val="30"/>
        </w:rPr>
        <w:t>★</w:t>
      </w:r>
      <w:r>
        <w:rPr>
          <w:rFonts w:hint="eastAsia" w:ascii="仿宋" w:hAnsi="仿宋" w:eastAsia="仿宋" w:cs="仿宋"/>
          <w:bCs/>
          <w:kern w:val="2"/>
          <w:sz w:val="30"/>
          <w:szCs w:val="30"/>
        </w:rPr>
        <w:t>1.3.5.</w:t>
      </w:r>
      <w:r>
        <w:rPr>
          <w:rFonts w:hint="eastAsia" w:ascii="仿宋" w:hAnsi="仿宋" w:eastAsia="仿宋" w:cs="仿宋"/>
          <w:color w:val="000000" w:themeColor="text1"/>
          <w:sz w:val="30"/>
          <w:szCs w:val="30"/>
        </w:rPr>
        <w:t>开门、传感器故障报警功能；</w:t>
      </w:r>
    </w:p>
    <w:p>
      <w:pPr>
        <w:pStyle w:val="238"/>
        <w:widowControl/>
        <w:shd w:val="clear" w:color="auto" w:fill="FFFFFF"/>
        <w:spacing w:before="0" w:after="0"/>
        <w:rPr>
          <w:rFonts w:hint="eastAsia" w:ascii="仿宋" w:hAnsi="仿宋" w:eastAsia="仿宋" w:cs="仿宋"/>
          <w:bCs/>
          <w:kern w:val="2"/>
          <w:sz w:val="30"/>
          <w:szCs w:val="30"/>
        </w:rPr>
      </w:pPr>
      <w:r>
        <w:rPr>
          <w:rFonts w:hint="eastAsia" w:ascii="仿宋" w:hAnsi="仿宋" w:eastAsia="仿宋" w:cs="仿宋"/>
          <w:sz w:val="30"/>
          <w:szCs w:val="30"/>
        </w:rPr>
        <w:t>★</w:t>
      </w:r>
      <w:r>
        <w:rPr>
          <w:rFonts w:hint="eastAsia" w:ascii="仿宋" w:hAnsi="仿宋" w:eastAsia="仿宋" w:cs="仿宋"/>
          <w:bCs/>
          <w:kern w:val="2"/>
          <w:sz w:val="30"/>
          <w:szCs w:val="30"/>
        </w:rPr>
        <w:t>1.3.6.</w:t>
      </w:r>
      <w:r>
        <w:rPr>
          <w:rFonts w:hint="eastAsia" w:ascii="仿宋" w:hAnsi="仿宋" w:eastAsia="仿宋" w:cs="仿宋"/>
          <w:color w:val="000000" w:themeColor="text1"/>
          <w:sz w:val="30"/>
          <w:szCs w:val="30"/>
        </w:rPr>
        <w:t>冷藏、冷冻室搁架承重能力≥100KG/㎡；</w:t>
      </w:r>
    </w:p>
    <w:p>
      <w:pPr>
        <w:pStyle w:val="238"/>
        <w:widowControl/>
        <w:shd w:val="clear" w:color="auto" w:fill="FFFFFF"/>
        <w:spacing w:before="0" w:after="0"/>
        <w:rPr>
          <w:rFonts w:hint="eastAsia" w:ascii="仿宋" w:hAnsi="仿宋" w:eastAsia="仿宋" w:cs="仿宋"/>
          <w:color w:val="000000" w:themeColor="text1"/>
          <w:sz w:val="30"/>
          <w:szCs w:val="30"/>
        </w:rPr>
      </w:pPr>
      <w:r>
        <w:rPr>
          <w:rFonts w:hint="eastAsia" w:ascii="仿宋" w:hAnsi="仿宋" w:eastAsia="仿宋" w:cs="仿宋"/>
          <w:sz w:val="30"/>
          <w:szCs w:val="30"/>
        </w:rPr>
        <w:t>1.3.</w:t>
      </w:r>
      <w:r>
        <w:rPr>
          <w:rFonts w:hint="eastAsia" w:ascii="仿宋" w:hAnsi="仿宋" w:eastAsia="仿宋" w:cs="仿宋"/>
          <w:bCs/>
          <w:kern w:val="2"/>
          <w:sz w:val="30"/>
          <w:szCs w:val="30"/>
        </w:rPr>
        <w:t>7.</w:t>
      </w:r>
      <w:r>
        <w:rPr>
          <w:rFonts w:hint="eastAsia" w:ascii="仿宋" w:hAnsi="仿宋" w:eastAsia="仿宋" w:cs="仿宋"/>
          <w:color w:val="000000" w:themeColor="text1"/>
          <w:sz w:val="30"/>
          <w:szCs w:val="30"/>
        </w:rPr>
        <w:t>外箱彩色涂层钢板设计，内胆抗腐蚀材料，箱体可靠耐用。</w:t>
      </w:r>
    </w:p>
    <w:p>
      <w:pPr>
        <w:rPr>
          <w:rFonts w:hint="eastAsia" w:ascii="仿宋" w:hAnsi="仿宋" w:eastAsia="仿宋" w:cs="仿宋"/>
          <w:sz w:val="30"/>
          <w:szCs w:val="30"/>
        </w:rPr>
      </w:pPr>
      <w:r>
        <w:rPr>
          <w:rFonts w:hint="eastAsia" w:ascii="仿宋" w:hAnsi="仿宋" w:eastAsia="仿宋" w:cs="仿宋"/>
          <w:sz w:val="30"/>
          <w:szCs w:val="30"/>
        </w:rPr>
        <w:t>2.商务及售后要求：</w:t>
      </w:r>
    </w:p>
    <w:p>
      <w:pPr>
        <w:rPr>
          <w:rFonts w:hint="eastAsia" w:ascii="仿宋" w:hAnsi="仿宋" w:eastAsia="仿宋" w:cs="仿宋"/>
          <w:sz w:val="30"/>
          <w:szCs w:val="30"/>
        </w:rPr>
      </w:pPr>
      <w:r>
        <w:rPr>
          <w:rFonts w:hint="eastAsia" w:ascii="仿宋" w:hAnsi="仿宋" w:eastAsia="仿宋" w:cs="仿宋"/>
          <w:sz w:val="30"/>
          <w:szCs w:val="30"/>
        </w:rPr>
        <w:t>2.1 交货（实施）期及地点：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交货（实施）期：合同签订后30个工作日内；</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地点：甘肃省第二人民医院</w:t>
      </w:r>
    </w:p>
    <w:p>
      <w:pPr>
        <w:rPr>
          <w:rFonts w:hint="eastAsia" w:ascii="仿宋" w:hAnsi="仿宋" w:eastAsia="仿宋" w:cs="仿宋"/>
          <w:sz w:val="30"/>
          <w:szCs w:val="30"/>
        </w:rPr>
      </w:pPr>
      <w:r>
        <w:rPr>
          <w:rFonts w:hint="eastAsia" w:ascii="仿宋" w:hAnsi="仿宋" w:eastAsia="仿宋" w:cs="仿宋"/>
          <w:sz w:val="30"/>
          <w:szCs w:val="30"/>
        </w:rPr>
        <w:t>2.2售后服务：</w:t>
      </w:r>
    </w:p>
    <w:p>
      <w:pPr>
        <w:rPr>
          <w:rFonts w:hint="eastAsia" w:ascii="仿宋" w:hAnsi="仿宋" w:eastAsia="仿宋" w:cs="仿宋"/>
          <w:sz w:val="30"/>
          <w:szCs w:val="30"/>
        </w:rPr>
      </w:pPr>
      <w:r>
        <w:rPr>
          <w:rFonts w:hint="eastAsia" w:ascii="仿宋" w:hAnsi="仿宋" w:eastAsia="仿宋" w:cs="仿宋"/>
          <w:sz w:val="30"/>
          <w:szCs w:val="30"/>
        </w:rPr>
        <w:t>2.2.1质保期：整机质保5年，质保期自正式验收合格之日起计算，在质保期内进行售后服务不得收取任何费用。</w:t>
      </w:r>
    </w:p>
    <w:p>
      <w:pPr>
        <w:rPr>
          <w:rFonts w:hint="eastAsia" w:ascii="仿宋" w:hAnsi="仿宋" w:eastAsia="仿宋" w:cs="仿宋"/>
          <w:sz w:val="30"/>
          <w:szCs w:val="30"/>
        </w:rPr>
      </w:pPr>
      <w:r>
        <w:rPr>
          <w:rFonts w:hint="eastAsia" w:ascii="仿宋" w:hAnsi="仿宋" w:eastAsia="仿宋" w:cs="仿宋"/>
          <w:sz w:val="30"/>
          <w:szCs w:val="30"/>
        </w:rPr>
        <w:t>2.2.2验收合格后质保期内每年（按365天计算）设备开机率≥95%，若达不到，不足的开机天数按照1：3相应延长质保期。</w:t>
      </w:r>
    </w:p>
    <w:p>
      <w:pPr>
        <w:rPr>
          <w:rFonts w:hint="eastAsia" w:ascii="仿宋" w:hAnsi="仿宋" w:eastAsia="仿宋" w:cs="仿宋"/>
          <w:sz w:val="30"/>
          <w:szCs w:val="30"/>
        </w:rPr>
      </w:pPr>
      <w:r>
        <w:rPr>
          <w:rFonts w:hint="eastAsia" w:ascii="仿宋" w:hAnsi="仿宋" w:eastAsia="仿宋" w:cs="仿宋"/>
          <w:sz w:val="30"/>
          <w:szCs w:val="30"/>
        </w:rPr>
        <w:t>2.2.3配备售后服务工程师，接到院方报修 2小时内响应，48小时内抵达现场维修。</w:t>
      </w:r>
    </w:p>
    <w:p>
      <w:pPr>
        <w:rPr>
          <w:rFonts w:hint="eastAsia" w:ascii="仿宋" w:hAnsi="仿宋" w:eastAsia="仿宋" w:cs="仿宋"/>
          <w:sz w:val="30"/>
          <w:szCs w:val="30"/>
        </w:rPr>
      </w:pPr>
      <w:r>
        <w:rPr>
          <w:rFonts w:hint="eastAsia" w:ascii="仿宋" w:hAnsi="仿宋" w:eastAsia="仿宋" w:cs="仿宋"/>
          <w:sz w:val="30"/>
          <w:szCs w:val="30"/>
        </w:rPr>
        <w:t>2.2.4配件供应：国内有配件仓库，保证十年内配件供应。</w:t>
      </w:r>
    </w:p>
    <w:p>
      <w:pPr>
        <w:rPr>
          <w:rFonts w:hint="eastAsia" w:ascii="仿宋" w:hAnsi="仿宋" w:eastAsia="仿宋" w:cs="仿宋"/>
          <w:sz w:val="30"/>
          <w:szCs w:val="30"/>
        </w:rPr>
      </w:pPr>
      <w:r>
        <w:rPr>
          <w:rFonts w:hint="eastAsia" w:ascii="仿宋" w:hAnsi="仿宋" w:eastAsia="仿宋" w:cs="仿宋"/>
          <w:sz w:val="30"/>
          <w:szCs w:val="30"/>
        </w:rPr>
        <w:t xml:space="preserve">2.2.5安装调试完成后配合用户时间，安排进行不限时、不限人数的现场培训，直至主要使用人员及2名院内维修工程师可以熟练操作为止，相应人员熟练掌握设备，能正确操作、日常维护、维修。 </w:t>
      </w:r>
    </w:p>
    <w:p>
      <w:pPr>
        <w:rPr>
          <w:rFonts w:hint="eastAsia" w:ascii="仿宋" w:hAnsi="仿宋" w:eastAsia="仿宋" w:cs="仿宋"/>
          <w:sz w:val="30"/>
          <w:szCs w:val="30"/>
        </w:rPr>
      </w:pPr>
      <w:r>
        <w:rPr>
          <w:rFonts w:hint="eastAsia" w:ascii="仿宋" w:hAnsi="仿宋" w:eastAsia="仿宋" w:cs="仿宋"/>
          <w:sz w:val="30"/>
          <w:szCs w:val="30"/>
        </w:rPr>
        <w:t>2.2.6供货方需提供</w:t>
      </w:r>
      <w:r>
        <w:rPr>
          <w:rFonts w:hint="eastAsia" w:ascii="仿宋" w:hAnsi="仿宋" w:eastAsia="仿宋" w:cs="仿宋"/>
          <w:color w:val="000000" w:themeColor="text1"/>
          <w:sz w:val="30"/>
          <w:szCs w:val="30"/>
        </w:rPr>
        <w:t>保修卡、说明书</w:t>
      </w:r>
      <w:r>
        <w:rPr>
          <w:rFonts w:hint="eastAsia" w:ascii="仿宋" w:hAnsi="仿宋" w:eastAsia="仿宋" w:cs="仿宋"/>
          <w:sz w:val="30"/>
          <w:szCs w:val="30"/>
        </w:rPr>
        <w:t>相关中文技术资料各一套。</w:t>
      </w:r>
    </w:p>
    <w:p>
      <w:pPr>
        <w:rPr>
          <w:rFonts w:ascii="仿宋" w:hAnsi="仿宋" w:eastAsia="仿宋" w:cs="仿宋"/>
          <w:sz w:val="32"/>
          <w:szCs w:val="40"/>
        </w:rPr>
      </w:pPr>
    </w:p>
    <w:p>
      <w:pPr>
        <w:pStyle w:val="36"/>
        <w:rPr>
          <w:rFonts w:hint="eastAsia" w:ascii="宋体" w:hAnsi="宋体" w:cs="宋体"/>
          <w:sz w:val="32"/>
          <w:szCs w:val="32"/>
          <w:highlight w:val="none"/>
        </w:rPr>
      </w:pPr>
    </w:p>
    <w:p>
      <w:pPr>
        <w:pStyle w:val="36"/>
        <w:rPr>
          <w:rFonts w:hint="eastAsia" w:ascii="宋体" w:hAnsi="宋体" w:cs="宋体"/>
          <w:sz w:val="32"/>
          <w:szCs w:val="32"/>
          <w:highlight w:val="none"/>
        </w:rPr>
      </w:pPr>
    </w:p>
    <w:p>
      <w:pPr>
        <w:pStyle w:val="36"/>
        <w:rPr>
          <w:rFonts w:hint="eastAsia" w:ascii="宋体" w:hAnsi="宋体" w:cs="宋体"/>
          <w:sz w:val="32"/>
          <w:szCs w:val="32"/>
          <w:highlight w:val="none"/>
        </w:rPr>
      </w:pPr>
    </w:p>
    <w:p>
      <w:pPr>
        <w:pStyle w:val="36"/>
        <w:rPr>
          <w:rFonts w:hint="eastAsia" w:ascii="宋体" w:hAnsi="宋体" w:cs="宋体"/>
          <w:sz w:val="32"/>
          <w:szCs w:val="32"/>
          <w:highlight w:val="none"/>
        </w:rPr>
      </w:pPr>
    </w:p>
    <w:p>
      <w:pPr>
        <w:pStyle w:val="36"/>
        <w:rPr>
          <w:rFonts w:hint="eastAsia" w:ascii="宋体" w:hAnsi="宋体" w:cs="宋体"/>
          <w:sz w:val="32"/>
          <w:szCs w:val="32"/>
          <w:highlight w:val="none"/>
        </w:rPr>
      </w:pPr>
    </w:p>
    <w:p>
      <w:pPr>
        <w:pStyle w:val="36"/>
        <w:ind w:left="0" w:leftChars="0" w:firstLine="0" w:firstLineChars="0"/>
        <w:rPr>
          <w:rFonts w:hint="eastAsia" w:ascii="宋体" w:hAnsi="宋体" w:cs="宋体"/>
          <w:sz w:val="32"/>
          <w:szCs w:val="32"/>
          <w:highlight w:val="none"/>
        </w:rPr>
      </w:pPr>
    </w:p>
    <w:p>
      <w:pPr>
        <w:pStyle w:val="36"/>
        <w:ind w:left="0" w:leftChars="0" w:firstLine="0" w:firstLineChars="0"/>
        <w:rPr>
          <w:rFonts w:hint="eastAsia" w:ascii="宋体" w:hAnsi="宋体" w:cs="宋体"/>
          <w:sz w:val="32"/>
          <w:szCs w:val="32"/>
          <w:highlight w:val="none"/>
        </w:rPr>
      </w:pPr>
    </w:p>
    <w:p>
      <w:pPr>
        <w:pStyle w:val="36"/>
        <w:ind w:left="0" w:leftChars="0" w:firstLine="0" w:firstLineChars="0"/>
        <w:rPr>
          <w:rFonts w:hint="eastAsia" w:ascii="宋体" w:hAnsi="宋体" w:cs="宋体"/>
          <w:sz w:val="32"/>
          <w:szCs w:val="32"/>
          <w:highlight w:val="none"/>
        </w:rPr>
      </w:pPr>
    </w:p>
    <w:p>
      <w:pPr>
        <w:pStyle w:val="36"/>
        <w:ind w:left="0" w:leftChars="0" w:firstLine="0" w:firstLineChars="0"/>
        <w:rPr>
          <w:rFonts w:hint="eastAsia" w:ascii="宋体" w:hAnsi="宋体" w:cs="宋体"/>
          <w:sz w:val="32"/>
          <w:szCs w:val="32"/>
          <w:highlight w:val="none"/>
        </w:rPr>
      </w:pPr>
    </w:p>
    <w:p>
      <w:pPr>
        <w:pStyle w:val="36"/>
        <w:ind w:left="0" w:leftChars="0" w:firstLine="0" w:firstLineChars="0"/>
        <w:rPr>
          <w:rFonts w:hint="eastAsia" w:ascii="宋体" w:hAnsi="宋体" w:cs="宋体"/>
          <w:sz w:val="32"/>
          <w:szCs w:val="32"/>
          <w:highlight w:val="none"/>
        </w:rPr>
      </w:pPr>
    </w:p>
    <w:p>
      <w:pPr>
        <w:pStyle w:val="36"/>
        <w:ind w:left="0" w:leftChars="0" w:firstLine="0" w:firstLineChars="0"/>
        <w:rPr>
          <w:rFonts w:hint="eastAsia" w:ascii="宋体" w:hAnsi="宋体" w:cs="宋体"/>
          <w:sz w:val="32"/>
          <w:szCs w:val="32"/>
          <w:highlight w:val="none"/>
        </w:rPr>
      </w:pPr>
    </w:p>
    <w:p>
      <w:pPr>
        <w:rPr>
          <w:rFonts w:hint="eastAsia"/>
          <w:highlight w:val="none"/>
        </w:rPr>
      </w:pPr>
    </w:p>
    <w:p>
      <w:pPr>
        <w:pStyle w:val="3"/>
        <w:rPr>
          <w:rFonts w:ascii="宋体" w:hAnsi="宋体" w:cs="宋体"/>
          <w:sz w:val="32"/>
          <w:szCs w:val="32"/>
          <w:highlight w:val="none"/>
        </w:rPr>
      </w:pPr>
      <w:r>
        <w:rPr>
          <w:rFonts w:hint="eastAsia" w:ascii="宋体" w:hAnsi="宋体" w:cs="宋体"/>
          <w:sz w:val="32"/>
          <w:szCs w:val="32"/>
          <w:highlight w:val="none"/>
        </w:rPr>
        <w:t>第四章  资格证明文件</w:t>
      </w:r>
      <w:bookmarkEnd w:id="378"/>
      <w:bookmarkEnd w:id="379"/>
      <w:bookmarkEnd w:id="380"/>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1</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投标人有效的营业执照，或事业单位法人证书，或自然人身份证明，或其他非企业组织证明独立承担民事责任能力的文件（复印件并加盖公章）。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2</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法定代表人授权函（原件）及被授权人身份证（正、反面复印件加盖公章）。</w:t>
      </w:r>
    </w:p>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0" w:firstLineChars="100"/>
        <w:textAlignment w:val="baseline"/>
        <w:rPr>
          <w:rFonts w:hint="eastAsia" w:ascii="宋体" w:hAnsi="宋体" w:eastAsia="宋体" w:cs="宋体"/>
          <w:b w:val="0"/>
          <w:bCs w:val="0"/>
          <w:color w:val="000000"/>
          <w:spacing w:val="4"/>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投标人须提供由会计事务所出具的</w:t>
      </w: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审计报告（复印件加盖公章）或其基本开户银行出具的银行资信证明（</w:t>
      </w:r>
      <w:r>
        <w:rPr>
          <w:rFonts w:hint="eastAsia" w:ascii="宋体" w:hAnsi="宋体" w:eastAsia="宋体" w:cs="宋体"/>
          <w:b w:val="0"/>
          <w:bCs w:val="0"/>
          <w:color w:val="auto"/>
          <w:sz w:val="24"/>
          <w:szCs w:val="24"/>
          <w:highlight w:val="none"/>
          <w:lang w:val="en-US" w:eastAsia="zh-CN"/>
        </w:rPr>
        <w:t>扫描件或复印件</w:t>
      </w:r>
      <w:r>
        <w:rPr>
          <w:rFonts w:hint="eastAsia" w:ascii="宋体" w:hAnsi="宋体" w:eastAsia="宋体" w:cs="宋体"/>
          <w:b w:val="0"/>
          <w:bCs w:val="0"/>
          <w:color w:val="auto"/>
          <w:sz w:val="24"/>
          <w:szCs w:val="24"/>
          <w:highlight w:val="none"/>
        </w:rPr>
        <w:t>须装订在投标文件正本中。）或财政部门认可的专业机构出具的投标担保；</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240" w:firstLineChars="100"/>
        <w:textAlignment w:val="baseline"/>
        <w:rPr>
          <w:rFonts w:ascii="宋体" w:hAnsi="宋体" w:cs="宋体"/>
          <w:color w:val="auto"/>
          <w:sz w:val="24"/>
          <w:highlight w:val="none"/>
        </w:rPr>
      </w:pPr>
      <w:r>
        <w:rPr>
          <w:rFonts w:hint="eastAsia" w:ascii="宋体" w:hAnsi="宋体" w:eastAsia="宋体" w:cs="宋体"/>
          <w:b w:val="0"/>
          <w:bCs w:val="0"/>
          <w:kern w:val="0"/>
          <w:sz w:val="24"/>
          <w:szCs w:val="24"/>
          <w:highlight w:val="none"/>
          <w:lang w:eastAsia="zh-CN"/>
        </w:rPr>
        <w:t>（</w:t>
      </w:r>
      <w:r>
        <w:rPr>
          <w:rFonts w:hint="eastAsia" w:ascii="宋体" w:hAnsi="宋体" w:cs="宋体"/>
          <w:b w:val="0"/>
          <w:bCs w:val="0"/>
          <w:kern w:val="0"/>
          <w:sz w:val="24"/>
          <w:szCs w:val="24"/>
          <w:highlight w:val="none"/>
          <w:lang w:val="en-US" w:eastAsia="zh-CN"/>
        </w:rPr>
        <w:t>5</w:t>
      </w:r>
      <w:r>
        <w:rPr>
          <w:rFonts w:hint="eastAsia" w:ascii="宋体" w:hAnsi="宋体" w:eastAsia="宋体" w:cs="宋体"/>
          <w:b w:val="0"/>
          <w:bCs w:val="0"/>
          <w:kern w:val="0"/>
          <w:sz w:val="24"/>
          <w:szCs w:val="24"/>
          <w:highlight w:val="none"/>
          <w:lang w:eastAsia="zh-CN"/>
        </w:rPr>
        <w:t>）</w:t>
      </w:r>
      <w:r>
        <w:rPr>
          <w:rFonts w:hint="eastAsia" w:ascii="宋体" w:hAnsi="宋体" w:cs="宋体"/>
          <w:color w:val="auto"/>
          <w:sz w:val="24"/>
          <w:highlight w:val="none"/>
        </w:rPr>
        <w:t>本项目不接受联合体投标。</w:t>
      </w:r>
    </w:p>
    <w:p>
      <w:pPr>
        <w:pStyle w:val="30"/>
        <w:keepNext w:val="0"/>
        <w:keepLines w:val="0"/>
        <w:pageBreakBefore w:val="0"/>
        <w:wordWrap/>
        <w:overflowPunct/>
        <w:topLinePunct w:val="0"/>
        <w:bidi w:val="0"/>
        <w:spacing w:line="48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注：1.以上所有资格全部为招标文件的实质性要求，有一项不符合即为无效</w:t>
      </w:r>
      <w:r>
        <w:rPr>
          <w:rFonts w:hint="eastAsia" w:ascii="宋体" w:hAnsi="宋体" w:eastAsia="宋体" w:cs="宋体"/>
          <w:b/>
          <w:bCs/>
          <w:sz w:val="24"/>
          <w:szCs w:val="24"/>
          <w:highlight w:val="none"/>
        </w:rPr>
        <w:t>投标。</w:t>
      </w:r>
    </w:p>
    <w:p>
      <w:pPr>
        <w:pStyle w:val="30"/>
        <w:keepNext w:val="0"/>
        <w:keepLines w:val="0"/>
        <w:pageBreakBefore w:val="0"/>
        <w:wordWrap/>
        <w:overflowPunct/>
        <w:topLinePunct w:val="0"/>
        <w:bidi w:val="0"/>
        <w:spacing w:line="480" w:lineRule="auto"/>
        <w:ind w:left="0" w:leftChars="0"/>
        <w:jc w:val="left"/>
        <w:rPr>
          <w:rFonts w:hint="eastAsia" w:ascii="宋体" w:hAnsi="宋体" w:eastAsia="宋体" w:cs="宋体"/>
          <w:b/>
          <w:bCs/>
          <w:spacing w:val="-2"/>
          <w:sz w:val="24"/>
          <w:szCs w:val="24"/>
          <w:highlight w:val="none"/>
        </w:rPr>
      </w:pPr>
      <w:r>
        <w:rPr>
          <w:rFonts w:hint="eastAsia" w:ascii="宋体" w:hAnsi="宋体" w:eastAsia="宋体" w:cs="宋体"/>
          <w:b/>
          <w:bCs/>
          <w:sz w:val="24"/>
          <w:szCs w:val="24"/>
          <w:highlight w:val="none"/>
        </w:rPr>
        <w:t xml:space="preserve">  </w:t>
      </w:r>
      <w:r>
        <w:rPr>
          <w:rFonts w:hint="eastAsia" w:ascii="宋体" w:hAnsi="宋体" w:eastAsia="宋体" w:cs="宋体"/>
          <w:b/>
          <w:bCs/>
          <w:spacing w:val="-2"/>
          <w:sz w:val="24"/>
          <w:szCs w:val="24"/>
          <w:highlight w:val="none"/>
        </w:rPr>
        <w:t>2.提供的复印件不清晰、无法辨认或内容不符合规定，该项内容将视为无效。</w:t>
      </w:r>
    </w:p>
    <w:p>
      <w:pPr>
        <w:pStyle w:val="30"/>
        <w:keepNext w:val="0"/>
        <w:keepLines w:val="0"/>
        <w:pageBreakBefore w:val="0"/>
        <w:wordWrap/>
        <w:overflowPunct/>
        <w:topLinePunct w:val="0"/>
        <w:bidi w:val="0"/>
        <w:spacing w:line="480" w:lineRule="auto"/>
        <w:ind w:left="0" w:leftChars="0" w:firstLine="474" w:firstLineChars="200"/>
        <w:jc w:val="left"/>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rPr>
        <w:t>3.资格审查的内容若有一项未提供或达不到检查标准，将导致其不具备投标资格，且不允许在开标后补正。投标人为国家机关、事业单位、团体组织或个人的，不提供资格证明文件中的第四项内容。</w:t>
      </w:r>
    </w:p>
    <w:p>
      <w:pPr>
        <w:pStyle w:val="30"/>
        <w:keepNext w:val="0"/>
        <w:keepLines w:val="0"/>
        <w:pageBreakBefore w:val="0"/>
        <w:wordWrap/>
        <w:overflowPunct/>
        <w:topLinePunct w:val="0"/>
        <w:bidi w:val="0"/>
        <w:spacing w:line="480" w:lineRule="auto"/>
        <w:ind w:left="0" w:leftChars="0" w:firstLine="474" w:firstLineChars="200"/>
        <w:jc w:val="left"/>
        <w:rPr>
          <w:rFonts w:ascii="宋体" w:hAnsi="宋体" w:cs="宋体"/>
          <w:sz w:val="32"/>
          <w:szCs w:val="32"/>
          <w:highlight w:val="none"/>
        </w:rPr>
      </w:pPr>
      <w:bookmarkStart w:id="381" w:name="_Toc9747"/>
      <w:bookmarkStart w:id="382" w:name="_Toc20553"/>
      <w:bookmarkStart w:id="383" w:name="_Toc25803"/>
      <w:r>
        <w:rPr>
          <w:rFonts w:hint="eastAsia" w:ascii="宋体" w:hAnsi="宋体" w:eastAsia="宋体" w:cs="宋体"/>
          <w:b/>
          <w:bCs/>
          <w:spacing w:val="-2"/>
          <w:sz w:val="24"/>
          <w:szCs w:val="24"/>
          <w:highlight w:val="none"/>
          <w:lang w:val="en-US" w:eastAsia="zh-CN"/>
        </w:rPr>
        <w:t>4</w:t>
      </w:r>
      <w:r>
        <w:rPr>
          <w:rFonts w:hint="eastAsia" w:ascii="宋体" w:hAnsi="宋体" w:eastAsia="宋体" w:cs="宋体"/>
          <w:b/>
          <w:bCs/>
          <w:spacing w:val="-2"/>
          <w:sz w:val="24"/>
          <w:szCs w:val="24"/>
          <w:highlight w:val="none"/>
        </w:rPr>
        <w:t>.本章中“投标截止日前”是指以投标截止日为起始时间倒推每一项相应要求的时间</w:t>
      </w:r>
      <w:bookmarkEnd w:id="381"/>
      <w:bookmarkEnd w:id="382"/>
      <w:bookmarkEnd w:id="383"/>
    </w:p>
    <w:p>
      <w:pPr>
        <w:rPr>
          <w:rFonts w:hint="eastAsia"/>
          <w:highlight w:val="none"/>
        </w:rPr>
      </w:pPr>
      <w:bookmarkStart w:id="384" w:name="_Toc7707"/>
      <w:bookmarkStart w:id="385" w:name="_Toc13931"/>
      <w:bookmarkStart w:id="386" w:name="_Toc11027"/>
    </w:p>
    <w:p>
      <w:pPr>
        <w:pStyle w:val="3"/>
        <w:rPr>
          <w:rFonts w:hint="eastAsia" w:ascii="宋体" w:hAnsi="宋体" w:cs="宋体"/>
          <w:sz w:val="32"/>
          <w:szCs w:val="32"/>
          <w:highlight w:val="none"/>
        </w:rPr>
      </w:pPr>
    </w:p>
    <w:p>
      <w:pPr>
        <w:pStyle w:val="3"/>
        <w:rPr>
          <w:rFonts w:hint="eastAsia" w:ascii="宋体" w:hAnsi="宋体" w:cs="宋体"/>
          <w:sz w:val="32"/>
          <w:szCs w:val="32"/>
          <w:highlight w:val="none"/>
        </w:rPr>
      </w:pPr>
    </w:p>
    <w:p>
      <w:pPr>
        <w:pStyle w:val="3"/>
        <w:rPr>
          <w:rFonts w:hint="eastAsia" w:ascii="宋体" w:hAnsi="宋体" w:cs="宋体"/>
          <w:sz w:val="32"/>
          <w:szCs w:val="32"/>
          <w:highlight w:val="none"/>
        </w:rPr>
      </w:pPr>
    </w:p>
    <w:p>
      <w:pPr>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2"/>
        <w:rPr>
          <w:rFonts w:hint="eastAsia" w:ascii="宋体" w:hAnsi="宋体" w:cs="宋体"/>
          <w:sz w:val="32"/>
          <w:szCs w:val="32"/>
          <w:highlight w:val="none"/>
        </w:rPr>
      </w:pPr>
    </w:p>
    <w:p>
      <w:pPr>
        <w:pStyle w:val="3"/>
        <w:rPr>
          <w:rFonts w:hint="eastAsia" w:ascii="宋体" w:hAnsi="宋体" w:cs="宋体"/>
          <w:sz w:val="32"/>
          <w:szCs w:val="32"/>
          <w:highlight w:val="none"/>
        </w:rPr>
      </w:pPr>
    </w:p>
    <w:p>
      <w:pPr>
        <w:pStyle w:val="3"/>
        <w:rPr>
          <w:rFonts w:hint="eastAsia" w:ascii="宋体" w:hAnsi="宋体" w:cs="宋体"/>
          <w:sz w:val="32"/>
          <w:szCs w:val="32"/>
          <w:highlight w:val="none"/>
        </w:rPr>
      </w:pPr>
    </w:p>
    <w:p>
      <w:pPr>
        <w:pStyle w:val="3"/>
        <w:rPr>
          <w:rFonts w:ascii="宋体" w:hAnsi="宋体" w:cs="宋体"/>
          <w:sz w:val="32"/>
          <w:szCs w:val="32"/>
          <w:highlight w:val="none"/>
        </w:rPr>
      </w:pPr>
      <w:r>
        <w:rPr>
          <w:rFonts w:hint="eastAsia" w:ascii="宋体" w:hAnsi="宋体" w:cs="宋体"/>
          <w:sz w:val="32"/>
          <w:szCs w:val="32"/>
          <w:highlight w:val="none"/>
        </w:rPr>
        <w:t>第五章  评标办法</w:t>
      </w:r>
      <w:bookmarkEnd w:id="384"/>
      <w:bookmarkEnd w:id="385"/>
      <w:bookmarkEnd w:id="386"/>
    </w:p>
    <w:p>
      <w:pPr>
        <w:pStyle w:val="4"/>
        <w:jc w:val="left"/>
        <w:rPr>
          <w:rFonts w:ascii="宋体" w:hAnsi="宋体" w:cs="宋体"/>
          <w:sz w:val="24"/>
          <w:szCs w:val="24"/>
          <w:highlight w:val="none"/>
        </w:rPr>
      </w:pPr>
      <w:bookmarkStart w:id="387" w:name="_Toc10288"/>
      <w:bookmarkStart w:id="388" w:name="_Toc7841"/>
      <w:bookmarkStart w:id="389" w:name="_Toc8113"/>
      <w:bookmarkStart w:id="390" w:name="_Toc18381"/>
      <w:bookmarkStart w:id="391" w:name="_Toc9369"/>
      <w:bookmarkStart w:id="392" w:name="_Toc16048"/>
      <w:r>
        <w:rPr>
          <w:rFonts w:hint="eastAsia" w:ascii="宋体" w:hAnsi="宋体" w:cs="宋体"/>
          <w:sz w:val="24"/>
          <w:szCs w:val="24"/>
          <w:highlight w:val="none"/>
        </w:rPr>
        <w:t>1.总则</w:t>
      </w:r>
      <w:bookmarkEnd w:id="387"/>
      <w:bookmarkEnd w:id="388"/>
      <w:bookmarkEnd w:id="389"/>
      <w:bookmarkEnd w:id="390"/>
      <w:bookmarkEnd w:id="391"/>
      <w:bookmarkEnd w:id="392"/>
    </w:p>
    <w:p>
      <w:pPr>
        <w:spacing w:line="360" w:lineRule="auto"/>
        <w:rPr>
          <w:rFonts w:ascii="宋体" w:hAnsi="宋体" w:cs="宋体"/>
          <w:sz w:val="24"/>
          <w:highlight w:val="none"/>
        </w:rPr>
      </w:pPr>
      <w:r>
        <w:rPr>
          <w:rFonts w:hint="eastAsia" w:ascii="宋体" w:hAnsi="宋体" w:cs="宋体"/>
          <w:sz w:val="24"/>
          <w:highlight w:val="none"/>
        </w:rPr>
        <w:t>1.1根据《中华人民共和国</w:t>
      </w:r>
      <w:r>
        <w:rPr>
          <w:rFonts w:hint="eastAsia" w:ascii="宋体" w:hAnsi="宋体" w:cs="宋体"/>
          <w:sz w:val="24"/>
          <w:highlight w:val="none"/>
          <w:lang w:eastAsia="zh-CN"/>
        </w:rPr>
        <w:t>采购</w:t>
      </w:r>
      <w:r>
        <w:rPr>
          <w:rFonts w:hint="eastAsia" w:ascii="宋体" w:hAnsi="宋体" w:cs="宋体"/>
          <w:sz w:val="24"/>
          <w:highlight w:val="none"/>
        </w:rPr>
        <w:t>法》和《</w:t>
      </w:r>
      <w:r>
        <w:rPr>
          <w:rFonts w:hint="eastAsia" w:ascii="宋体" w:hAnsi="宋体" w:cs="宋体"/>
          <w:sz w:val="24"/>
          <w:highlight w:val="none"/>
          <w:lang w:eastAsia="zh-CN"/>
        </w:rPr>
        <w:t>采购</w:t>
      </w:r>
      <w:r>
        <w:rPr>
          <w:rFonts w:hint="eastAsia" w:ascii="宋体" w:hAnsi="宋体" w:cs="宋体"/>
          <w:sz w:val="24"/>
          <w:highlight w:val="none"/>
        </w:rPr>
        <w:t>货物和服务招标投标管理办法》（财政部第87号令）等法律规章，结合采购项目特点制定本评标办法。</w:t>
      </w:r>
    </w:p>
    <w:p>
      <w:pPr>
        <w:spacing w:line="360" w:lineRule="auto"/>
        <w:rPr>
          <w:rFonts w:ascii="宋体" w:hAnsi="宋体" w:cs="宋体"/>
          <w:sz w:val="24"/>
          <w:highlight w:val="none"/>
        </w:rPr>
      </w:pPr>
      <w:r>
        <w:rPr>
          <w:rFonts w:hint="eastAsia" w:ascii="宋体" w:hAnsi="宋体" w:cs="宋体"/>
          <w:sz w:val="24"/>
          <w:highlight w:val="none"/>
        </w:rPr>
        <w:t>1.2</w:t>
      </w:r>
      <w:r>
        <w:rPr>
          <w:rFonts w:hint="eastAsia" w:ascii="宋体" w:hAnsi="宋体" w:cs="宋体"/>
          <w:bCs/>
          <w:sz w:val="24"/>
          <w:highlight w:val="none"/>
        </w:rPr>
        <w:t>评标工作由</w:t>
      </w:r>
      <w:r>
        <w:rPr>
          <w:rFonts w:hint="eastAsia" w:ascii="宋体" w:hAnsi="宋体" w:cs="宋体"/>
          <w:bCs/>
          <w:sz w:val="24"/>
          <w:highlight w:val="none"/>
          <w:lang w:eastAsia="zh-CN"/>
        </w:rPr>
        <w:t>采购人</w:t>
      </w:r>
      <w:r>
        <w:rPr>
          <w:rFonts w:hint="eastAsia" w:ascii="宋体" w:hAnsi="宋体" w:cs="宋体"/>
          <w:bCs/>
          <w:sz w:val="24"/>
          <w:highlight w:val="none"/>
        </w:rPr>
        <w:t>负责组织，具体评标事务由</w:t>
      </w:r>
      <w:r>
        <w:rPr>
          <w:rFonts w:hint="eastAsia" w:ascii="宋体" w:hAnsi="宋体" w:cs="宋体"/>
          <w:bCs/>
          <w:sz w:val="24"/>
          <w:highlight w:val="none"/>
          <w:lang w:eastAsia="zh-CN"/>
        </w:rPr>
        <w:t>采购人</w:t>
      </w:r>
      <w:r>
        <w:rPr>
          <w:rFonts w:hint="eastAsia" w:ascii="宋体" w:hAnsi="宋体" w:cs="宋体"/>
          <w:bCs/>
          <w:sz w:val="24"/>
          <w:highlight w:val="none"/>
        </w:rPr>
        <w:t>依法组建的评标委员会负责。评标委员会由采购人代表和有关技术、经济等方面的专家组成。</w:t>
      </w:r>
    </w:p>
    <w:p>
      <w:pPr>
        <w:spacing w:line="360" w:lineRule="auto"/>
        <w:rPr>
          <w:rFonts w:ascii="宋体" w:hAnsi="宋体" w:cs="宋体"/>
          <w:sz w:val="24"/>
          <w:highlight w:val="none"/>
        </w:rPr>
      </w:pPr>
      <w:r>
        <w:rPr>
          <w:rFonts w:hint="eastAsia" w:ascii="宋体" w:hAnsi="宋体" w:cs="宋体"/>
          <w:sz w:val="24"/>
          <w:highlight w:val="none"/>
        </w:rPr>
        <w:t>1.3评标工作应遵循公平、公正、科学及择优的原则，并以相同的评标程序和标准对待所有的投标人。</w:t>
      </w:r>
    </w:p>
    <w:p>
      <w:pPr>
        <w:pStyle w:val="30"/>
        <w:ind w:left="0" w:leftChars="0"/>
        <w:rPr>
          <w:highlight w:val="none"/>
        </w:rPr>
      </w:pPr>
      <w:r>
        <w:rPr>
          <w:rFonts w:hint="eastAsia" w:ascii="宋体" w:hAnsi="宋体" w:cs="宋体"/>
          <w:sz w:val="24"/>
          <w:highlight w:val="none"/>
        </w:rPr>
        <w:t>1.4评标方法（见投标人须知前附表）</w:t>
      </w:r>
    </w:p>
    <w:p>
      <w:pPr>
        <w:pStyle w:val="4"/>
        <w:jc w:val="left"/>
        <w:rPr>
          <w:rFonts w:ascii="宋体" w:hAnsi="宋体" w:cs="宋体"/>
          <w:sz w:val="24"/>
          <w:highlight w:val="none"/>
        </w:rPr>
      </w:pPr>
      <w:bookmarkStart w:id="393" w:name="_Toc31035"/>
      <w:bookmarkStart w:id="394" w:name="_Toc11058"/>
      <w:bookmarkStart w:id="395" w:name="_Toc217446098"/>
      <w:bookmarkStart w:id="396" w:name="_Toc31333"/>
      <w:bookmarkStart w:id="397" w:name="_Toc31956"/>
      <w:bookmarkStart w:id="398" w:name="_Toc28788"/>
      <w:bookmarkStart w:id="399" w:name="_Toc31284"/>
      <w:r>
        <w:rPr>
          <w:rFonts w:hint="eastAsia" w:ascii="宋体" w:hAnsi="宋体" w:cs="宋体"/>
          <w:sz w:val="24"/>
          <w:szCs w:val="24"/>
          <w:highlight w:val="none"/>
        </w:rPr>
        <w:t>2.评标程序</w:t>
      </w:r>
      <w:bookmarkEnd w:id="393"/>
      <w:bookmarkEnd w:id="394"/>
      <w:bookmarkEnd w:id="395"/>
      <w:r>
        <w:rPr>
          <w:rFonts w:hint="eastAsia" w:ascii="宋体" w:hAnsi="宋体" w:cs="宋体"/>
          <w:sz w:val="24"/>
          <w:szCs w:val="24"/>
          <w:highlight w:val="none"/>
        </w:rPr>
        <w:t>：</w:t>
      </w:r>
      <w:r>
        <w:rPr>
          <w:rFonts w:hint="eastAsia" w:ascii="宋体" w:hAnsi="宋体" w:cs="宋体"/>
          <w:sz w:val="24"/>
          <w:highlight w:val="none"/>
        </w:rPr>
        <w:t>对资格审查合格的投标人，由评标委员会按以下程序进行。</w:t>
      </w:r>
      <w:bookmarkEnd w:id="396"/>
      <w:bookmarkEnd w:id="397"/>
      <w:bookmarkEnd w:id="398"/>
      <w:bookmarkEnd w:id="399"/>
    </w:p>
    <w:p>
      <w:pPr>
        <w:pStyle w:val="30"/>
        <w:spacing w:line="360" w:lineRule="auto"/>
        <w:ind w:left="0" w:leftChars="0"/>
        <w:rPr>
          <w:rFonts w:ascii="宋体" w:hAnsi="宋体" w:cs="宋体"/>
          <w:b/>
          <w:bCs/>
          <w:sz w:val="24"/>
          <w:highlight w:val="none"/>
        </w:rPr>
      </w:pPr>
      <w:r>
        <w:rPr>
          <w:rFonts w:hint="eastAsia" w:ascii="宋体" w:hAnsi="宋体" w:cs="宋体"/>
          <w:b/>
          <w:bCs/>
          <w:sz w:val="24"/>
          <w:highlight w:val="none"/>
        </w:rPr>
        <w:t>（1）符合性审查（投标人有以下任何一项不满足，则视为无效投标）；</w:t>
      </w:r>
    </w:p>
    <w:tbl>
      <w:tblPr>
        <w:tblStyle w:val="38"/>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9"/>
        <w:gridCol w:w="3407"/>
        <w:gridCol w:w="5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4"/>
              <w:spacing w:before="145" w:line="360" w:lineRule="auto"/>
              <w:ind w:left="109" w:right="101"/>
              <w:jc w:val="center"/>
              <w:rPr>
                <w:color w:val="000000"/>
                <w:sz w:val="24"/>
                <w:highlight w:val="none"/>
              </w:rPr>
            </w:pPr>
            <w:r>
              <w:rPr>
                <w:rFonts w:hint="eastAsia"/>
                <w:color w:val="000000"/>
                <w:sz w:val="24"/>
                <w:highlight w:val="none"/>
              </w:rPr>
              <w:t>序号</w:t>
            </w:r>
          </w:p>
        </w:tc>
        <w:tc>
          <w:tcPr>
            <w:tcW w:w="1815" w:type="pct"/>
            <w:vAlign w:val="center"/>
          </w:tcPr>
          <w:p>
            <w:pPr>
              <w:pStyle w:val="224"/>
              <w:spacing w:before="145" w:line="360" w:lineRule="auto"/>
              <w:ind w:left="41" w:right="34"/>
              <w:jc w:val="center"/>
              <w:rPr>
                <w:color w:val="000000"/>
                <w:sz w:val="24"/>
                <w:highlight w:val="none"/>
              </w:rPr>
            </w:pPr>
            <w:r>
              <w:rPr>
                <w:rFonts w:hint="eastAsia"/>
                <w:color w:val="000000"/>
                <w:sz w:val="24"/>
                <w:highlight w:val="none"/>
              </w:rPr>
              <w:t>内容</w:t>
            </w:r>
          </w:p>
        </w:tc>
        <w:tc>
          <w:tcPr>
            <w:tcW w:w="2757" w:type="pct"/>
            <w:vAlign w:val="center"/>
          </w:tcPr>
          <w:p>
            <w:pPr>
              <w:pStyle w:val="224"/>
              <w:spacing w:before="145" w:line="360" w:lineRule="auto"/>
              <w:ind w:left="2110" w:right="2103"/>
              <w:jc w:val="center"/>
              <w:rPr>
                <w:color w:val="000000"/>
                <w:sz w:val="24"/>
                <w:highlight w:val="none"/>
              </w:rPr>
            </w:pPr>
            <w:r>
              <w:rPr>
                <w:rFonts w:hint="eastAsia"/>
                <w:color w:val="000000"/>
                <w:sz w:val="24"/>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4"/>
              <w:spacing w:before="197"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1</w:t>
            </w:r>
          </w:p>
        </w:tc>
        <w:tc>
          <w:tcPr>
            <w:tcW w:w="1815" w:type="pct"/>
            <w:vAlign w:val="center"/>
          </w:tcPr>
          <w:p>
            <w:pPr>
              <w:pStyle w:val="224"/>
              <w:spacing w:before="145" w:line="360" w:lineRule="auto"/>
              <w:ind w:left="109" w:leftChars="0" w:right="101" w:rightChars="0"/>
              <w:jc w:val="center"/>
              <w:rPr>
                <w:color w:val="000000"/>
                <w:sz w:val="24"/>
                <w:highlight w:val="none"/>
              </w:rPr>
            </w:pPr>
            <w:r>
              <w:rPr>
                <w:rFonts w:hint="eastAsia"/>
                <w:color w:val="auto"/>
                <w:sz w:val="24"/>
                <w:highlight w:val="none"/>
              </w:rPr>
              <w:t>采购预算或最高限价</w:t>
            </w:r>
          </w:p>
        </w:tc>
        <w:tc>
          <w:tcPr>
            <w:tcW w:w="2757" w:type="pct"/>
            <w:vAlign w:val="center"/>
          </w:tcPr>
          <w:p>
            <w:pPr>
              <w:pStyle w:val="224"/>
              <w:spacing w:before="145" w:line="360" w:lineRule="auto"/>
              <w:ind w:left="109" w:leftChars="0" w:right="101" w:rightChars="0"/>
              <w:jc w:val="center"/>
              <w:rPr>
                <w:color w:val="000000"/>
                <w:sz w:val="24"/>
                <w:highlight w:val="none"/>
              </w:rPr>
            </w:pPr>
            <w:r>
              <w:rPr>
                <w:rFonts w:hint="eastAsia"/>
                <w:color w:val="auto"/>
                <w:sz w:val="24"/>
                <w:highlight w:val="none"/>
              </w:rPr>
              <w:t>报价不得超过招标文件中规定的预算金额或者最高限价的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4"/>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2</w:t>
            </w:r>
          </w:p>
        </w:tc>
        <w:tc>
          <w:tcPr>
            <w:tcW w:w="1815" w:type="pct"/>
            <w:vAlign w:val="center"/>
          </w:tcPr>
          <w:p>
            <w:pPr>
              <w:pStyle w:val="224"/>
              <w:spacing w:before="145" w:line="360" w:lineRule="auto"/>
              <w:ind w:left="109" w:leftChars="0" w:right="101" w:rightChars="0"/>
              <w:jc w:val="center"/>
              <w:rPr>
                <w:color w:val="000000"/>
                <w:sz w:val="24"/>
                <w:highlight w:val="none"/>
              </w:rPr>
            </w:pPr>
            <w:r>
              <w:rPr>
                <w:rFonts w:hint="eastAsia"/>
                <w:color w:val="auto"/>
                <w:sz w:val="24"/>
                <w:highlight w:val="none"/>
              </w:rPr>
              <w:t>投标文件的签署、盖章的</w:t>
            </w:r>
          </w:p>
        </w:tc>
        <w:tc>
          <w:tcPr>
            <w:tcW w:w="2757" w:type="pct"/>
            <w:vAlign w:val="center"/>
          </w:tcPr>
          <w:p>
            <w:pPr>
              <w:pStyle w:val="224"/>
              <w:spacing w:before="145" w:line="360" w:lineRule="auto"/>
              <w:ind w:left="109" w:leftChars="0" w:right="101" w:rightChars="0"/>
              <w:jc w:val="center"/>
              <w:rPr>
                <w:color w:val="000000"/>
                <w:sz w:val="24"/>
                <w:highlight w:val="none"/>
              </w:rPr>
            </w:pPr>
            <w:r>
              <w:rPr>
                <w:rFonts w:hint="eastAsia"/>
                <w:color w:val="auto"/>
                <w:sz w:val="24"/>
                <w:highlight w:val="none"/>
              </w:rPr>
              <w:t>投标文件严格按照招标文件要求签署、盖章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4"/>
              <w:spacing w:line="360" w:lineRule="auto"/>
              <w:ind w:left="8"/>
              <w:jc w:val="center"/>
              <w:rPr>
                <w:rFonts w:hint="default" w:eastAsia="宋体"/>
                <w:color w:val="000000"/>
                <w:sz w:val="24"/>
                <w:highlight w:val="none"/>
                <w:lang w:val="en-US" w:eastAsia="zh-CN"/>
              </w:rPr>
            </w:pPr>
            <w:r>
              <w:rPr>
                <w:rFonts w:hint="eastAsia"/>
                <w:color w:val="000000"/>
                <w:sz w:val="24"/>
                <w:highlight w:val="none"/>
                <w:lang w:val="en-US" w:eastAsia="zh-CN"/>
              </w:rPr>
              <w:t>3</w:t>
            </w:r>
          </w:p>
        </w:tc>
        <w:tc>
          <w:tcPr>
            <w:tcW w:w="1815" w:type="pct"/>
            <w:vAlign w:val="center"/>
          </w:tcPr>
          <w:p>
            <w:pPr>
              <w:pStyle w:val="224"/>
              <w:spacing w:before="145" w:line="360" w:lineRule="auto"/>
              <w:ind w:left="109" w:leftChars="0" w:right="101" w:rightChars="0"/>
              <w:jc w:val="center"/>
              <w:rPr>
                <w:color w:val="000000"/>
                <w:sz w:val="24"/>
                <w:highlight w:val="none"/>
              </w:rPr>
            </w:pPr>
            <w:r>
              <w:rPr>
                <w:rFonts w:hint="eastAsia"/>
                <w:color w:val="auto"/>
                <w:sz w:val="24"/>
                <w:highlight w:val="none"/>
              </w:rPr>
              <w:t>投标有效期</w:t>
            </w:r>
          </w:p>
        </w:tc>
        <w:tc>
          <w:tcPr>
            <w:tcW w:w="2757" w:type="pct"/>
            <w:vAlign w:val="center"/>
          </w:tcPr>
          <w:p>
            <w:pPr>
              <w:pStyle w:val="224"/>
              <w:spacing w:before="145" w:line="360" w:lineRule="auto"/>
              <w:ind w:left="109" w:leftChars="0" w:right="101" w:rightChars="0"/>
              <w:jc w:val="center"/>
              <w:rPr>
                <w:color w:val="000000"/>
                <w:sz w:val="24"/>
                <w:highlight w:val="none"/>
              </w:rPr>
            </w:pPr>
            <w:r>
              <w:rPr>
                <w:rFonts w:hint="eastAsia"/>
                <w:color w:val="auto"/>
                <w:sz w:val="24"/>
                <w:highlight w:val="none"/>
              </w:rPr>
              <w:t>投标有效期完全响应招标文件的要求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4"/>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4</w:t>
            </w:r>
          </w:p>
        </w:tc>
        <w:tc>
          <w:tcPr>
            <w:tcW w:w="1815" w:type="pct"/>
            <w:vAlign w:val="center"/>
          </w:tcPr>
          <w:p>
            <w:pPr>
              <w:pStyle w:val="224"/>
              <w:spacing w:before="145" w:line="360" w:lineRule="auto"/>
              <w:ind w:left="109" w:leftChars="0" w:right="101" w:rightChars="0"/>
              <w:jc w:val="center"/>
              <w:rPr>
                <w:rFonts w:hint="eastAsia" w:eastAsia="宋体"/>
                <w:color w:val="000000"/>
                <w:sz w:val="24"/>
                <w:highlight w:val="none"/>
                <w:lang w:eastAsia="zh-CN"/>
              </w:rPr>
            </w:pPr>
            <w:r>
              <w:rPr>
                <w:rFonts w:hint="eastAsia"/>
                <w:color w:val="auto"/>
                <w:sz w:val="24"/>
                <w:highlight w:val="none"/>
              </w:rPr>
              <w:t>交货期</w:t>
            </w:r>
          </w:p>
        </w:tc>
        <w:tc>
          <w:tcPr>
            <w:tcW w:w="2757" w:type="pct"/>
            <w:vAlign w:val="center"/>
          </w:tcPr>
          <w:p>
            <w:pPr>
              <w:pStyle w:val="224"/>
              <w:spacing w:before="145" w:line="360" w:lineRule="auto"/>
              <w:ind w:left="109" w:leftChars="0" w:right="101" w:rightChars="0"/>
              <w:jc w:val="center"/>
              <w:rPr>
                <w:color w:val="000000"/>
                <w:sz w:val="24"/>
                <w:highlight w:val="none"/>
              </w:rPr>
            </w:pPr>
            <w:r>
              <w:rPr>
                <w:rFonts w:hint="eastAsia"/>
                <w:color w:val="auto"/>
                <w:sz w:val="24"/>
                <w:highlight w:val="none"/>
              </w:rPr>
              <w:t>交货期完全响应招标文件的要求；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4"/>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5</w:t>
            </w:r>
          </w:p>
        </w:tc>
        <w:tc>
          <w:tcPr>
            <w:tcW w:w="1815" w:type="pct"/>
            <w:vAlign w:val="center"/>
          </w:tcPr>
          <w:p>
            <w:pPr>
              <w:pStyle w:val="224"/>
              <w:spacing w:before="145" w:line="360" w:lineRule="auto"/>
              <w:ind w:left="109" w:leftChars="0" w:right="101" w:rightChars="0"/>
              <w:jc w:val="center"/>
              <w:rPr>
                <w:color w:val="000000"/>
                <w:sz w:val="24"/>
                <w:highlight w:val="none"/>
              </w:rPr>
            </w:pPr>
            <w:r>
              <w:rPr>
                <w:rFonts w:hint="eastAsia" w:cs="宋体"/>
                <w:color w:val="auto"/>
                <w:sz w:val="24"/>
                <w:highlight w:val="none"/>
                <w:lang w:eastAsia="zh-CN"/>
              </w:rPr>
              <w:t>付款方式</w:t>
            </w:r>
          </w:p>
        </w:tc>
        <w:tc>
          <w:tcPr>
            <w:tcW w:w="2757" w:type="pct"/>
            <w:vAlign w:val="center"/>
          </w:tcPr>
          <w:p>
            <w:pPr>
              <w:pStyle w:val="224"/>
              <w:spacing w:before="145" w:line="360" w:lineRule="auto"/>
              <w:ind w:left="109" w:leftChars="0" w:right="101" w:rightChars="0"/>
              <w:jc w:val="center"/>
              <w:rPr>
                <w:color w:val="000000"/>
                <w:sz w:val="24"/>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完全</w:t>
            </w:r>
            <w:r>
              <w:rPr>
                <w:rFonts w:hint="eastAsia" w:ascii="宋体" w:hAnsi="宋体" w:eastAsia="宋体" w:cs="宋体"/>
                <w:color w:val="auto"/>
                <w:sz w:val="24"/>
                <w:highlight w:val="none"/>
              </w:rPr>
              <w:t>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4"/>
              <w:spacing w:line="360" w:lineRule="auto"/>
              <w:ind w:left="8"/>
              <w:jc w:val="center"/>
              <w:rPr>
                <w:rFonts w:hint="eastAsia" w:eastAsia="宋体"/>
                <w:color w:val="000000"/>
                <w:sz w:val="24"/>
                <w:highlight w:val="none"/>
                <w:lang w:eastAsia="zh-CN"/>
              </w:rPr>
            </w:pPr>
            <w:r>
              <w:rPr>
                <w:rFonts w:hint="eastAsia"/>
                <w:color w:val="000000"/>
                <w:sz w:val="24"/>
                <w:highlight w:val="none"/>
                <w:lang w:val="en-US" w:eastAsia="zh-CN"/>
              </w:rPr>
              <w:t>6</w:t>
            </w:r>
          </w:p>
        </w:tc>
        <w:tc>
          <w:tcPr>
            <w:tcW w:w="1815" w:type="pct"/>
            <w:vAlign w:val="center"/>
          </w:tcPr>
          <w:p>
            <w:pPr>
              <w:pStyle w:val="224"/>
              <w:spacing w:before="145" w:line="360" w:lineRule="auto"/>
              <w:ind w:left="109" w:leftChars="0" w:right="101" w:rightChars="0"/>
              <w:jc w:val="center"/>
              <w:rPr>
                <w:color w:val="000000"/>
                <w:sz w:val="24"/>
                <w:highlight w:val="none"/>
              </w:rPr>
            </w:pPr>
            <w:r>
              <w:rPr>
                <w:rFonts w:hint="eastAsia" w:cs="宋体"/>
                <w:color w:val="auto"/>
                <w:sz w:val="24"/>
                <w:highlight w:val="none"/>
                <w:lang w:val="en-US" w:eastAsia="zh-CN"/>
              </w:rPr>
              <w:t>质保期</w:t>
            </w:r>
          </w:p>
        </w:tc>
        <w:tc>
          <w:tcPr>
            <w:tcW w:w="2757" w:type="pct"/>
            <w:vAlign w:val="center"/>
          </w:tcPr>
          <w:p>
            <w:pPr>
              <w:pStyle w:val="224"/>
              <w:spacing w:before="145" w:line="360" w:lineRule="auto"/>
              <w:ind w:left="109" w:leftChars="0" w:right="101" w:rightChars="0"/>
              <w:jc w:val="center"/>
              <w:rPr>
                <w:color w:val="000000"/>
                <w:sz w:val="24"/>
                <w:highlight w:val="none"/>
              </w:rPr>
            </w:pPr>
            <w:r>
              <w:rPr>
                <w:rFonts w:hint="eastAsia" w:cs="宋体"/>
                <w:color w:val="auto"/>
                <w:sz w:val="24"/>
                <w:highlight w:val="none"/>
                <w:lang w:val="en-US" w:eastAsia="zh-CN"/>
              </w:rPr>
              <w:t>质保期完全</w:t>
            </w:r>
            <w:r>
              <w:rPr>
                <w:rFonts w:hint="eastAsia" w:ascii="宋体" w:hAnsi="宋体" w:eastAsia="宋体" w:cs="宋体"/>
                <w:color w:val="auto"/>
                <w:sz w:val="24"/>
                <w:highlight w:val="none"/>
              </w:rPr>
              <w:t>响应招标文件的要求；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426" w:type="pct"/>
            <w:vAlign w:val="center"/>
          </w:tcPr>
          <w:p>
            <w:pPr>
              <w:pStyle w:val="224"/>
              <w:spacing w:line="360" w:lineRule="auto"/>
              <w:ind w:left="8"/>
              <w:jc w:val="center"/>
              <w:rPr>
                <w:rFonts w:hint="default"/>
                <w:color w:val="000000"/>
                <w:sz w:val="24"/>
                <w:highlight w:val="none"/>
                <w:lang w:val="en-US" w:eastAsia="zh-CN"/>
              </w:rPr>
            </w:pPr>
            <w:r>
              <w:rPr>
                <w:rFonts w:hint="eastAsia"/>
                <w:color w:val="000000"/>
                <w:sz w:val="24"/>
                <w:highlight w:val="none"/>
                <w:lang w:val="en-US" w:eastAsia="zh-CN"/>
              </w:rPr>
              <w:t>7</w:t>
            </w:r>
          </w:p>
        </w:tc>
        <w:tc>
          <w:tcPr>
            <w:tcW w:w="1815" w:type="pct"/>
            <w:vAlign w:val="center"/>
          </w:tcPr>
          <w:p>
            <w:pPr>
              <w:pStyle w:val="224"/>
              <w:spacing w:before="145" w:line="360" w:lineRule="auto"/>
              <w:ind w:left="109" w:leftChars="0" w:right="101" w:rightChars="0"/>
              <w:jc w:val="center"/>
              <w:rPr>
                <w:rFonts w:hint="eastAsia" w:cs="宋体"/>
                <w:color w:val="auto"/>
                <w:sz w:val="24"/>
                <w:highlight w:val="none"/>
                <w:lang w:val="en-US" w:eastAsia="zh-CN"/>
              </w:rPr>
            </w:pPr>
            <w:r>
              <w:rPr>
                <w:rFonts w:hint="eastAsia" w:ascii="宋体" w:hAnsi="宋体" w:eastAsia="宋体" w:cs="宋体"/>
                <w:sz w:val="24"/>
                <w:highlight w:val="none"/>
              </w:rPr>
              <w:t>法律、法规和招标文件规定的其他无效情形</w:t>
            </w:r>
          </w:p>
        </w:tc>
        <w:tc>
          <w:tcPr>
            <w:tcW w:w="2757" w:type="pct"/>
            <w:vAlign w:val="center"/>
          </w:tcPr>
          <w:p>
            <w:pPr>
              <w:pStyle w:val="224"/>
              <w:spacing w:before="145" w:line="360" w:lineRule="auto"/>
              <w:ind w:left="109" w:leftChars="0" w:right="101" w:rightChars="0"/>
              <w:jc w:val="center"/>
              <w:rPr>
                <w:rFonts w:hint="eastAsia" w:cs="宋体"/>
                <w:color w:val="auto"/>
                <w:sz w:val="24"/>
                <w:highlight w:val="none"/>
                <w:lang w:val="en-US" w:eastAsia="zh-CN"/>
              </w:rPr>
            </w:pPr>
            <w:r>
              <w:rPr>
                <w:rFonts w:hint="eastAsia" w:cs="宋体"/>
                <w:sz w:val="24"/>
                <w:highlight w:val="none"/>
                <w:lang w:val="en-US" w:eastAsia="zh-CN"/>
              </w:rPr>
              <w:t>不</w:t>
            </w:r>
            <w:r>
              <w:rPr>
                <w:rFonts w:hint="eastAsia" w:ascii="宋体" w:hAnsi="宋体" w:eastAsia="宋体" w:cs="宋体"/>
                <w:sz w:val="24"/>
                <w:highlight w:val="none"/>
              </w:rPr>
              <w:t>存在法律、法规和招标文件规定的其他无效情形。</w:t>
            </w:r>
          </w:p>
        </w:tc>
      </w:tr>
    </w:tbl>
    <w:p>
      <w:pPr>
        <w:spacing w:line="360" w:lineRule="auto"/>
        <w:ind w:firstLine="480" w:firstLineChars="200"/>
        <w:rPr>
          <w:rFonts w:ascii="宋体" w:hAnsi="宋体" w:cs="宋体"/>
          <w:sz w:val="24"/>
          <w:highlight w:val="none"/>
        </w:rPr>
      </w:pPr>
      <w:r>
        <w:rPr>
          <w:rFonts w:hint="eastAsia" w:ascii="宋体" w:hAnsi="宋体" w:cs="宋体"/>
          <w:sz w:val="24"/>
          <w:highlight w:val="none"/>
        </w:rPr>
        <w:t>（2）澄清有关问题；</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（3）综合评分或价格比较； 采用综合评分法的按照以下评分明细表进行评分。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（4）综合评分明细表：以科学合理、降低评标委员会自由裁量权为原则</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528"/>
        <w:gridCol w:w="7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序号</w:t>
            </w:r>
          </w:p>
        </w:tc>
        <w:tc>
          <w:tcPr>
            <w:tcW w:w="79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评审因素</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 w:val="28"/>
                <w:szCs w:val="28"/>
                <w:highlight w:val="none"/>
              </w:rPr>
            </w:pPr>
            <w:r>
              <w:rPr>
                <w:rFonts w:hint="eastAsia" w:ascii="宋体" w:hAnsi="宋体" w:cs="宋体"/>
                <w:b/>
                <w:bCs w:val="0"/>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w:t>
            </w:r>
          </w:p>
        </w:tc>
        <w:tc>
          <w:tcPr>
            <w:tcW w:w="798"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投标报价</w:t>
            </w:r>
          </w:p>
          <w:p>
            <w:pPr>
              <w:spacing w:line="360" w:lineRule="auto"/>
              <w:rPr>
                <w:rFonts w:ascii="宋体" w:hAnsi="宋体" w:cs="宋体"/>
                <w:sz w:val="24"/>
                <w:highlight w:val="none"/>
              </w:rPr>
            </w:pPr>
            <w:r>
              <w:rPr>
                <w:rFonts w:hint="eastAsia" w:ascii="宋体" w:hAnsi="宋体" w:cs="宋体"/>
                <w:sz w:val="24"/>
                <w:highlight w:val="none"/>
              </w:rPr>
              <w:t>(30分)</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Arial"/>
                <w:color w:val="000000" w:themeColor="text1"/>
                <w:sz w:val="24"/>
                <w:highlight w:val="none"/>
              </w:rPr>
            </w:pPr>
            <w:r>
              <w:rPr>
                <w:rFonts w:hint="eastAsia" w:ascii="宋体" w:hAnsi="宋体" w:cs="Arial"/>
                <w:color w:val="000000" w:themeColor="text1"/>
                <w:sz w:val="24"/>
                <w:highlight w:val="none"/>
              </w:rPr>
              <w:t>以按照招标文件规定修正后的所有合格投标人的最低价为评分基准价。</w:t>
            </w:r>
          </w:p>
          <w:p>
            <w:pPr>
              <w:spacing w:line="360" w:lineRule="auto"/>
              <w:ind w:firstLine="482" w:firstLineChars="200"/>
              <w:jc w:val="left"/>
              <w:rPr>
                <w:rFonts w:ascii="宋体" w:hAnsi="宋体" w:cs="Arial"/>
                <w:b/>
                <w:bCs/>
                <w:color w:val="000000" w:themeColor="text1"/>
                <w:sz w:val="24"/>
                <w:highlight w:val="none"/>
              </w:rPr>
            </w:pPr>
            <w:r>
              <w:rPr>
                <w:rFonts w:hint="eastAsia" w:ascii="宋体" w:hAnsi="宋体" w:cs="Arial"/>
                <w:b/>
                <w:bCs/>
                <w:color w:val="000000" w:themeColor="text1"/>
                <w:sz w:val="24"/>
                <w:highlight w:val="none"/>
              </w:rPr>
              <w:t>基准价/投标商投标价*30为投标商的价格分。</w:t>
            </w:r>
          </w:p>
          <w:p>
            <w:pPr>
              <w:spacing w:line="360" w:lineRule="auto"/>
              <w:ind w:firstLine="480" w:firstLineChars="200"/>
              <w:rPr>
                <w:rFonts w:ascii="宋体" w:hAnsi="宋体" w:cs="宋体"/>
                <w:sz w:val="24"/>
                <w:highlight w:val="none"/>
              </w:rPr>
            </w:pPr>
            <w:r>
              <w:rPr>
                <w:rFonts w:hint="eastAsia" w:ascii="宋体" w:hAnsi="宋体" w:cs="Arial"/>
                <w:color w:val="000000" w:themeColor="text1"/>
                <w:sz w:val="24"/>
                <w:highlight w:val="none"/>
              </w:rPr>
              <w:t>投标人不得低于成本或市场价恶意竞标，评审小组认为投标人的报价明显低于其他通过符合性审查投标人的报价，有可能影响产品质量或者不能诚信履约的，应当要求其在投标现场合理的时间内提供书面说明，必要时提交相关证明材料；投标人不能证明其报价合理性的，评审小组应当将其作为无效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2</w:t>
            </w:r>
          </w:p>
        </w:tc>
        <w:tc>
          <w:tcPr>
            <w:tcW w:w="798"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技术部分（</w:t>
            </w:r>
            <w:r>
              <w:rPr>
                <w:rFonts w:hint="eastAsia" w:ascii="宋体" w:hAnsi="宋体" w:cs="宋体"/>
                <w:sz w:val="24"/>
                <w:highlight w:val="none"/>
                <w:lang w:val="en-US" w:eastAsia="zh-CN"/>
              </w:rPr>
              <w:t>48</w:t>
            </w:r>
            <w:r>
              <w:rPr>
                <w:rFonts w:hint="eastAsia" w:ascii="宋体" w:hAnsi="宋体" w:cs="宋体"/>
                <w:sz w:val="24"/>
                <w:highlight w:val="none"/>
              </w:rPr>
              <w:t>）</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1.技术参数（满分</w:t>
            </w:r>
            <w:r>
              <w:rPr>
                <w:rFonts w:hint="eastAsia" w:ascii="宋体" w:hAnsi="宋体" w:cs="宋体"/>
                <w:sz w:val="24"/>
                <w:highlight w:val="none"/>
                <w:lang w:val="en-US" w:eastAsia="zh-CN"/>
              </w:rPr>
              <w:t>32</w:t>
            </w:r>
            <w:r>
              <w:rPr>
                <w:rFonts w:hint="eastAsia" w:ascii="宋体" w:hAnsi="宋体" w:cs="宋体"/>
                <w:sz w:val="24"/>
                <w:highlight w:val="none"/>
              </w:rPr>
              <w:t>分）：</w:t>
            </w:r>
          </w:p>
          <w:p>
            <w:pPr>
              <w:spacing w:line="360" w:lineRule="auto"/>
              <w:ind w:firstLine="240" w:firstLineChars="100"/>
              <w:rPr>
                <w:rFonts w:hint="eastAsia" w:ascii="宋体" w:hAnsi="宋体" w:eastAsia="宋体" w:cs="宋体"/>
                <w:sz w:val="24"/>
                <w:highlight w:val="none"/>
                <w:lang w:eastAsia="zh-CN"/>
              </w:rPr>
            </w:pPr>
            <w:r>
              <w:rPr>
                <w:rFonts w:hint="eastAsia" w:ascii="宋体" w:hAnsi="宋体" w:eastAsia="宋体" w:cs="宋体"/>
                <w:sz w:val="24"/>
                <w:highlight w:val="none"/>
              </w:rPr>
              <w:t>投标产品技术性能优于或满足招标文件要求</w:t>
            </w:r>
            <w:r>
              <w:rPr>
                <w:rFonts w:hint="eastAsia" w:ascii="宋体" w:hAnsi="宋体" w:eastAsia="宋体" w:cs="宋体"/>
                <w:sz w:val="24"/>
                <w:highlight w:val="none"/>
                <w:lang w:eastAsia="zh-CN"/>
              </w:rPr>
              <w:t>的</w:t>
            </w:r>
            <w:r>
              <w:rPr>
                <w:rFonts w:hint="eastAsia" w:ascii="宋体" w:hAnsi="宋体" w:eastAsia="宋体" w:cs="宋体"/>
                <w:sz w:val="24"/>
                <w:highlight w:val="none"/>
                <w:lang w:val="en-US" w:eastAsia="zh-CN"/>
              </w:rPr>
              <w:t>32</w:t>
            </w:r>
            <w:r>
              <w:rPr>
                <w:rFonts w:hint="eastAsia" w:ascii="宋体" w:hAnsi="宋体" w:eastAsia="宋体" w:cs="宋体"/>
                <w:sz w:val="24"/>
                <w:highlight w:val="none"/>
              </w:rPr>
              <w:t>分；</w:t>
            </w:r>
            <w:r>
              <w:rPr>
                <w:rFonts w:hint="eastAsia" w:ascii="宋体" w:hAnsi="宋体" w:eastAsia="宋体" w:cs="宋体"/>
                <w:sz w:val="24"/>
                <w:highlight w:val="none"/>
                <w:lang w:val="en-US" w:eastAsia="zh-CN"/>
              </w:rPr>
              <w:t>技术参数“*”有一项负偏离扣4分</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一般技术参数有一项负偏离扣2分</w:t>
            </w:r>
            <w:r>
              <w:rPr>
                <w:rFonts w:hint="eastAsia" w:ascii="宋体" w:hAnsi="宋体" w:eastAsia="宋体" w:cs="宋体"/>
                <w:sz w:val="24"/>
                <w:highlight w:val="none"/>
              </w:rPr>
              <w:t>扣完为止。</w:t>
            </w:r>
          </w:p>
          <w:p>
            <w:pPr>
              <w:spacing w:line="360" w:lineRule="auto"/>
              <w:ind w:firstLine="240" w:firstLineChars="100"/>
              <w:rPr>
                <w:rFonts w:ascii="宋体" w:hAnsi="宋体" w:cs="宋体"/>
                <w:highlight w:val="none"/>
              </w:rPr>
            </w:pPr>
            <w:r>
              <w:rPr>
                <w:rFonts w:hint="eastAsia" w:ascii="宋体" w:hAnsi="宋体" w:eastAsia="宋体" w:cs="宋体"/>
                <w:sz w:val="24"/>
                <w:highlight w:val="none"/>
              </w:rPr>
              <w:t>注：技术参数的响应须提供相关证明材料，包括</w:t>
            </w:r>
            <w:r>
              <w:rPr>
                <w:rFonts w:hint="eastAsia" w:ascii="宋体" w:hAnsi="宋体" w:eastAsia="宋体" w:cs="宋体"/>
                <w:sz w:val="24"/>
                <w:highlight w:val="none"/>
                <w:lang w:val="en-US" w:eastAsia="zh-CN"/>
              </w:rPr>
              <w:t>但不限于</w:t>
            </w:r>
            <w:r>
              <w:rPr>
                <w:rFonts w:hint="eastAsia" w:ascii="宋体" w:hAnsi="宋体" w:eastAsia="宋体" w:cs="宋体"/>
                <w:sz w:val="24"/>
                <w:highlight w:val="none"/>
              </w:rPr>
              <w:t>产品注册检验报告</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产品彩页</w:t>
            </w:r>
            <w:r>
              <w:rPr>
                <w:rFonts w:hint="eastAsia" w:ascii="宋体" w:hAnsi="宋体" w:eastAsia="宋体" w:cs="宋体"/>
                <w:sz w:val="24"/>
                <w:highlight w:val="none"/>
                <w:lang w:val="en-US" w:eastAsia="zh-CN"/>
              </w:rPr>
              <w:t>或</w:t>
            </w:r>
            <w:r>
              <w:rPr>
                <w:rFonts w:hint="eastAsia" w:ascii="宋体" w:hAnsi="宋体" w:eastAsia="宋体" w:cs="宋体"/>
                <w:sz w:val="24"/>
                <w:highlight w:val="none"/>
              </w:rPr>
              <w:t>技术白皮书或产品说明书</w:t>
            </w:r>
            <w:r>
              <w:rPr>
                <w:rFonts w:hint="eastAsia" w:ascii="宋体" w:hAnsi="宋体" w:eastAsia="宋体" w:cs="宋体"/>
                <w:sz w:val="24"/>
                <w:highlight w:val="none"/>
                <w:lang w:eastAsia="zh-CN"/>
              </w:rPr>
              <w:t>，</w:t>
            </w:r>
            <w:r>
              <w:rPr>
                <w:rFonts w:hint="eastAsia" w:ascii="宋体" w:hAnsi="宋体" w:eastAsia="宋体" w:cs="宋体"/>
                <w:sz w:val="24"/>
                <w:highlight w:val="none"/>
              </w:rPr>
              <w:t>复印件加盖公章，若未提供，则扣除跟负偏离同样的分数。投标人须提供技术支撑材料准确页码，未提供页码或提供页码不准确造成的后果由投标人自行承担。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numPr>
                <w:ilvl w:val="0"/>
                <w:numId w:val="8"/>
              </w:numPr>
              <w:spacing w:line="360" w:lineRule="auto"/>
              <w:rPr>
                <w:rFonts w:ascii="宋体" w:hAnsi="宋体" w:cs="宋体"/>
                <w:sz w:val="24"/>
                <w:highlight w:val="none"/>
              </w:rPr>
            </w:pPr>
            <w:r>
              <w:rPr>
                <w:rFonts w:hint="eastAsia" w:ascii="宋体" w:hAnsi="宋体" w:cs="宋体"/>
                <w:sz w:val="24"/>
                <w:highlight w:val="none"/>
              </w:rPr>
              <w:t>应标方案综合评价：根据应标方案内容完整性，所投产品选型，整体设计、功能、性能，配套的耗材和备品备件规格及齐全程度等进行评价，应标方案科学、合理、完整的得</w:t>
            </w:r>
            <w:r>
              <w:rPr>
                <w:rFonts w:hint="eastAsia" w:ascii="宋体" w:hAnsi="宋体" w:cs="宋体"/>
                <w:sz w:val="24"/>
                <w:highlight w:val="none"/>
                <w:lang w:val="en-US" w:eastAsia="zh-CN"/>
              </w:rPr>
              <w:t>4</w:t>
            </w:r>
            <w:r>
              <w:rPr>
                <w:rFonts w:hint="eastAsia" w:ascii="宋体" w:hAnsi="宋体" w:cs="宋体"/>
                <w:sz w:val="24"/>
                <w:highlight w:val="none"/>
              </w:rPr>
              <w:t>分，应标方案基本科学、合理、完整的得</w:t>
            </w:r>
            <w:r>
              <w:rPr>
                <w:rFonts w:hint="eastAsia" w:ascii="宋体" w:hAnsi="宋体" w:cs="宋体"/>
                <w:sz w:val="24"/>
                <w:highlight w:val="none"/>
                <w:lang w:val="en-US" w:eastAsia="zh-CN"/>
              </w:rPr>
              <w:t>2</w:t>
            </w:r>
            <w:r>
              <w:rPr>
                <w:rFonts w:hint="eastAsia" w:ascii="宋体" w:hAnsi="宋体" w:cs="宋体"/>
                <w:sz w:val="24"/>
                <w:highlight w:val="none"/>
              </w:rPr>
              <w:t>分；应标方案科学性差、合理性差、完整度差的得1分；不提供不得分。（满分</w:t>
            </w:r>
            <w:r>
              <w:rPr>
                <w:rFonts w:hint="eastAsia" w:ascii="宋体" w:hAnsi="宋体" w:cs="宋体"/>
                <w:sz w:val="24"/>
                <w:highlight w:val="none"/>
                <w:lang w:val="en-US" w:eastAsia="zh-CN"/>
              </w:rPr>
              <w:t>4</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rPr>
              <w:t>3.项目实施方案：投标人提供项目实施方案，对本项目的前期准备、交货与供货总体进度安排、验收交付等工作有清晰的描述和措施。实施方案完整、合理，实施计划清晰、可行性强得4分；实施方案基本完整、基本合理，实施计划基本清晰、可行性一般得2分；实施方案不完整、合理性差，实施计划不清晰、可行性差得1分；未提供不得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4.培训方案：投标人提供针对本项目培训方案，方案完整详细，针对性强，优于招标文件要求的得3分；方案较完整详细， 针对性较强，基本满足招标文件要求的得2分；方案不完整，无针对性，不能满足招标文件要求的不得分，不提供不得分。（满分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.技术服务团队：投标人是否具有专业的技术人员（至少有一名生产厂家授权的工程师）负责设备的安装、调试及技术服务，且人员分工明确，专业岗位配套齐全。服务团队组织管理科学、人员配备合理的得</w:t>
            </w:r>
            <w:r>
              <w:rPr>
                <w:rFonts w:hint="eastAsia" w:ascii="宋体" w:hAnsi="宋体" w:cs="宋体"/>
                <w:sz w:val="24"/>
                <w:highlight w:val="none"/>
                <w:lang w:val="en-US" w:eastAsia="zh-CN"/>
              </w:rPr>
              <w:t>5</w:t>
            </w:r>
            <w:r>
              <w:rPr>
                <w:rFonts w:hint="eastAsia" w:ascii="宋体" w:hAnsi="宋体" w:cs="宋体"/>
                <w:sz w:val="24"/>
                <w:highlight w:val="none"/>
              </w:rPr>
              <w:t>分；服务团队组织管理较科学、人员配备较合理的得</w:t>
            </w:r>
            <w:r>
              <w:rPr>
                <w:rFonts w:hint="eastAsia" w:ascii="宋体" w:hAnsi="宋体" w:cs="宋体"/>
                <w:sz w:val="24"/>
                <w:highlight w:val="none"/>
                <w:lang w:val="en-US" w:eastAsia="zh-CN"/>
              </w:rPr>
              <w:t>3</w:t>
            </w:r>
            <w:r>
              <w:rPr>
                <w:rFonts w:hint="eastAsia" w:ascii="宋体" w:hAnsi="宋体" w:cs="宋体"/>
                <w:sz w:val="24"/>
                <w:highlight w:val="none"/>
              </w:rPr>
              <w:t>分；服务团队组织管理及团队配备内容一般，缺乏合理性或表述不清的得1分,不提供不得分。（满分</w:t>
            </w:r>
            <w:r>
              <w:rPr>
                <w:rFonts w:hint="eastAsia" w:ascii="宋体" w:hAnsi="宋体" w:cs="宋体"/>
                <w:sz w:val="24"/>
                <w:highlight w:val="none"/>
                <w:lang w:val="en-US" w:eastAsia="zh-CN"/>
              </w:rPr>
              <w:t>5</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91"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3</w:t>
            </w:r>
          </w:p>
        </w:tc>
        <w:tc>
          <w:tcPr>
            <w:tcW w:w="798" w:type="pct"/>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商务部分（</w:t>
            </w:r>
            <w:r>
              <w:rPr>
                <w:rFonts w:hint="eastAsia" w:ascii="宋体" w:hAnsi="宋体" w:cs="宋体"/>
                <w:sz w:val="24"/>
                <w:highlight w:val="none"/>
                <w:lang w:val="en-US" w:eastAsia="zh-CN"/>
              </w:rPr>
              <w:t>22</w:t>
            </w:r>
            <w:r>
              <w:rPr>
                <w:rFonts w:hint="eastAsia" w:ascii="宋体" w:hAnsi="宋体" w:cs="宋体"/>
                <w:sz w:val="24"/>
                <w:highlight w:val="none"/>
              </w:rPr>
              <w:t>分）</w:t>
            </w: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rPr>
              <w:t>1.</w:t>
            </w:r>
            <w:r>
              <w:rPr>
                <w:rFonts w:hint="eastAsia"/>
                <w:highlight w:val="none"/>
              </w:rPr>
              <w:t xml:space="preserve"> </w:t>
            </w:r>
            <w:r>
              <w:rPr>
                <w:rFonts w:hint="eastAsia" w:ascii="宋体" w:hAnsi="宋体" w:cs="宋体"/>
                <w:sz w:val="24"/>
                <w:highlight w:val="none"/>
              </w:rPr>
              <w:t>投标人提供近三年内同类项目业绩：提供合同或中标通知书复印件，每提供一项得2分，最多得8分。（满分8分）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Arial"/>
                <w:color w:val="000000" w:themeColor="text1"/>
                <w:sz w:val="24"/>
                <w:highlight w:val="none"/>
              </w:rPr>
              <w:t xml:space="preserve"> 生产厂家获得医疗器械质量管理体系认证证书；环境管理体系认证证书；职业健康安全管理体系认证证书</w:t>
            </w:r>
            <w:r>
              <w:rPr>
                <w:rFonts w:hint="eastAsia" w:ascii="宋体" w:hAnsi="宋体" w:cs="Arial"/>
                <w:color w:val="000000" w:themeColor="text1"/>
                <w:sz w:val="24"/>
                <w:highlight w:val="none"/>
                <w:lang w:eastAsia="zh-CN"/>
              </w:rPr>
              <w:t>；</w:t>
            </w:r>
            <w:r>
              <w:rPr>
                <w:rFonts w:hint="eastAsia" w:ascii="宋体" w:hAnsi="宋体" w:cs="Arial"/>
                <w:color w:val="000000" w:themeColor="text1"/>
                <w:sz w:val="24"/>
                <w:highlight w:val="none"/>
              </w:rPr>
              <w:t>每提供一</w:t>
            </w:r>
            <w:r>
              <w:rPr>
                <w:rFonts w:hint="eastAsia" w:ascii="宋体" w:hAnsi="宋体" w:cs="Arial"/>
                <w:color w:val="000000" w:themeColor="text1"/>
                <w:sz w:val="24"/>
                <w:highlight w:val="none"/>
                <w:lang w:val="en-US" w:eastAsia="zh-CN"/>
              </w:rPr>
              <w:t>项</w:t>
            </w:r>
            <w:r>
              <w:rPr>
                <w:rFonts w:hint="eastAsia" w:ascii="宋体" w:hAnsi="宋体" w:cs="Arial"/>
                <w:color w:val="000000" w:themeColor="text1"/>
                <w:sz w:val="24"/>
                <w:highlight w:val="none"/>
              </w:rPr>
              <w:t>得1分。（提供复印件加盖公章）（满分</w:t>
            </w:r>
            <w:r>
              <w:rPr>
                <w:rFonts w:hint="eastAsia" w:ascii="宋体" w:hAnsi="宋体" w:cs="Arial"/>
                <w:color w:val="000000" w:themeColor="text1"/>
                <w:sz w:val="24"/>
                <w:highlight w:val="none"/>
                <w:lang w:val="en-US" w:eastAsia="zh-CN"/>
              </w:rPr>
              <w:t>3</w:t>
            </w:r>
            <w:r>
              <w:rPr>
                <w:rFonts w:hint="eastAsia" w:ascii="宋体" w:hAnsi="宋体" w:cs="Arial"/>
                <w:color w:val="000000" w:themeColor="text1"/>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.投标人提供所投产品生产厂家授权函原件得 </w:t>
            </w:r>
            <w:r>
              <w:rPr>
                <w:rFonts w:hint="eastAsia" w:ascii="宋体" w:hAnsi="宋体" w:cs="宋体"/>
                <w:sz w:val="24"/>
                <w:highlight w:val="none"/>
                <w:lang w:val="en-US" w:eastAsia="zh-CN"/>
              </w:rPr>
              <w:t>2</w:t>
            </w:r>
            <w:r>
              <w:rPr>
                <w:rFonts w:hint="eastAsia" w:ascii="宋体" w:hAnsi="宋体" w:cs="宋体"/>
                <w:sz w:val="24"/>
                <w:highlight w:val="none"/>
              </w:rPr>
              <w:t>分，否则不得分。 （满分</w:t>
            </w:r>
            <w:r>
              <w:rPr>
                <w:rFonts w:hint="eastAsia" w:ascii="宋体" w:hAnsi="宋体" w:cs="宋体"/>
                <w:sz w:val="24"/>
                <w:highlight w:val="none"/>
                <w:lang w:val="en-US" w:eastAsia="zh-CN"/>
              </w:rPr>
              <w:t>2</w:t>
            </w:r>
            <w:r>
              <w:rPr>
                <w:rFonts w:hint="eastAsia" w:ascii="宋体" w:hAnsi="宋体" w:cs="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sz w:val="24"/>
                <w:highlight w:val="none"/>
                <w:lang w:val="en-US" w:eastAsia="zh-CN"/>
              </w:rPr>
              <w:t>所投产品承诺质保期每增加一年得1分，最多得2分，需提供原厂质保承诺函原件。（满分2分）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highlight w:val="none"/>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sz w:val="24"/>
                <w:highlight w:val="none"/>
                <w:lang w:val="en-US" w:eastAsia="zh-CN"/>
              </w:rPr>
              <w:t>5</w:t>
            </w:r>
            <w:r>
              <w:rPr>
                <w:rFonts w:hint="eastAsia" w:ascii="宋体" w:hAnsi="宋体"/>
                <w:sz w:val="24"/>
                <w:highlight w:val="none"/>
              </w:rPr>
              <w:t>.承诺维修期间超过48小时的，提供同类型备用设备供医院使用，得</w:t>
            </w:r>
            <w:r>
              <w:rPr>
                <w:rFonts w:hint="eastAsia" w:ascii="宋体" w:hAnsi="宋体"/>
                <w:sz w:val="24"/>
                <w:highlight w:val="none"/>
                <w:lang w:val="en-US" w:eastAsia="zh-CN"/>
              </w:rPr>
              <w:t>2</w:t>
            </w:r>
            <w:r>
              <w:rPr>
                <w:rFonts w:hint="eastAsia" w:ascii="宋体" w:hAnsi="宋体"/>
                <w:sz w:val="24"/>
                <w:highlight w:val="none"/>
              </w:rPr>
              <w:t>分。（共计</w:t>
            </w:r>
            <w:r>
              <w:rPr>
                <w:rFonts w:hint="eastAsia" w:ascii="宋体" w:hAnsi="宋体"/>
                <w:sz w:val="24"/>
                <w:highlight w:val="none"/>
                <w:lang w:val="en-US" w:eastAsia="zh-CN"/>
              </w:rPr>
              <w:t>2</w:t>
            </w:r>
            <w:r>
              <w:rPr>
                <w:rFonts w:hint="eastAsia" w:ascii="宋体" w:hAnsi="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1" w:type="pct"/>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highlight w:val="none"/>
                <w:lang w:val="en-US" w:eastAsia="zh-CN"/>
              </w:rPr>
            </w:pPr>
          </w:p>
        </w:tc>
        <w:tc>
          <w:tcPr>
            <w:tcW w:w="798" w:type="pct"/>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 w:val="24"/>
                <w:highlight w:val="none"/>
                <w:lang w:val="en-US" w:eastAsia="zh-CN"/>
              </w:rPr>
            </w:pPr>
          </w:p>
        </w:tc>
        <w:tc>
          <w:tcPr>
            <w:tcW w:w="371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根据投标人提供的售后服务承诺进行打分，包括但不限于服务内容、服务方式、服务团队、故障响应时间等；售后服务方案具体详细，且完全满足项目需求得</w:t>
            </w:r>
            <w:r>
              <w:rPr>
                <w:rFonts w:hint="eastAsia" w:ascii="宋体" w:hAnsi="宋体" w:cs="宋体"/>
                <w:sz w:val="24"/>
                <w:highlight w:val="none"/>
                <w:lang w:val="en-US" w:eastAsia="zh-CN"/>
              </w:rPr>
              <w:t>5</w:t>
            </w:r>
            <w:r>
              <w:rPr>
                <w:rFonts w:hint="eastAsia" w:ascii="宋体" w:hAnsi="宋体" w:cs="宋体"/>
                <w:sz w:val="24"/>
                <w:highlight w:val="none"/>
              </w:rPr>
              <w:t>分，售后服务方案较完善，基本满足项目需求得</w:t>
            </w:r>
            <w:r>
              <w:rPr>
                <w:rFonts w:hint="eastAsia" w:ascii="宋体" w:hAnsi="宋体" w:cs="宋体"/>
                <w:sz w:val="24"/>
                <w:highlight w:val="none"/>
                <w:lang w:val="en-US" w:eastAsia="zh-CN"/>
              </w:rPr>
              <w:t>3</w:t>
            </w:r>
            <w:r>
              <w:rPr>
                <w:rFonts w:hint="eastAsia" w:ascii="宋体" w:hAnsi="宋体" w:cs="宋体"/>
                <w:sz w:val="24"/>
                <w:highlight w:val="none"/>
              </w:rPr>
              <w:t>分，售后服务方案有漏洞，无法满足项目需求得1分；不提供不得分。（满分</w:t>
            </w:r>
            <w:r>
              <w:rPr>
                <w:rFonts w:hint="eastAsia" w:ascii="宋体" w:hAnsi="宋体" w:cs="宋体"/>
                <w:sz w:val="24"/>
                <w:highlight w:val="none"/>
                <w:lang w:val="en-US" w:eastAsia="zh-CN"/>
              </w:rPr>
              <w:t>5</w:t>
            </w:r>
            <w:r>
              <w:rPr>
                <w:rFonts w:hint="eastAsia" w:ascii="宋体" w:hAnsi="宋体" w:cs="宋体"/>
                <w:sz w:val="24"/>
                <w:highlight w:val="none"/>
              </w:rPr>
              <w:t>分）</w:t>
            </w:r>
          </w:p>
        </w:tc>
      </w:tr>
    </w:tbl>
    <w:p>
      <w:pPr>
        <w:pStyle w:val="22"/>
        <w:rPr>
          <w:rFonts w:hint="default"/>
          <w:highlight w:val="none"/>
          <w:lang w:val="en-US" w:eastAsia="zh-CN"/>
        </w:rPr>
      </w:pPr>
    </w:p>
    <w:p>
      <w:pPr>
        <w:spacing w:line="360" w:lineRule="auto"/>
        <w:ind w:firstLine="240" w:firstLineChars="100"/>
        <w:rPr>
          <w:rFonts w:ascii="宋体" w:hAnsi="宋体" w:cs="宋体"/>
          <w:sz w:val="24"/>
          <w:highlight w:val="none"/>
        </w:rPr>
      </w:pPr>
      <w:r>
        <w:rPr>
          <w:rFonts w:hint="eastAsia" w:ascii="宋体" w:hAnsi="宋体" w:cs="宋体"/>
          <w:sz w:val="24"/>
          <w:highlight w:val="none"/>
        </w:rPr>
        <w:t>（5）评标委员会将评标情况写出书面报告，推荐中标候选人。采用综合评分法的，按照综合得分由高到低标明排列顺序，依次推荐中标候选人。</w:t>
      </w:r>
    </w:p>
    <w:p>
      <w:pPr>
        <w:pStyle w:val="4"/>
        <w:jc w:val="left"/>
        <w:rPr>
          <w:rFonts w:ascii="宋体" w:hAnsi="宋体" w:cs="宋体"/>
          <w:sz w:val="24"/>
          <w:szCs w:val="24"/>
          <w:highlight w:val="none"/>
        </w:rPr>
      </w:pPr>
      <w:bookmarkStart w:id="400" w:name="_Toc217446105"/>
      <w:bookmarkStart w:id="401" w:name="_Toc208849022"/>
      <w:bookmarkStart w:id="402" w:name="_Toc183582297"/>
      <w:bookmarkStart w:id="403" w:name="_Toc183682432"/>
      <w:bookmarkStart w:id="404" w:name="_Toc10445"/>
      <w:bookmarkStart w:id="405" w:name="_Toc13033"/>
      <w:bookmarkStart w:id="406" w:name="_Toc30222"/>
      <w:bookmarkStart w:id="407" w:name="_Toc10681"/>
      <w:bookmarkStart w:id="408" w:name="_Toc26707"/>
      <w:bookmarkStart w:id="409" w:name="_Toc30936"/>
      <w:r>
        <w:rPr>
          <w:rFonts w:hint="eastAsia" w:ascii="宋体" w:hAnsi="宋体" w:cs="宋体"/>
          <w:sz w:val="24"/>
          <w:szCs w:val="24"/>
          <w:highlight w:val="none"/>
        </w:rPr>
        <w:t>3.</w:t>
      </w:r>
      <w:bookmarkEnd w:id="400"/>
      <w:bookmarkEnd w:id="401"/>
      <w:bookmarkEnd w:id="402"/>
      <w:bookmarkEnd w:id="403"/>
      <w:r>
        <w:rPr>
          <w:rFonts w:hint="eastAsia" w:ascii="宋体" w:hAnsi="宋体" w:cs="宋体"/>
          <w:sz w:val="24"/>
          <w:szCs w:val="24"/>
          <w:highlight w:val="none"/>
        </w:rPr>
        <w:t>评标专家在</w:t>
      </w:r>
      <w:r>
        <w:rPr>
          <w:rFonts w:hint="eastAsia" w:ascii="宋体" w:hAnsi="宋体" w:cs="宋体"/>
          <w:sz w:val="24"/>
          <w:szCs w:val="24"/>
          <w:highlight w:val="none"/>
          <w:lang w:eastAsia="zh-CN"/>
        </w:rPr>
        <w:t>采购</w:t>
      </w:r>
      <w:r>
        <w:rPr>
          <w:rFonts w:hint="eastAsia" w:ascii="宋体" w:hAnsi="宋体" w:cs="宋体"/>
          <w:sz w:val="24"/>
          <w:szCs w:val="24"/>
          <w:highlight w:val="none"/>
        </w:rPr>
        <w:t>活动中承担以下义务</w:t>
      </w:r>
      <w:bookmarkEnd w:id="404"/>
      <w:bookmarkEnd w:id="405"/>
      <w:bookmarkEnd w:id="406"/>
      <w:bookmarkEnd w:id="407"/>
      <w:bookmarkEnd w:id="408"/>
      <w:bookmarkEnd w:id="409"/>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3.1遵纪守法，客观、公正、廉洁地履行职责。</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3.2按照</w:t>
      </w:r>
      <w:r>
        <w:rPr>
          <w:rFonts w:hint="eastAsia" w:ascii="宋体" w:hAnsi="宋体" w:cs="宋体"/>
          <w:sz w:val="24"/>
          <w:highlight w:val="none"/>
          <w:lang w:eastAsia="zh-CN"/>
        </w:rPr>
        <w:t>采购</w:t>
      </w:r>
      <w:r>
        <w:rPr>
          <w:rFonts w:hint="eastAsia" w:ascii="宋体" w:hAnsi="宋体" w:cs="宋体"/>
          <w:sz w:val="24"/>
          <w:highlight w:val="none"/>
        </w:rPr>
        <w:t>法律法规和采购文件的规定要求对投标人的资格条件和投标人提供的产品价格、技术、服务等方面严格进行评判，提供科学合理、公平公正的评审意见，参与起草评审报告，并予签字确认。</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3.3保守秘密。不得透露采购文件咨询情况，不得</w:t>
      </w:r>
      <w:r>
        <w:rPr>
          <w:rFonts w:hint="eastAsia" w:ascii="宋体" w:hAnsi="宋体" w:cs="宋体"/>
          <w:sz w:val="24"/>
          <w:highlight w:val="none"/>
          <w:lang w:eastAsia="zh-CN"/>
        </w:rPr>
        <w:t>泄露</w:t>
      </w:r>
      <w:r>
        <w:rPr>
          <w:rFonts w:hint="eastAsia" w:ascii="宋体" w:hAnsi="宋体" w:cs="宋体"/>
          <w:sz w:val="24"/>
          <w:highlight w:val="none"/>
        </w:rPr>
        <w:t>投标人的投标文件及知悉的商业秘密，不得向投标人透露评审情况。</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3.4发现投标人在</w:t>
      </w:r>
      <w:r>
        <w:rPr>
          <w:rFonts w:hint="eastAsia" w:ascii="宋体" w:hAnsi="宋体" w:cs="宋体"/>
          <w:sz w:val="24"/>
          <w:highlight w:val="none"/>
          <w:lang w:eastAsia="zh-CN"/>
        </w:rPr>
        <w:t>采购</w:t>
      </w:r>
      <w:r>
        <w:rPr>
          <w:rFonts w:hint="eastAsia" w:ascii="宋体" w:hAnsi="宋体" w:cs="宋体"/>
          <w:sz w:val="24"/>
          <w:highlight w:val="none"/>
        </w:rPr>
        <w:t>活动中有不正当竞争或恶意串通等违规行为，及时向</w:t>
      </w:r>
      <w:r>
        <w:rPr>
          <w:rFonts w:hint="eastAsia" w:ascii="宋体" w:hAnsi="宋体" w:cs="宋体"/>
          <w:sz w:val="24"/>
          <w:highlight w:val="none"/>
          <w:lang w:eastAsia="zh-CN"/>
        </w:rPr>
        <w:t>采购</w:t>
      </w:r>
      <w:r>
        <w:rPr>
          <w:rFonts w:hint="eastAsia" w:ascii="宋体" w:hAnsi="宋体" w:cs="宋体"/>
          <w:sz w:val="24"/>
          <w:highlight w:val="none"/>
        </w:rPr>
        <w:t>评审工作的组织者或行政监管部门报告并加以制止。</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3.5发现采购人、</w:t>
      </w:r>
      <w:r>
        <w:rPr>
          <w:rFonts w:hint="eastAsia" w:ascii="宋体" w:hAnsi="宋体" w:cs="宋体"/>
          <w:sz w:val="24"/>
          <w:highlight w:val="none"/>
          <w:lang w:eastAsia="zh-CN"/>
        </w:rPr>
        <w:t>采购人</w:t>
      </w:r>
      <w:r>
        <w:rPr>
          <w:rFonts w:hint="eastAsia" w:ascii="宋体" w:hAnsi="宋体" w:cs="宋体"/>
          <w:sz w:val="24"/>
          <w:highlight w:val="none"/>
        </w:rPr>
        <w:t>及其工作人员在</w:t>
      </w:r>
      <w:r>
        <w:rPr>
          <w:rFonts w:hint="eastAsia" w:ascii="宋体" w:hAnsi="宋体" w:cs="宋体"/>
          <w:sz w:val="24"/>
          <w:highlight w:val="none"/>
          <w:lang w:eastAsia="zh-CN"/>
        </w:rPr>
        <w:t>采购</w:t>
      </w:r>
      <w:r>
        <w:rPr>
          <w:rFonts w:hint="eastAsia" w:ascii="宋体" w:hAnsi="宋体" w:cs="宋体"/>
          <w:sz w:val="24"/>
          <w:highlight w:val="none"/>
        </w:rPr>
        <w:t>活动中有干预评审、发表倾向性和歧视性言论、受贿或者接受投标人的其他好处及其他违法违规行为，及时向行政监管部门报告。</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3.6解答有关方面对</w:t>
      </w:r>
      <w:r>
        <w:rPr>
          <w:rFonts w:hint="eastAsia" w:ascii="宋体" w:hAnsi="宋体" w:cs="宋体"/>
          <w:sz w:val="24"/>
          <w:highlight w:val="none"/>
          <w:lang w:eastAsia="zh-CN"/>
        </w:rPr>
        <w:t>采购</w:t>
      </w:r>
      <w:r>
        <w:rPr>
          <w:rFonts w:hint="eastAsia" w:ascii="宋体" w:hAnsi="宋体" w:cs="宋体"/>
          <w:sz w:val="24"/>
          <w:highlight w:val="none"/>
        </w:rPr>
        <w:t>评审工作中有关问题的询问，配合采购人或者</w:t>
      </w:r>
      <w:r>
        <w:rPr>
          <w:rFonts w:hint="eastAsia" w:ascii="宋体" w:hAnsi="宋体" w:cs="宋体"/>
          <w:sz w:val="24"/>
          <w:highlight w:val="none"/>
          <w:lang w:eastAsia="zh-CN"/>
        </w:rPr>
        <w:t>采购人</w:t>
      </w:r>
      <w:r>
        <w:rPr>
          <w:rFonts w:hint="eastAsia" w:ascii="宋体" w:hAnsi="宋体" w:cs="宋体"/>
          <w:sz w:val="24"/>
          <w:highlight w:val="none"/>
        </w:rPr>
        <w:t>答复投标人质疑，配合行政监管部门的投诉处理工作等事宜。</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3.7法律、法规和规章规定的其他义务。</w:t>
      </w:r>
    </w:p>
    <w:p>
      <w:pPr>
        <w:pStyle w:val="4"/>
        <w:jc w:val="left"/>
        <w:rPr>
          <w:rFonts w:ascii="宋体" w:hAnsi="宋体" w:cs="宋体"/>
          <w:sz w:val="24"/>
          <w:szCs w:val="24"/>
          <w:highlight w:val="none"/>
        </w:rPr>
      </w:pPr>
      <w:bookmarkStart w:id="410" w:name="_Toc7845"/>
      <w:bookmarkStart w:id="411" w:name="_Toc32632"/>
      <w:bookmarkStart w:id="412" w:name="_Toc25902"/>
      <w:bookmarkStart w:id="413" w:name="_Toc28446"/>
      <w:bookmarkStart w:id="414" w:name="_Toc15945"/>
      <w:bookmarkStart w:id="415" w:name="_Toc7963"/>
      <w:r>
        <w:rPr>
          <w:rFonts w:hint="eastAsia" w:ascii="宋体" w:hAnsi="宋体" w:cs="宋体"/>
          <w:sz w:val="24"/>
          <w:szCs w:val="24"/>
          <w:highlight w:val="none"/>
        </w:rPr>
        <w:t>4.评审专家在</w:t>
      </w:r>
      <w:r>
        <w:rPr>
          <w:rFonts w:hint="eastAsia" w:ascii="宋体" w:hAnsi="宋体" w:cs="宋体"/>
          <w:sz w:val="24"/>
          <w:szCs w:val="24"/>
          <w:highlight w:val="none"/>
          <w:lang w:eastAsia="zh-CN"/>
        </w:rPr>
        <w:t>采购</w:t>
      </w:r>
      <w:r>
        <w:rPr>
          <w:rFonts w:hint="eastAsia" w:ascii="宋体" w:hAnsi="宋体" w:cs="宋体"/>
          <w:sz w:val="24"/>
          <w:szCs w:val="24"/>
          <w:highlight w:val="none"/>
        </w:rPr>
        <w:t>活动中应当遵守以下工作纪律</w:t>
      </w:r>
      <w:bookmarkEnd w:id="410"/>
      <w:bookmarkEnd w:id="411"/>
      <w:bookmarkEnd w:id="412"/>
      <w:bookmarkEnd w:id="413"/>
      <w:bookmarkEnd w:id="414"/>
      <w:bookmarkEnd w:id="415"/>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4.1应邀按时参加评审和咨询活动。遇特殊情况不能出席或途中遇阻不能按时参加评审或咨询的，应及时告知采购人或者</w:t>
      </w:r>
      <w:r>
        <w:rPr>
          <w:rFonts w:hint="eastAsia" w:ascii="宋体" w:hAnsi="宋体" w:cs="宋体"/>
          <w:sz w:val="24"/>
          <w:highlight w:val="none"/>
          <w:lang w:eastAsia="zh-CN"/>
        </w:rPr>
        <w:t>采购人</w:t>
      </w:r>
      <w:r>
        <w:rPr>
          <w:rFonts w:hint="eastAsia" w:ascii="宋体" w:hAnsi="宋体" w:cs="宋体"/>
          <w:sz w:val="24"/>
          <w:highlight w:val="none"/>
        </w:rPr>
        <w:t>，不得私自转托他人。</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4.2不得参加与自己有利害关系的</w:t>
      </w:r>
      <w:r>
        <w:rPr>
          <w:rFonts w:hint="eastAsia" w:ascii="宋体" w:hAnsi="宋体" w:cs="宋体"/>
          <w:sz w:val="24"/>
          <w:highlight w:val="none"/>
          <w:lang w:eastAsia="zh-CN"/>
        </w:rPr>
        <w:t>采购</w:t>
      </w:r>
      <w:r>
        <w:rPr>
          <w:rFonts w:hint="eastAsia" w:ascii="宋体" w:hAnsi="宋体" w:cs="宋体"/>
          <w:sz w:val="24"/>
          <w:highlight w:val="none"/>
        </w:rPr>
        <w:t>项目的评审活动。对与自己有利害关系的评审项目，如受到邀请，应主动提出回避。行政监管部门、采购人或</w:t>
      </w:r>
      <w:r>
        <w:rPr>
          <w:rFonts w:hint="eastAsia" w:ascii="宋体" w:hAnsi="宋体" w:cs="宋体"/>
          <w:sz w:val="24"/>
          <w:highlight w:val="none"/>
          <w:lang w:eastAsia="zh-CN"/>
        </w:rPr>
        <w:t>采购人</w:t>
      </w:r>
      <w:r>
        <w:rPr>
          <w:rFonts w:hint="eastAsia" w:ascii="宋体" w:hAnsi="宋体" w:cs="宋体"/>
          <w:sz w:val="24"/>
          <w:highlight w:val="none"/>
        </w:rPr>
        <w:t>也可要求该评审专家回避。</w:t>
      </w:r>
    </w:p>
    <w:p>
      <w:pPr>
        <w:widowControl/>
        <w:autoSpaceDE w:val="0"/>
        <w:autoSpaceDN w:val="0"/>
        <w:spacing w:line="360" w:lineRule="auto"/>
        <w:ind w:firstLine="480" w:firstLineChars="200"/>
        <w:textAlignment w:val="bottom"/>
        <w:rPr>
          <w:rFonts w:ascii="宋体" w:hAnsi="宋体" w:cs="宋体"/>
          <w:sz w:val="24"/>
          <w:highlight w:val="none"/>
        </w:rPr>
      </w:pPr>
      <w:r>
        <w:rPr>
          <w:rFonts w:hint="eastAsia" w:ascii="宋体" w:hAnsi="宋体" w:cs="宋体"/>
          <w:sz w:val="24"/>
          <w:highlight w:val="none"/>
        </w:rPr>
        <w:t>有利害关系主要是指三年内曾在参加该采购项目投标人中任职(包括一般工作)或担任顾问，配偶或直系亲属在参加该采购项目的投标人中任职或担任顾问，与参加该采购项目投标人发生过法律纠纷，以及其他可能影响公正评审的情况。</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4.3评审或咨询过程中关闭通讯设备，不得与外界联系。因发生不可预见情况，确实需要与外界联系的，应当有在场工作人员陪同。</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widowControl/>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4.5在咨询工作中，严格执行国家产业政策和产品标准，认真听取咨询方的合理要求，提出科学合理的、无倾向性和歧视性的咨询方案，并对所提出的意见和建议承担个人责任。</w:t>
      </w:r>
    </w:p>
    <w:p>
      <w:pPr>
        <w:pStyle w:val="3"/>
        <w:jc w:val="both"/>
        <w:rPr>
          <w:rFonts w:ascii="宋体" w:hAnsi="宋体" w:cs="宋体"/>
          <w:b w:val="0"/>
          <w:bCs w:val="0"/>
          <w:sz w:val="32"/>
          <w:szCs w:val="32"/>
          <w:highlight w:val="none"/>
        </w:rPr>
      </w:pPr>
      <w:bookmarkStart w:id="416" w:name="_Toc11807"/>
      <w:bookmarkStart w:id="417" w:name="_Toc12937"/>
      <w:bookmarkStart w:id="418" w:name="_Toc13382"/>
      <w:bookmarkStart w:id="419" w:name="_Toc23996"/>
      <w:bookmarkStart w:id="420" w:name="_Toc3056"/>
      <w:bookmarkStart w:id="421" w:name="_Toc17764"/>
      <w:bookmarkStart w:id="422" w:name="_Toc20223"/>
      <w:r>
        <w:rPr>
          <w:rFonts w:hint="eastAsia" w:ascii="宋体" w:hAnsi="宋体" w:cs="宋体"/>
          <w:b w:val="0"/>
          <w:bCs w:val="0"/>
          <w:sz w:val="24"/>
          <w:highlight w:val="none"/>
        </w:rPr>
        <w:t>4.6有关部门（机构）制定的其他评审工作纪律。</w:t>
      </w:r>
      <w:bookmarkEnd w:id="416"/>
      <w:bookmarkEnd w:id="417"/>
      <w:bookmarkEnd w:id="418"/>
      <w:bookmarkEnd w:id="419"/>
      <w:bookmarkEnd w:id="420"/>
      <w:bookmarkEnd w:id="421"/>
      <w:bookmarkEnd w:id="422"/>
    </w:p>
    <w:bookmarkEnd w:id="374"/>
    <w:p>
      <w:pPr>
        <w:rPr>
          <w:rFonts w:hint="eastAsia" w:ascii="宋体" w:hAnsi="宋体" w:cs="宋体"/>
          <w:sz w:val="32"/>
          <w:szCs w:val="32"/>
          <w:highlight w:val="none"/>
        </w:rPr>
      </w:pPr>
      <w:bookmarkStart w:id="423" w:name="_Toc327439487"/>
      <w:bookmarkStart w:id="424" w:name="_Toc3928"/>
      <w:bookmarkStart w:id="425" w:name="_Toc14921"/>
      <w:bookmarkStart w:id="426" w:name="_Toc23448"/>
      <w:r>
        <w:rPr>
          <w:rFonts w:hint="eastAsia" w:ascii="宋体" w:hAnsi="宋体" w:cs="宋体"/>
          <w:sz w:val="32"/>
          <w:szCs w:val="32"/>
          <w:highlight w:val="none"/>
        </w:rPr>
        <w:br w:type="page"/>
      </w:r>
    </w:p>
    <w:p>
      <w:pPr>
        <w:pStyle w:val="3"/>
        <w:jc w:val="center"/>
        <w:rPr>
          <w:rFonts w:ascii="宋体" w:hAnsi="宋体" w:cs="宋体"/>
          <w:spacing w:val="10"/>
          <w:sz w:val="32"/>
          <w:szCs w:val="32"/>
          <w:highlight w:val="none"/>
        </w:rPr>
      </w:pPr>
      <w:r>
        <w:rPr>
          <w:rFonts w:hint="eastAsia" w:ascii="宋体" w:hAnsi="宋体" w:cs="宋体"/>
          <w:sz w:val="32"/>
          <w:szCs w:val="32"/>
          <w:highlight w:val="none"/>
        </w:rPr>
        <w:t>第六章</w:t>
      </w:r>
      <w:bookmarkEnd w:id="423"/>
      <w:r>
        <w:rPr>
          <w:rFonts w:hint="eastAsia" w:ascii="宋体" w:hAnsi="宋体" w:cs="宋体"/>
          <w:sz w:val="32"/>
          <w:szCs w:val="32"/>
          <w:highlight w:val="none"/>
        </w:rPr>
        <w:t xml:space="preserve">  投标文件格式</w:t>
      </w:r>
      <w:bookmarkEnd w:id="424"/>
      <w:bookmarkEnd w:id="425"/>
      <w:bookmarkEnd w:id="426"/>
    </w:p>
    <w:p>
      <w:pPr>
        <w:spacing w:line="360" w:lineRule="auto"/>
        <w:ind w:firstLine="520" w:firstLineChars="200"/>
        <w:rPr>
          <w:rFonts w:ascii="宋体" w:hAnsi="宋体" w:cs="宋体"/>
          <w:spacing w:val="10"/>
          <w:sz w:val="24"/>
          <w:highlight w:val="none"/>
        </w:rPr>
      </w:pPr>
      <w:r>
        <w:rPr>
          <w:rFonts w:hint="eastAsia" w:ascii="宋体" w:hAnsi="宋体" w:cs="宋体"/>
          <w:spacing w:val="10"/>
          <w:sz w:val="24"/>
          <w:highlight w:val="none"/>
        </w:rPr>
        <w:t>注：本章提供的格式只是投标文件的部分格式内容，其他未提供格式的附件，请自行拟写。</w:t>
      </w:r>
    </w:p>
    <w:p>
      <w:pPr>
        <w:pStyle w:val="4"/>
        <w:spacing w:before="0" w:after="0"/>
        <w:rPr>
          <w:highlight w:val="none"/>
        </w:rPr>
      </w:pPr>
      <w:bookmarkStart w:id="427" w:name="_Toc23429"/>
      <w:bookmarkStart w:id="428" w:name="_Toc28645"/>
      <w:bookmarkStart w:id="429" w:name="_Toc17089"/>
      <w:bookmarkStart w:id="430" w:name="_Toc13676"/>
      <w:bookmarkStart w:id="431" w:name="_Toc23034"/>
      <w:bookmarkStart w:id="432" w:name="_Toc21307"/>
      <w:bookmarkStart w:id="433" w:name="_Toc22178"/>
      <w:r>
        <w:rPr>
          <w:rFonts w:hint="eastAsia" w:ascii="宋体" w:hAnsi="宋体"/>
          <w:sz w:val="28"/>
          <w:szCs w:val="28"/>
          <w:highlight w:val="none"/>
        </w:rPr>
        <w:t>1.投 标 函</w:t>
      </w:r>
      <w:bookmarkEnd w:id="427"/>
      <w:bookmarkEnd w:id="428"/>
      <w:bookmarkEnd w:id="429"/>
      <w:bookmarkEnd w:id="430"/>
      <w:bookmarkEnd w:id="431"/>
      <w:bookmarkEnd w:id="432"/>
      <w:bookmarkEnd w:id="433"/>
    </w:p>
    <w:p>
      <w:pPr>
        <w:spacing w:line="380" w:lineRule="atLeast"/>
        <w:rPr>
          <w:rFonts w:hint="eastAsia" w:eastAsia="宋体"/>
          <w:sz w:val="24"/>
          <w:highlight w:val="none"/>
          <w:lang w:eastAsia="zh-CN"/>
        </w:rPr>
      </w:pPr>
      <w:bookmarkStart w:id="434" w:name="_Toc139965361"/>
      <w:bookmarkStart w:id="435" w:name="_Toc327439490"/>
      <w:r>
        <w:rPr>
          <w:rFonts w:hint="eastAsia"/>
          <w:sz w:val="24"/>
          <w:highlight w:val="none"/>
        </w:rPr>
        <w:t>致：</w:t>
      </w:r>
    </w:p>
    <w:p>
      <w:pPr>
        <w:spacing w:line="380" w:lineRule="atLeast"/>
        <w:ind w:left="120" w:hanging="120" w:hangingChars="50"/>
        <w:rPr>
          <w:rFonts w:ascii="宋体" w:hAnsi="宋体"/>
          <w:sz w:val="24"/>
          <w:highlight w:val="none"/>
        </w:rPr>
      </w:pPr>
      <w:r>
        <w:rPr>
          <w:rFonts w:hint="eastAsia" w:ascii="宋体" w:hAnsi="宋体"/>
          <w:sz w:val="24"/>
          <w:highlight w:val="none"/>
        </w:rPr>
        <w:t xml:space="preserve">    根据贵方招标编号为</w:t>
      </w:r>
      <w:r>
        <w:rPr>
          <w:rFonts w:hint="eastAsia" w:ascii="宋体" w:hAnsi="宋体"/>
          <w:sz w:val="24"/>
          <w:highlight w:val="none"/>
          <w:u w:val="single"/>
        </w:rPr>
        <w:t xml:space="preserve">        </w:t>
      </w:r>
      <w:r>
        <w:rPr>
          <w:rFonts w:hint="eastAsia" w:ascii="宋体" w:hAnsi="宋体"/>
          <w:sz w:val="24"/>
          <w:highlight w:val="none"/>
        </w:rPr>
        <w:t>的</w:t>
      </w:r>
      <w:r>
        <w:rPr>
          <w:rFonts w:hint="eastAsia" w:ascii="宋体" w:hAnsi="宋体"/>
          <w:sz w:val="24"/>
          <w:highlight w:val="none"/>
          <w:u w:val="single"/>
        </w:rPr>
        <w:t>（项目名称）</w:t>
      </w:r>
      <w:r>
        <w:rPr>
          <w:rFonts w:hint="eastAsia" w:ascii="宋体" w:hAnsi="宋体"/>
          <w:sz w:val="24"/>
          <w:highlight w:val="none"/>
        </w:rPr>
        <w:t>的投标邀请，我方授权</w:t>
      </w:r>
      <w:r>
        <w:rPr>
          <w:rFonts w:hint="eastAsia" w:ascii="宋体" w:hAnsi="宋体"/>
          <w:sz w:val="24"/>
          <w:highlight w:val="none"/>
          <w:u w:val="single"/>
        </w:rPr>
        <w:t xml:space="preserve">      </w:t>
      </w:r>
      <w:r>
        <w:rPr>
          <w:rFonts w:hint="eastAsia" w:ascii="宋体" w:hAnsi="宋体"/>
          <w:sz w:val="24"/>
          <w:highlight w:val="none"/>
        </w:rPr>
        <w:t xml:space="preserve">（全名、职务）代表我方 </w:t>
      </w:r>
      <w:r>
        <w:rPr>
          <w:rFonts w:hint="eastAsia" w:ascii="宋体" w:hAnsi="宋体"/>
          <w:sz w:val="24"/>
          <w:highlight w:val="none"/>
          <w:u w:val="single"/>
        </w:rPr>
        <w:t xml:space="preserve">                   </w:t>
      </w:r>
      <w:r>
        <w:rPr>
          <w:rFonts w:hint="eastAsia" w:ascii="宋体" w:hAnsi="宋体"/>
          <w:sz w:val="24"/>
          <w:highlight w:val="none"/>
        </w:rPr>
        <w:t>（投标人名称）全权处理本项目投标的有关事宜。</w:t>
      </w:r>
    </w:p>
    <w:p>
      <w:pPr>
        <w:spacing w:line="380" w:lineRule="atLeast"/>
        <w:ind w:firstLine="480" w:firstLineChars="200"/>
        <w:rPr>
          <w:rFonts w:ascii="宋体" w:hAnsi="宋体"/>
          <w:sz w:val="24"/>
          <w:highlight w:val="none"/>
        </w:rPr>
      </w:pPr>
      <w:r>
        <w:rPr>
          <w:rFonts w:hint="eastAsia" w:ascii="宋体" w:hAnsi="宋体"/>
          <w:sz w:val="24"/>
          <w:highlight w:val="none"/>
        </w:rPr>
        <w:t>1、我方自愿按照招标文件规定的各项要求向采购人提供所需货物/服务，总投标价为人民币</w:t>
      </w:r>
      <w:r>
        <w:rPr>
          <w:rFonts w:hint="eastAsia" w:ascii="宋体" w:hAnsi="宋体"/>
          <w:sz w:val="24"/>
          <w:highlight w:val="none"/>
          <w:u w:val="single"/>
        </w:rPr>
        <w:t xml:space="preserve">               </w:t>
      </w:r>
      <w:r>
        <w:rPr>
          <w:rFonts w:hint="eastAsia" w:ascii="宋体" w:hAnsi="宋体"/>
          <w:sz w:val="24"/>
          <w:highlight w:val="none"/>
        </w:rPr>
        <w:t>元（大写：</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380" w:lineRule="atLeast"/>
        <w:ind w:firstLine="480" w:firstLineChars="200"/>
        <w:rPr>
          <w:rFonts w:ascii="宋体" w:hAnsi="宋体"/>
          <w:sz w:val="24"/>
          <w:highlight w:val="none"/>
        </w:rPr>
      </w:pPr>
      <w:r>
        <w:rPr>
          <w:rFonts w:hint="eastAsia" w:ascii="宋体" w:hAnsi="宋体"/>
          <w:sz w:val="24"/>
          <w:highlight w:val="none"/>
        </w:rPr>
        <w:t>2、一旦我方中标，我方将严格履行合同规定的责任和义务，保证于合同签字生效后     日内完成项目的所有相关工作，并交付采购人验收、使用。</w:t>
      </w:r>
    </w:p>
    <w:p>
      <w:pPr>
        <w:spacing w:line="380" w:lineRule="atLeast"/>
        <w:ind w:firstLine="480" w:firstLineChars="200"/>
        <w:rPr>
          <w:rFonts w:ascii="宋体" w:hAnsi="宋体"/>
          <w:sz w:val="24"/>
          <w:highlight w:val="none"/>
        </w:rPr>
      </w:pPr>
      <w:r>
        <w:rPr>
          <w:rFonts w:hint="eastAsia" w:ascii="宋体" w:hAnsi="宋体"/>
          <w:sz w:val="24"/>
          <w:highlight w:val="none"/>
        </w:rPr>
        <w:t>3、我方同意按照招标文件的要求，向贵单位</w:t>
      </w:r>
      <w:r>
        <w:rPr>
          <w:rFonts w:hint="eastAsia" w:ascii="宋体" w:hAnsi="宋体"/>
          <w:sz w:val="24"/>
          <w:highlight w:val="none"/>
          <w:lang w:eastAsia="zh-CN"/>
        </w:rPr>
        <w:t>缴纳</w:t>
      </w:r>
      <w:r>
        <w:rPr>
          <w:rFonts w:hint="eastAsia" w:ascii="宋体" w:hAnsi="宋体"/>
          <w:sz w:val="24"/>
          <w:highlight w:val="none"/>
        </w:rPr>
        <w:t>人民币</w:t>
      </w:r>
      <w:r>
        <w:rPr>
          <w:rFonts w:hint="eastAsia" w:ascii="宋体" w:hAnsi="宋体"/>
          <w:sz w:val="24"/>
          <w:highlight w:val="none"/>
          <w:u w:val="single"/>
        </w:rPr>
        <w:t xml:space="preserve">        </w:t>
      </w:r>
      <w:r>
        <w:rPr>
          <w:rFonts w:hint="eastAsia" w:ascii="宋体" w:hAnsi="宋体"/>
          <w:sz w:val="24"/>
          <w:highlight w:val="none"/>
        </w:rPr>
        <w:t>万元</w:t>
      </w:r>
      <w:r>
        <w:rPr>
          <w:rFonts w:hint="eastAsia" w:ascii="宋体" w:hAnsi="宋体"/>
          <w:sz w:val="24"/>
          <w:highlight w:val="none"/>
          <w:u w:val="single"/>
        </w:rPr>
        <w:t>（大写：            ）</w:t>
      </w:r>
      <w:r>
        <w:rPr>
          <w:rFonts w:hint="eastAsia" w:ascii="宋体" w:hAnsi="宋体"/>
          <w:sz w:val="24"/>
          <w:highlight w:val="none"/>
        </w:rPr>
        <w:t>的投标保证金。并承诺：下列任何情况发生时，我方将不要求退还投标保证金：</w:t>
      </w:r>
    </w:p>
    <w:p>
      <w:pPr>
        <w:spacing w:line="380" w:lineRule="atLeast"/>
        <w:ind w:firstLine="480" w:firstLineChars="200"/>
        <w:rPr>
          <w:rFonts w:ascii="宋体" w:hAnsi="宋体"/>
          <w:sz w:val="24"/>
          <w:highlight w:val="none"/>
        </w:rPr>
      </w:pPr>
      <w:r>
        <w:rPr>
          <w:rFonts w:hint="eastAsia" w:ascii="宋体" w:hAnsi="宋体"/>
          <w:sz w:val="24"/>
          <w:highlight w:val="none"/>
        </w:rPr>
        <w:t>（1）如果我方在投标有效期内撤回投标；</w:t>
      </w:r>
    </w:p>
    <w:p>
      <w:pPr>
        <w:spacing w:line="380" w:lineRule="atLeast"/>
        <w:ind w:firstLine="480" w:firstLineChars="200"/>
        <w:rPr>
          <w:rFonts w:ascii="宋体" w:hAnsi="宋体"/>
          <w:sz w:val="24"/>
          <w:highlight w:val="none"/>
        </w:rPr>
      </w:pPr>
      <w:r>
        <w:rPr>
          <w:rFonts w:hint="eastAsia" w:ascii="宋体" w:hAnsi="宋体"/>
          <w:sz w:val="24"/>
          <w:highlight w:val="none"/>
        </w:rPr>
        <w:t>（2）我方提供了虚假响应招标文件的投标文件；</w:t>
      </w:r>
    </w:p>
    <w:p>
      <w:pPr>
        <w:spacing w:line="380" w:lineRule="atLeast"/>
        <w:ind w:firstLine="480" w:firstLineChars="200"/>
        <w:rPr>
          <w:rFonts w:ascii="宋体" w:hAnsi="宋体"/>
          <w:sz w:val="24"/>
          <w:highlight w:val="none"/>
        </w:rPr>
      </w:pPr>
      <w:r>
        <w:rPr>
          <w:rFonts w:hint="eastAsia" w:ascii="宋体" w:hAnsi="宋体"/>
          <w:sz w:val="24"/>
          <w:highlight w:val="none"/>
        </w:rPr>
        <w:t>（3）在投标过程中有违规违纪行为；</w:t>
      </w:r>
    </w:p>
    <w:p>
      <w:pPr>
        <w:spacing w:line="380" w:lineRule="atLeast"/>
        <w:ind w:firstLine="480" w:firstLineChars="200"/>
        <w:rPr>
          <w:rFonts w:ascii="宋体" w:hAnsi="宋体"/>
          <w:sz w:val="24"/>
          <w:highlight w:val="none"/>
        </w:rPr>
      </w:pPr>
      <w:r>
        <w:rPr>
          <w:rFonts w:hint="eastAsia" w:ascii="宋体" w:hAnsi="宋体"/>
          <w:sz w:val="24"/>
          <w:highlight w:val="none"/>
        </w:rPr>
        <w:t>（4）我方在投标有效期内收到中标通知书后，由于我方原因未能按照招标文件要求提交履约保证金或与采购人签订并履行合同。</w:t>
      </w:r>
    </w:p>
    <w:p>
      <w:pPr>
        <w:spacing w:line="380" w:lineRule="atLeast"/>
        <w:ind w:firstLine="480" w:firstLineChars="200"/>
        <w:rPr>
          <w:rFonts w:ascii="宋体" w:hAnsi="宋体"/>
          <w:sz w:val="24"/>
          <w:highlight w:val="none"/>
        </w:rPr>
      </w:pPr>
      <w:r>
        <w:rPr>
          <w:rFonts w:hint="eastAsia" w:ascii="宋体" w:hAnsi="宋体"/>
          <w:sz w:val="24"/>
          <w:highlight w:val="none"/>
        </w:rPr>
        <w:t>4、本响应有效期为投标响应截止时间起</w:t>
      </w:r>
      <w:r>
        <w:rPr>
          <w:rFonts w:hint="eastAsia" w:ascii="宋体" w:hAnsi="宋体"/>
          <w:sz w:val="24"/>
          <w:highlight w:val="none"/>
          <w:u w:val="single"/>
        </w:rPr>
        <w:t xml:space="preserve">     </w:t>
      </w:r>
      <w:r>
        <w:rPr>
          <w:rFonts w:hint="eastAsia" w:ascii="宋体" w:hAnsi="宋体"/>
          <w:sz w:val="24"/>
          <w:highlight w:val="none"/>
        </w:rPr>
        <w:t>个日历日。</w:t>
      </w:r>
    </w:p>
    <w:p>
      <w:pPr>
        <w:spacing w:line="380" w:lineRule="atLeast"/>
        <w:ind w:firstLine="480" w:firstLineChars="200"/>
        <w:rPr>
          <w:rFonts w:ascii="宋体" w:hAnsi="宋体"/>
          <w:sz w:val="24"/>
          <w:highlight w:val="none"/>
        </w:rPr>
      </w:pPr>
      <w:r>
        <w:rPr>
          <w:rFonts w:hint="eastAsia" w:ascii="宋体" w:hAnsi="宋体"/>
          <w:sz w:val="24"/>
          <w:highlight w:val="none"/>
        </w:rPr>
        <w:t>5、我方为本项目提交的投标文件正本</w:t>
      </w:r>
      <w:r>
        <w:rPr>
          <w:rFonts w:hint="eastAsia" w:ascii="宋体" w:hAnsi="宋体"/>
          <w:sz w:val="24"/>
          <w:highlight w:val="none"/>
          <w:u w:val="single"/>
        </w:rPr>
        <w:t xml:space="preserve">    </w:t>
      </w:r>
      <w:r>
        <w:rPr>
          <w:rFonts w:hint="eastAsia" w:ascii="宋体" w:hAnsi="宋体"/>
          <w:sz w:val="24"/>
          <w:highlight w:val="none"/>
        </w:rPr>
        <w:t>份，副本</w:t>
      </w:r>
      <w:r>
        <w:rPr>
          <w:rFonts w:hint="eastAsia" w:ascii="宋体" w:hAnsi="宋体"/>
          <w:sz w:val="24"/>
          <w:highlight w:val="none"/>
          <w:u w:val="single"/>
        </w:rPr>
        <w:t xml:space="preserve">   </w:t>
      </w:r>
      <w:r>
        <w:rPr>
          <w:rFonts w:hint="eastAsia" w:ascii="宋体" w:hAnsi="宋体"/>
          <w:sz w:val="24"/>
          <w:highlight w:val="none"/>
        </w:rPr>
        <w:t>份，电子文档（U盘）</w:t>
      </w:r>
      <w:r>
        <w:rPr>
          <w:rFonts w:hint="eastAsia" w:ascii="宋体" w:hAnsi="宋体"/>
          <w:sz w:val="24"/>
          <w:highlight w:val="none"/>
          <w:u w:val="single"/>
        </w:rPr>
        <w:t xml:space="preserve">   </w:t>
      </w:r>
      <w:r>
        <w:rPr>
          <w:rFonts w:hint="eastAsia" w:ascii="宋体" w:hAnsi="宋体"/>
          <w:sz w:val="24"/>
          <w:highlight w:val="none"/>
        </w:rPr>
        <w:t>份，用于开标唱标的“开标一览表”</w:t>
      </w:r>
      <w:r>
        <w:rPr>
          <w:rFonts w:hint="eastAsia" w:ascii="宋体" w:hAnsi="宋体"/>
          <w:sz w:val="24"/>
          <w:highlight w:val="none"/>
          <w:u w:val="single"/>
        </w:rPr>
        <w:t xml:space="preserve">   </w:t>
      </w:r>
      <w:r>
        <w:rPr>
          <w:rFonts w:hint="eastAsia" w:ascii="宋体" w:hAnsi="宋体"/>
          <w:sz w:val="24"/>
          <w:highlight w:val="none"/>
        </w:rPr>
        <w:t>份。</w:t>
      </w:r>
    </w:p>
    <w:p>
      <w:pPr>
        <w:spacing w:line="380" w:lineRule="atLeast"/>
        <w:ind w:firstLine="480" w:firstLineChars="200"/>
        <w:rPr>
          <w:rFonts w:ascii="宋体" w:hAnsi="宋体"/>
          <w:sz w:val="24"/>
          <w:highlight w:val="none"/>
        </w:rPr>
      </w:pPr>
      <w:r>
        <w:rPr>
          <w:rFonts w:hint="eastAsia" w:ascii="宋体" w:hAnsi="宋体"/>
          <w:sz w:val="24"/>
          <w:highlight w:val="none"/>
        </w:rPr>
        <w:t>6、我方愿意提供</w:t>
      </w:r>
      <w:r>
        <w:rPr>
          <w:rFonts w:hint="eastAsia" w:ascii="宋体" w:hAnsi="宋体"/>
          <w:sz w:val="24"/>
          <w:highlight w:val="none"/>
          <w:lang w:eastAsia="zh-CN"/>
        </w:rPr>
        <w:t>采购人</w:t>
      </w:r>
      <w:r>
        <w:rPr>
          <w:rFonts w:hint="eastAsia" w:ascii="宋体" w:hAnsi="宋体"/>
          <w:sz w:val="24"/>
          <w:highlight w:val="none"/>
        </w:rPr>
        <w:t>可能另外要求的，与投标有关的文件资料，并保证我方已提供和将要提供的文件资料是真实、准确的。</w:t>
      </w:r>
    </w:p>
    <w:p>
      <w:pPr>
        <w:spacing w:line="380" w:lineRule="atLeast"/>
        <w:ind w:firstLine="480" w:firstLineChars="200"/>
        <w:rPr>
          <w:rFonts w:ascii="宋体" w:hAnsi="宋体"/>
          <w:sz w:val="24"/>
          <w:highlight w:val="none"/>
        </w:rPr>
      </w:pPr>
      <w:r>
        <w:rPr>
          <w:rFonts w:hint="eastAsia" w:ascii="宋体" w:hAnsi="宋体"/>
          <w:sz w:val="24"/>
          <w:highlight w:val="none"/>
        </w:rPr>
        <w:t>7、我方完全理解采购人不一定将合同授予最低报价的投标人的行为。</w:t>
      </w:r>
    </w:p>
    <w:p>
      <w:pPr>
        <w:spacing w:line="380" w:lineRule="atLeast"/>
        <w:ind w:firstLine="480" w:firstLineChars="200"/>
        <w:rPr>
          <w:rFonts w:ascii="宋体" w:hAnsi="宋体"/>
          <w:sz w:val="24"/>
          <w:highlight w:val="none"/>
        </w:rPr>
      </w:pPr>
      <w:r>
        <w:rPr>
          <w:rFonts w:hint="eastAsia" w:ascii="宋体" w:hAnsi="宋体"/>
          <w:sz w:val="24"/>
          <w:highlight w:val="none"/>
        </w:rPr>
        <w:t>8、我方为本项目的中标人后,按照招标文件的要求向支付代理服务费，且承担开标期间的一切费用。</w:t>
      </w:r>
    </w:p>
    <w:p>
      <w:pPr>
        <w:spacing w:line="380" w:lineRule="atLeast"/>
        <w:ind w:firstLine="480" w:firstLineChars="200"/>
        <w:rPr>
          <w:rFonts w:ascii="宋体" w:hAnsi="宋体"/>
          <w:sz w:val="24"/>
          <w:highlight w:val="none"/>
        </w:rPr>
      </w:pPr>
      <w:r>
        <w:rPr>
          <w:rFonts w:hint="eastAsia" w:ascii="宋体" w:hAnsi="宋体"/>
          <w:sz w:val="24"/>
          <w:highlight w:val="none"/>
        </w:rPr>
        <w:t>9、与本投标有关的一切正式</w:t>
      </w:r>
      <w:r>
        <w:rPr>
          <w:rFonts w:hint="eastAsia" w:ascii="宋体" w:hAnsi="宋体"/>
          <w:sz w:val="24"/>
          <w:highlight w:val="none"/>
          <w:lang w:eastAsia="zh-CN"/>
        </w:rPr>
        <w:t>往来通信请寄</w:t>
      </w:r>
      <w:r>
        <w:rPr>
          <w:rFonts w:hint="eastAsia" w:ascii="宋体" w:hAnsi="宋体"/>
          <w:sz w:val="24"/>
          <w:highlight w:val="none"/>
        </w:rPr>
        <w:t>：</w:t>
      </w:r>
    </w:p>
    <w:p>
      <w:pPr>
        <w:spacing w:line="380" w:lineRule="atLeast"/>
        <w:rPr>
          <w:rFonts w:ascii="宋体" w:hAnsi="宋体"/>
          <w:sz w:val="24"/>
          <w:highlight w:val="none"/>
        </w:rPr>
      </w:pPr>
      <w:r>
        <w:rPr>
          <w:rFonts w:hint="eastAsia" w:ascii="宋体" w:hAnsi="宋体"/>
          <w:sz w:val="24"/>
          <w:highlight w:val="none"/>
        </w:rPr>
        <w:t xml:space="preserve">      地址：_________________ 邮编：__________________</w:t>
      </w:r>
    </w:p>
    <w:p>
      <w:pPr>
        <w:spacing w:line="380" w:lineRule="atLeast"/>
        <w:rPr>
          <w:rFonts w:ascii="宋体" w:hAnsi="宋体"/>
          <w:sz w:val="24"/>
          <w:highlight w:val="none"/>
        </w:rPr>
      </w:pPr>
      <w:r>
        <w:rPr>
          <w:rFonts w:hint="eastAsia" w:ascii="宋体" w:hAnsi="宋体"/>
          <w:sz w:val="24"/>
          <w:highlight w:val="none"/>
        </w:rPr>
        <w:t xml:space="preserve">      电话：_________________ 传真：__________________</w:t>
      </w:r>
    </w:p>
    <w:p>
      <w:pPr>
        <w:spacing w:line="380" w:lineRule="atLeast"/>
        <w:rPr>
          <w:rFonts w:ascii="宋体" w:hAnsi="宋体"/>
          <w:sz w:val="24"/>
          <w:highlight w:val="none"/>
          <w:u w:val="single"/>
        </w:rPr>
      </w:pPr>
      <w:r>
        <w:rPr>
          <w:rFonts w:hint="eastAsia" w:ascii="宋体" w:hAnsi="宋体"/>
          <w:sz w:val="24"/>
          <w:highlight w:val="none"/>
        </w:rPr>
        <w:t xml:space="preserve">      投标人名称：</w:t>
      </w:r>
      <w:r>
        <w:rPr>
          <w:rFonts w:hint="eastAsia" w:ascii="宋体" w:hAnsi="宋体"/>
          <w:sz w:val="24"/>
          <w:highlight w:val="none"/>
          <w:u w:val="single"/>
        </w:rPr>
        <w:t xml:space="preserve">             （盖章）</w:t>
      </w:r>
    </w:p>
    <w:p>
      <w:pPr>
        <w:spacing w:line="380" w:lineRule="atLeast"/>
        <w:rPr>
          <w:rFonts w:ascii="宋体" w:hAnsi="宋体"/>
          <w:sz w:val="24"/>
          <w:highlight w:val="none"/>
        </w:rPr>
      </w:pPr>
      <w:r>
        <w:rPr>
          <w:rFonts w:hint="eastAsia" w:ascii="宋体" w:hAnsi="宋体"/>
          <w:sz w:val="24"/>
          <w:highlight w:val="none"/>
        </w:rPr>
        <w:t xml:space="preserve">      法定代表人或授权代表（签字或印章）：</w:t>
      </w:r>
      <w:r>
        <w:rPr>
          <w:rFonts w:hint="eastAsia" w:ascii="宋体" w:hAnsi="宋体"/>
          <w:sz w:val="24"/>
          <w:highlight w:val="none"/>
          <w:u w:val="single"/>
        </w:rPr>
        <w:t xml:space="preserve">                     </w:t>
      </w:r>
    </w:p>
    <w:p>
      <w:pPr>
        <w:pStyle w:val="30"/>
        <w:spacing w:line="360" w:lineRule="auto"/>
        <w:ind w:left="0" w:leftChars="0" w:firstLine="240" w:firstLineChars="100"/>
        <w:rPr>
          <w:b/>
          <w:bCs/>
          <w:sz w:val="24"/>
          <w:szCs w:val="32"/>
          <w:highlight w:val="none"/>
        </w:rPr>
        <w:sectPr>
          <w:headerReference r:id="rId11" w:type="first"/>
          <w:headerReference r:id="rId10" w:type="default"/>
          <w:pgSz w:w="11905" w:h="16838"/>
          <w:pgMar w:top="1077" w:right="1134" w:bottom="1077" w:left="1417" w:header="850" w:footer="992" w:gutter="0"/>
          <w:pgNumType w:fmt="decimal"/>
          <w:cols w:space="0" w:num="1"/>
          <w:titlePg/>
        </w:sectPr>
      </w:pPr>
      <w:r>
        <w:rPr>
          <w:rFonts w:hint="eastAsia" w:ascii="宋体" w:hAnsi="宋体"/>
          <w:sz w:val="24"/>
          <w:highlight w:val="none"/>
        </w:rPr>
        <w:t xml:space="preserve">    日      期：_____年____月____日</w:t>
      </w:r>
    </w:p>
    <w:bookmarkEnd w:id="434"/>
    <w:bookmarkEnd w:id="435"/>
    <w:p>
      <w:pPr>
        <w:pStyle w:val="4"/>
        <w:spacing w:before="0" w:after="0"/>
        <w:ind w:firstLine="1687" w:firstLineChars="600"/>
        <w:jc w:val="left"/>
        <w:rPr>
          <w:rFonts w:ascii="宋体" w:hAnsi="宋体" w:cs="宋体"/>
          <w:b w:val="0"/>
          <w:sz w:val="24"/>
          <w:szCs w:val="24"/>
          <w:highlight w:val="none"/>
        </w:rPr>
      </w:pPr>
      <w:bookmarkStart w:id="436" w:name="_Toc3146"/>
      <w:bookmarkStart w:id="437" w:name="_Toc16816"/>
      <w:bookmarkStart w:id="438" w:name="_Toc10904"/>
      <w:bookmarkStart w:id="439" w:name="_Toc4400"/>
      <w:bookmarkStart w:id="440" w:name="_Toc850"/>
      <w:bookmarkStart w:id="441" w:name="_Toc32417"/>
      <w:bookmarkStart w:id="442" w:name="_Toc23974"/>
      <w:bookmarkStart w:id="443" w:name="_Toc258923306"/>
      <w:r>
        <w:rPr>
          <w:rFonts w:hint="eastAsia" w:ascii="宋体" w:hAnsi="宋体" w:cs="宋体"/>
          <w:sz w:val="28"/>
          <w:szCs w:val="28"/>
          <w:highlight w:val="none"/>
        </w:rPr>
        <w:t>2.法定代表人身份证明(法定代表人参加投标时提供)</w:t>
      </w:r>
      <w:r>
        <w:rPr>
          <w:rFonts w:hint="eastAsia" w:ascii="宋体" w:hAnsi="宋体" w:cs="宋体"/>
          <w:sz w:val="28"/>
          <w:szCs w:val="28"/>
          <w:highlight w:val="none"/>
        </w:rPr>
        <w:br w:type="textWrapping"/>
      </w:r>
      <w:r>
        <w:rPr>
          <w:rFonts w:hint="eastAsia" w:ascii="宋体" w:hAnsi="宋体" w:cs="宋体"/>
          <w:b w:val="0"/>
          <w:sz w:val="24"/>
          <w:szCs w:val="24"/>
          <w:highlight w:val="none"/>
        </w:rPr>
        <w:t>投标人名称：</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注册号：</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注册地址：</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成立时间：年月日</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经营期限：</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经营范围：</w:t>
      </w:r>
      <w:bookmarkEnd w:id="436"/>
      <w:bookmarkEnd w:id="437"/>
      <w:bookmarkEnd w:id="438"/>
      <w:bookmarkEnd w:id="439"/>
      <w:bookmarkEnd w:id="440"/>
      <w:bookmarkEnd w:id="441"/>
      <w:bookmarkEnd w:id="442"/>
      <w:bookmarkStart w:id="444" w:name="_Toc19135"/>
      <w:bookmarkStart w:id="445" w:name="_Toc19360"/>
      <w:bookmarkStart w:id="446" w:name="_Toc9513"/>
      <w:bookmarkStart w:id="447" w:name="_Toc15783"/>
      <w:bookmarkStart w:id="448" w:name="_Toc17840"/>
      <w:bookmarkStart w:id="449" w:name="_Toc10366"/>
      <w:bookmarkStart w:id="450" w:name="_Toc19965"/>
      <w:bookmarkStart w:id="451" w:name="_Toc29384"/>
      <w:bookmarkStart w:id="452" w:name="_Toc3177"/>
      <w:r>
        <w:rPr>
          <w:rFonts w:hint="eastAsia" w:ascii="宋体" w:hAnsi="宋体" w:cs="宋体"/>
          <w:b w:val="0"/>
          <w:sz w:val="24"/>
          <w:szCs w:val="24"/>
          <w:highlight w:val="none"/>
        </w:rPr>
        <w:br w:type="textWrapping"/>
      </w:r>
      <w:r>
        <w:rPr>
          <w:rFonts w:hint="eastAsia" w:ascii="宋体" w:hAnsi="宋体" w:cs="宋体"/>
          <w:b w:val="0"/>
          <w:sz w:val="24"/>
          <w:szCs w:val="24"/>
          <w:highlight w:val="none"/>
        </w:rPr>
        <w:t>姓名：性别：年龄：系（投标人名称）的法定代表人。</w:t>
      </w:r>
      <w:r>
        <w:rPr>
          <w:rFonts w:hint="eastAsia" w:ascii="宋体" w:hAnsi="宋体" w:cs="宋体"/>
          <w:b w:val="0"/>
          <w:sz w:val="24"/>
          <w:szCs w:val="24"/>
          <w:highlight w:val="none"/>
        </w:rPr>
        <w:br w:type="textWrapping"/>
      </w:r>
      <w:bookmarkEnd w:id="444"/>
      <w:bookmarkEnd w:id="445"/>
      <w:bookmarkEnd w:id="446"/>
      <w:bookmarkEnd w:id="447"/>
      <w:bookmarkEnd w:id="448"/>
      <w:bookmarkEnd w:id="449"/>
      <w:bookmarkEnd w:id="450"/>
      <w:bookmarkEnd w:id="451"/>
      <w:bookmarkEnd w:id="452"/>
    </w:p>
    <w:p>
      <w:pPr>
        <w:pStyle w:val="4"/>
        <w:spacing w:before="0" w:after="0"/>
        <w:jc w:val="left"/>
        <w:rPr>
          <w:rFonts w:ascii="宋体" w:hAnsi="宋体" w:cs="宋体"/>
          <w:b w:val="0"/>
          <w:sz w:val="24"/>
          <w:szCs w:val="24"/>
          <w:highlight w:val="none"/>
        </w:rPr>
      </w:pPr>
      <w:bookmarkStart w:id="453" w:name="_Toc12383"/>
      <w:bookmarkStart w:id="454" w:name="_Toc24265"/>
      <w:bookmarkStart w:id="455" w:name="_Toc2653"/>
      <w:bookmarkStart w:id="456" w:name="_Toc6475"/>
      <w:bookmarkStart w:id="457" w:name="_Toc22060"/>
      <w:bookmarkStart w:id="458" w:name="_Toc19163"/>
      <w:bookmarkStart w:id="459" w:name="_Toc12895"/>
      <w:bookmarkStart w:id="460" w:name="_Toc20718"/>
      <w:r>
        <w:rPr>
          <w:rFonts w:hint="eastAsia" w:ascii="宋体" w:hAnsi="宋体" w:cs="宋体"/>
          <w:b w:val="0"/>
          <w:sz w:val="24"/>
          <w:szCs w:val="24"/>
          <w:highlight w:val="none"/>
        </w:rPr>
        <w:t>特此证明。</w:t>
      </w:r>
      <w:r>
        <w:rPr>
          <w:rFonts w:hint="eastAsia" w:ascii="宋体" w:hAnsi="宋体" w:cs="宋体"/>
          <w:b w:val="0"/>
          <w:sz w:val="24"/>
          <w:szCs w:val="24"/>
          <w:highlight w:val="none"/>
        </w:rPr>
        <w:br w:type="textWrapping"/>
      </w:r>
      <w:bookmarkEnd w:id="453"/>
      <w:bookmarkEnd w:id="454"/>
      <w:bookmarkEnd w:id="455"/>
      <w:bookmarkEnd w:id="456"/>
      <w:bookmarkEnd w:id="457"/>
      <w:bookmarkEnd w:id="458"/>
      <w:bookmarkEnd w:id="459"/>
      <w:bookmarkEnd w:id="460"/>
    </w:p>
    <w:tbl>
      <w:tblPr>
        <w:tblStyle w:val="38"/>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bl>
    <w:p>
      <w:pPr>
        <w:pStyle w:val="13"/>
        <w:rPr>
          <w:rFonts w:ascii="宋体" w:hAnsi="宋体" w:cs="宋体"/>
          <w:szCs w:val="24"/>
          <w:highlight w:val="none"/>
        </w:rPr>
      </w:pPr>
    </w:p>
    <w:p>
      <w:pPr>
        <w:pStyle w:val="13"/>
        <w:ind w:firstLine="0"/>
        <w:rPr>
          <w:rFonts w:ascii="宋体" w:hAnsi="宋体" w:cs="宋体"/>
          <w:szCs w:val="24"/>
          <w:highlight w:val="none"/>
        </w:rPr>
      </w:pPr>
    </w:p>
    <w:p>
      <w:pPr>
        <w:pStyle w:val="13"/>
        <w:ind w:firstLine="0"/>
        <w:rPr>
          <w:rFonts w:ascii="宋体" w:hAnsi="宋体" w:cs="宋体"/>
          <w:szCs w:val="24"/>
          <w:highlight w:val="none"/>
        </w:rPr>
      </w:pPr>
      <w:r>
        <w:rPr>
          <w:rFonts w:hint="eastAsia" w:ascii="宋体" w:hAnsi="宋体" w:cs="宋体"/>
          <w:szCs w:val="24"/>
          <w:highlight w:val="none"/>
        </w:rPr>
        <w:t>投标人（盖章）：</w:t>
      </w:r>
      <w:r>
        <w:rPr>
          <w:rFonts w:hint="eastAsia" w:ascii="宋体" w:hAnsi="宋体" w:cs="宋体"/>
          <w:szCs w:val="24"/>
          <w:highlight w:val="none"/>
        </w:rPr>
        <w:br w:type="textWrapping"/>
      </w:r>
      <w:r>
        <w:rPr>
          <w:rFonts w:hint="eastAsia" w:ascii="宋体" w:hAnsi="宋体" w:cs="宋体"/>
          <w:szCs w:val="24"/>
          <w:highlight w:val="none"/>
        </w:rPr>
        <w:t>法定代表人（签字）：</w:t>
      </w:r>
      <w:r>
        <w:rPr>
          <w:rFonts w:hint="eastAsia" w:ascii="宋体" w:hAnsi="宋体" w:cs="宋体"/>
          <w:szCs w:val="24"/>
          <w:highlight w:val="none"/>
        </w:rPr>
        <w:br w:type="textWrapping"/>
      </w:r>
      <w:r>
        <w:rPr>
          <w:rFonts w:hint="eastAsia" w:ascii="宋体" w:hAnsi="宋体" w:cs="宋体"/>
          <w:szCs w:val="24"/>
          <w:highlight w:val="none"/>
        </w:rPr>
        <w:t>日期：年月日</w:t>
      </w:r>
    </w:p>
    <w:p>
      <w:pPr>
        <w:pStyle w:val="4"/>
        <w:spacing w:before="0" w:after="0"/>
        <w:rPr>
          <w:rFonts w:ascii="宋体" w:hAnsi="宋体" w:cs="宋体"/>
          <w:sz w:val="28"/>
          <w:szCs w:val="28"/>
          <w:highlight w:val="none"/>
        </w:rPr>
      </w:pPr>
      <w:bookmarkStart w:id="461" w:name="_Toc1230"/>
    </w:p>
    <w:p>
      <w:pPr>
        <w:pStyle w:val="13"/>
        <w:rPr>
          <w:rFonts w:ascii="宋体" w:hAnsi="宋体" w:cs="宋体"/>
          <w:sz w:val="28"/>
          <w:szCs w:val="28"/>
          <w:highlight w:val="none"/>
        </w:rPr>
      </w:pPr>
    </w:p>
    <w:p>
      <w:pPr>
        <w:pStyle w:val="13"/>
        <w:rPr>
          <w:rFonts w:ascii="宋体" w:hAnsi="宋体" w:cs="宋体"/>
          <w:sz w:val="28"/>
          <w:szCs w:val="28"/>
          <w:highlight w:val="none"/>
        </w:rPr>
      </w:pPr>
    </w:p>
    <w:p>
      <w:pPr>
        <w:rPr>
          <w:rFonts w:ascii="宋体" w:hAnsi="宋体" w:cs="宋体"/>
          <w:sz w:val="28"/>
          <w:szCs w:val="28"/>
          <w:highlight w:val="none"/>
        </w:rPr>
      </w:pPr>
    </w:p>
    <w:p>
      <w:pPr>
        <w:pStyle w:val="22"/>
        <w:rPr>
          <w:highlight w:val="none"/>
        </w:rPr>
      </w:pPr>
    </w:p>
    <w:p>
      <w:pPr>
        <w:pStyle w:val="30"/>
        <w:rPr>
          <w:rFonts w:ascii="宋体" w:hAnsi="宋体" w:cs="宋体"/>
          <w:highlight w:val="none"/>
        </w:rPr>
      </w:pPr>
    </w:p>
    <w:p>
      <w:pPr>
        <w:pStyle w:val="4"/>
        <w:spacing w:before="0" w:after="0"/>
        <w:rPr>
          <w:rFonts w:ascii="宋体" w:hAnsi="宋体" w:cs="宋体"/>
          <w:sz w:val="24"/>
          <w:szCs w:val="24"/>
          <w:highlight w:val="none"/>
          <w:u w:val="single"/>
        </w:rPr>
      </w:pPr>
      <w:bookmarkStart w:id="462" w:name="_Toc9559"/>
      <w:bookmarkStart w:id="463" w:name="_Toc16103"/>
      <w:bookmarkStart w:id="464" w:name="_Toc20910"/>
      <w:bookmarkStart w:id="465" w:name="_Toc19858"/>
      <w:bookmarkStart w:id="466" w:name="_Toc6497"/>
      <w:bookmarkStart w:id="467" w:name="_Toc21867"/>
      <w:r>
        <w:rPr>
          <w:rFonts w:hint="eastAsia" w:ascii="宋体" w:hAnsi="宋体" w:cs="宋体"/>
          <w:sz w:val="28"/>
          <w:szCs w:val="28"/>
          <w:highlight w:val="none"/>
        </w:rPr>
        <w:t>3.法人授权函(委托代理人参加投标时提供)</w:t>
      </w:r>
      <w:bookmarkEnd w:id="461"/>
      <w:bookmarkEnd w:id="462"/>
      <w:bookmarkEnd w:id="463"/>
      <w:bookmarkEnd w:id="464"/>
      <w:bookmarkEnd w:id="465"/>
      <w:bookmarkEnd w:id="466"/>
      <w:bookmarkEnd w:id="467"/>
    </w:p>
    <w:p>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本授权函声明：本人</w:t>
      </w:r>
      <w:r>
        <w:rPr>
          <w:rFonts w:hint="eastAsia" w:ascii="宋体" w:hAnsi="宋体" w:cs="宋体"/>
          <w:sz w:val="24"/>
          <w:highlight w:val="none"/>
          <w:u w:val="single"/>
        </w:rPr>
        <w:t>（法定代表人姓名）</w:t>
      </w:r>
      <w:r>
        <w:rPr>
          <w:rFonts w:hint="eastAsia" w:ascii="宋体" w:hAnsi="宋体" w:cs="宋体"/>
          <w:sz w:val="24"/>
          <w:highlight w:val="none"/>
        </w:rPr>
        <w:t>系</w:t>
      </w:r>
      <w:r>
        <w:rPr>
          <w:rFonts w:hint="eastAsia" w:ascii="宋体" w:hAnsi="宋体" w:cs="宋体"/>
          <w:sz w:val="24"/>
          <w:highlight w:val="none"/>
          <w:u w:val="single"/>
        </w:rPr>
        <w:t>（投标人全称）</w:t>
      </w:r>
      <w:r>
        <w:rPr>
          <w:rFonts w:hint="eastAsia" w:ascii="宋体" w:hAnsi="宋体" w:cs="宋体"/>
          <w:sz w:val="24"/>
          <w:highlight w:val="none"/>
        </w:rPr>
        <w:t>法人，现任命</w:t>
      </w:r>
      <w:r>
        <w:rPr>
          <w:rFonts w:hint="eastAsia" w:ascii="宋体" w:hAnsi="宋体" w:cs="宋体"/>
          <w:sz w:val="24"/>
          <w:highlight w:val="none"/>
          <w:u w:val="single"/>
        </w:rPr>
        <w:t>（被授权人姓名、职务）</w:t>
      </w:r>
      <w:r>
        <w:rPr>
          <w:rFonts w:hint="eastAsia" w:ascii="宋体" w:hAnsi="宋体" w:cs="宋体"/>
          <w:sz w:val="24"/>
          <w:highlight w:val="none"/>
        </w:rPr>
        <w:t>为我公司的授权代表人，参与招标编号为“XXX”的“XXX（项目名称）”投标活动，以投标人的名义签署投标文件、进行合同谈判、签署合同和全权处理与之有关的一切事务。</w:t>
      </w:r>
    </w:p>
    <w:p>
      <w:pPr>
        <w:spacing w:line="360" w:lineRule="auto"/>
        <w:rPr>
          <w:rFonts w:ascii="宋体" w:hAnsi="宋体" w:cs="宋体"/>
          <w:sz w:val="24"/>
          <w:highlight w:val="none"/>
          <w:shd w:val="clear" w:color="auto" w:fill="FFFFFF"/>
        </w:rPr>
      </w:pPr>
      <w:r>
        <w:rPr>
          <w:rFonts w:hint="eastAsia" w:ascii="宋体" w:hAnsi="宋体" w:cs="宋体"/>
          <w:sz w:val="24"/>
          <w:highlight w:val="none"/>
          <w:shd w:val="clear" w:color="auto" w:fill="FFFFFF"/>
        </w:rPr>
        <w:tab/>
      </w:r>
      <w:r>
        <w:rPr>
          <w:rFonts w:hint="eastAsia" w:ascii="宋体" w:hAnsi="宋体" w:cs="宋体"/>
          <w:sz w:val="24"/>
          <w:highlight w:val="none"/>
          <w:shd w:val="clear" w:color="auto" w:fill="FFFFFF"/>
        </w:rPr>
        <w:t>本授权书于年月日签字生效，特此声明。</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法定代表人（签字或印章）：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被授权人</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p>
    <w:p>
      <w:pPr>
        <w:spacing w:line="360" w:lineRule="auto"/>
        <w:rPr>
          <w:rFonts w:ascii="宋体" w:hAnsi="宋体" w:cs="宋体"/>
          <w:sz w:val="24"/>
          <w:highlight w:val="none"/>
          <w:u w:val="single"/>
          <w:shd w:val="clear" w:color="auto" w:fill="FFFFFF"/>
        </w:rPr>
      </w:pPr>
    </w:p>
    <w:p>
      <w:pPr>
        <w:spacing w:line="360" w:lineRule="auto"/>
        <w:jc w:val="left"/>
        <w:rPr>
          <w:rFonts w:ascii="宋体" w:hAnsi="宋体" w:cs="宋体"/>
          <w:sz w:val="24"/>
          <w:highlight w:val="none"/>
        </w:rPr>
      </w:pPr>
      <w:r>
        <w:rPr>
          <w:rFonts w:hint="eastAsia" w:ascii="宋体" w:hAnsi="宋体" w:cs="宋体"/>
          <w:sz w:val="24"/>
          <w:highlight w:val="none"/>
          <w:shd w:val="clear" w:color="auto" w:fill="FFFFFF"/>
        </w:rPr>
        <w:t>投标人名称：</w:t>
      </w:r>
      <w:r>
        <w:rPr>
          <w:rFonts w:hint="eastAsia" w:ascii="宋体" w:hAnsi="宋体" w:cs="宋体"/>
          <w:sz w:val="24"/>
          <w:highlight w:val="none"/>
          <w:u w:val="single"/>
          <w:shd w:val="clear" w:color="auto" w:fill="FFFFFF"/>
        </w:rPr>
        <w:t>（加盖公章）</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日期：</w:t>
      </w:r>
    </w:p>
    <w:tbl>
      <w:tblPr>
        <w:tblStyle w:val="38"/>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法定代表人身份证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726"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被授权人身份证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复印件加盖公章（正面）</w:t>
            </w:r>
          </w:p>
        </w:tc>
        <w:tc>
          <w:tcPr>
            <w:tcW w:w="4843" w:type="dxa"/>
            <w:vAlign w:val="center"/>
          </w:tcPr>
          <w:p>
            <w:pPr>
              <w:spacing w:line="360" w:lineRule="auto"/>
              <w:jc w:val="center"/>
              <w:rPr>
                <w:rFonts w:ascii="宋体" w:hAnsi="宋体" w:cs="宋体"/>
                <w:b/>
                <w:sz w:val="24"/>
                <w:highlight w:val="none"/>
              </w:rPr>
            </w:pPr>
            <w:r>
              <w:rPr>
                <w:rFonts w:hint="eastAsia" w:ascii="宋体" w:hAnsi="宋体" w:cs="宋体"/>
                <w:b/>
                <w:sz w:val="24"/>
                <w:highlight w:val="none"/>
              </w:rPr>
              <w:t>被授权人身份证</w:t>
            </w:r>
          </w:p>
          <w:p>
            <w:pPr>
              <w:spacing w:line="360" w:lineRule="auto"/>
              <w:jc w:val="center"/>
              <w:rPr>
                <w:rFonts w:ascii="宋体" w:hAnsi="宋体" w:cs="宋体"/>
                <w:b/>
                <w:sz w:val="24"/>
                <w:highlight w:val="none"/>
              </w:rPr>
            </w:pPr>
            <w:r>
              <w:rPr>
                <w:rFonts w:hint="eastAsia" w:ascii="宋体" w:hAnsi="宋体" w:cs="宋体"/>
                <w:b/>
                <w:sz w:val="24"/>
                <w:highlight w:val="none"/>
              </w:rPr>
              <w:t>复印件加盖公章（背面）</w:t>
            </w:r>
          </w:p>
        </w:tc>
      </w:tr>
    </w:tbl>
    <w:p>
      <w:pPr>
        <w:spacing w:line="360" w:lineRule="auto"/>
        <w:textAlignment w:val="baseline"/>
        <w:rPr>
          <w:rFonts w:ascii="宋体" w:hAnsi="宋体" w:cs="宋体"/>
          <w:b/>
          <w:sz w:val="24"/>
          <w:highlight w:val="none"/>
        </w:rPr>
      </w:pPr>
    </w:p>
    <w:bookmarkEnd w:id="443"/>
    <w:p>
      <w:pPr>
        <w:pStyle w:val="6"/>
        <w:spacing w:before="0" w:line="246" w:lineRule="exact"/>
        <w:jc w:val="left"/>
        <w:rPr>
          <w:rFonts w:ascii="宋体" w:hAnsi="宋体" w:cs="宋体"/>
          <w:spacing w:val="10"/>
          <w:highlight w:val="none"/>
        </w:rPr>
      </w:pPr>
    </w:p>
    <w:p>
      <w:pPr>
        <w:rPr>
          <w:highlight w:val="none"/>
        </w:rPr>
      </w:pPr>
    </w:p>
    <w:p>
      <w:pPr>
        <w:pStyle w:val="22"/>
        <w:rPr>
          <w:highlight w:val="none"/>
        </w:rPr>
      </w:pPr>
    </w:p>
    <w:p>
      <w:pPr>
        <w:pStyle w:val="22"/>
        <w:rPr>
          <w:highlight w:val="none"/>
        </w:rPr>
      </w:pPr>
    </w:p>
    <w:p>
      <w:pPr>
        <w:rPr>
          <w:highlight w:val="none"/>
        </w:rPr>
      </w:pPr>
    </w:p>
    <w:p>
      <w:pPr>
        <w:pStyle w:val="4"/>
        <w:spacing w:before="0" w:after="0"/>
        <w:rPr>
          <w:rFonts w:ascii="宋体" w:hAnsi="宋体" w:cs="宋体"/>
          <w:sz w:val="18"/>
          <w:szCs w:val="18"/>
          <w:highlight w:val="none"/>
        </w:rPr>
      </w:pPr>
      <w:bookmarkStart w:id="468" w:name="_Toc20796"/>
      <w:bookmarkStart w:id="469" w:name="_Toc17466"/>
      <w:bookmarkStart w:id="470" w:name="_Toc26866"/>
      <w:bookmarkStart w:id="471" w:name="_Toc27432"/>
      <w:bookmarkStart w:id="472" w:name="_Toc7988"/>
      <w:bookmarkStart w:id="473" w:name="_Toc8565"/>
      <w:r>
        <w:rPr>
          <w:rFonts w:hint="eastAsia" w:ascii="宋体" w:hAnsi="宋体" w:cs="宋体"/>
          <w:sz w:val="28"/>
          <w:szCs w:val="28"/>
          <w:highlight w:val="none"/>
        </w:rPr>
        <w:t>4.投标文件应答表格式</w:t>
      </w:r>
      <w:bookmarkEnd w:id="468"/>
      <w:bookmarkEnd w:id="469"/>
      <w:bookmarkEnd w:id="470"/>
      <w:bookmarkEnd w:id="471"/>
      <w:bookmarkEnd w:id="472"/>
      <w:bookmarkEnd w:id="473"/>
    </w:p>
    <w:p>
      <w:pPr>
        <w:pStyle w:val="18"/>
        <w:spacing w:before="34" w:line="712" w:lineRule="auto"/>
        <w:jc w:val="center"/>
        <w:rPr>
          <w:rFonts w:ascii="宋体" w:hAnsi="宋体" w:cs="宋体"/>
          <w:sz w:val="12"/>
          <w:szCs w:val="12"/>
          <w:highlight w:val="none"/>
        </w:rPr>
      </w:pPr>
      <w:r>
        <w:rPr>
          <w:rFonts w:hint="eastAsia" w:ascii="宋体" w:hAnsi="宋体" w:cs="宋体"/>
          <w:bCs/>
          <w:kern w:val="2"/>
          <w:highlight w:val="none"/>
        </w:rPr>
        <w:t>(投标人根据投标文件的内容将重要内容填写在此表中，方便专家查找)</w:t>
      </w:r>
    </w:p>
    <w:tbl>
      <w:tblPr>
        <w:tblStyle w:val="38"/>
        <w:tblW w:w="9365" w:type="dxa"/>
        <w:tblInd w:w="-5" w:type="dxa"/>
        <w:tblLayout w:type="fixed"/>
        <w:tblCellMar>
          <w:top w:w="0" w:type="dxa"/>
          <w:left w:w="0" w:type="dxa"/>
          <w:bottom w:w="0" w:type="dxa"/>
          <w:right w:w="0" w:type="dxa"/>
        </w:tblCellMar>
      </w:tblPr>
      <w:tblGrid>
        <w:gridCol w:w="4669"/>
        <w:gridCol w:w="1703"/>
        <w:gridCol w:w="2993"/>
      </w:tblGrid>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line="360" w:lineRule="auto"/>
              <w:jc w:val="center"/>
              <w:rPr>
                <w:sz w:val="24"/>
                <w:highlight w:val="none"/>
              </w:rPr>
            </w:pPr>
            <w:r>
              <w:rPr>
                <w:rFonts w:hint="eastAsia"/>
                <w:sz w:val="24"/>
                <w:highlight w:val="none"/>
              </w:rPr>
              <w:t>投标文件的重要内容</w:t>
            </w:r>
          </w:p>
        </w:tc>
        <w:tc>
          <w:tcPr>
            <w:tcW w:w="1703" w:type="dxa"/>
            <w:tcBorders>
              <w:top w:val="single" w:color="000000" w:sz="4" w:space="0"/>
              <w:left w:val="single" w:color="000000" w:sz="4" w:space="0"/>
              <w:bottom w:val="single" w:color="000000" w:sz="4" w:space="0"/>
              <w:right w:val="single" w:color="000000" w:sz="4" w:space="0"/>
            </w:tcBorders>
          </w:tcPr>
          <w:p>
            <w:pPr>
              <w:pStyle w:val="224"/>
              <w:spacing w:line="360" w:lineRule="auto"/>
              <w:ind w:left="436"/>
              <w:jc w:val="left"/>
              <w:rPr>
                <w:sz w:val="24"/>
                <w:highlight w:val="none"/>
              </w:rPr>
            </w:pPr>
            <w:r>
              <w:rPr>
                <w:rFonts w:hint="eastAsia"/>
                <w:sz w:val="24"/>
                <w:highlight w:val="none"/>
              </w:rPr>
              <w:t>是否有</w:t>
            </w:r>
          </w:p>
        </w:tc>
        <w:tc>
          <w:tcPr>
            <w:tcW w:w="2993" w:type="dxa"/>
            <w:tcBorders>
              <w:top w:val="single" w:color="000000" w:sz="4" w:space="0"/>
              <w:left w:val="single" w:color="000000" w:sz="4" w:space="0"/>
              <w:bottom w:val="single" w:color="000000" w:sz="4" w:space="0"/>
              <w:right w:val="single" w:color="000000" w:sz="4" w:space="0"/>
            </w:tcBorders>
          </w:tcPr>
          <w:p>
            <w:pPr>
              <w:pStyle w:val="224"/>
              <w:spacing w:line="360" w:lineRule="auto"/>
              <w:ind w:left="695"/>
              <w:jc w:val="left"/>
              <w:rPr>
                <w:sz w:val="24"/>
                <w:highlight w:val="none"/>
              </w:rPr>
            </w:pPr>
            <w:r>
              <w:rPr>
                <w:rFonts w:hint="eastAsia"/>
                <w:sz w:val="24"/>
                <w:highlight w:val="none"/>
              </w:rPr>
              <w:t>投标文件页码</w:t>
            </w: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line="360" w:lineRule="auto"/>
              <w:jc w:val="center"/>
              <w:rPr>
                <w:sz w:val="24"/>
                <w:highlight w:val="none"/>
              </w:rPr>
            </w:pPr>
            <w:r>
              <w:rPr>
                <w:rFonts w:hint="eastAsia"/>
                <w:sz w:val="24"/>
                <w:highlight w:val="none"/>
              </w:rPr>
              <w:t>投标函</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line="360" w:lineRule="auto"/>
              <w:jc w:val="center"/>
              <w:rPr>
                <w:sz w:val="24"/>
                <w:highlight w:val="none"/>
              </w:rPr>
            </w:pPr>
            <w:r>
              <w:rPr>
                <w:rFonts w:hint="eastAsia"/>
                <w:sz w:val="24"/>
                <w:highlight w:val="none"/>
              </w:rPr>
              <w:t>开标一览表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1544" w:hRule="atLeast"/>
        </w:trPr>
        <w:tc>
          <w:tcPr>
            <w:tcW w:w="466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sz w:val="24"/>
                <w:highlight w:val="none"/>
              </w:rPr>
            </w:pPr>
            <w:r>
              <w:rPr>
                <w:rFonts w:hint="eastAsia" w:ascii="宋体" w:hAnsi="宋体" w:eastAsia="宋体" w:cs="宋体"/>
                <w:b w:val="0"/>
                <w:bCs w:val="0"/>
                <w:color w:val="000000"/>
                <w:spacing w:val="4"/>
                <w:sz w:val="24"/>
                <w:szCs w:val="24"/>
                <w:highlight w:val="none"/>
              </w:rPr>
              <w:t>投标人有效的营业执照，或事业单位法人证书，或自然人身份证明，或其他非企业组织证明独立承担民事责任能力的文件</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960" w:hRule="atLeast"/>
        </w:trPr>
        <w:tc>
          <w:tcPr>
            <w:tcW w:w="4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firstLine="248" w:firstLineChars="100"/>
              <w:textAlignment w:val="baseline"/>
              <w:rPr>
                <w:sz w:val="24"/>
                <w:highlight w:val="none"/>
              </w:rPr>
            </w:pPr>
            <w:r>
              <w:rPr>
                <w:rFonts w:hint="eastAsia" w:ascii="宋体" w:hAnsi="宋体" w:eastAsia="宋体" w:cs="宋体"/>
                <w:b w:val="0"/>
                <w:bCs w:val="0"/>
                <w:color w:val="000000"/>
                <w:spacing w:val="4"/>
                <w:sz w:val="24"/>
                <w:szCs w:val="24"/>
                <w:highlight w:val="none"/>
              </w:rPr>
              <w:t>法定代表人身份证</w:t>
            </w:r>
            <w:r>
              <w:rPr>
                <w:rFonts w:hint="eastAsia" w:ascii="宋体" w:hAnsi="宋体" w:eastAsia="宋体" w:cs="宋体"/>
                <w:b w:val="0"/>
                <w:bCs w:val="0"/>
                <w:color w:val="000000"/>
                <w:spacing w:val="4"/>
                <w:sz w:val="24"/>
                <w:szCs w:val="24"/>
                <w:highlight w:val="none"/>
                <w:lang w:eastAsia="zh-CN"/>
              </w:rPr>
              <w:t>、</w:t>
            </w:r>
            <w:r>
              <w:rPr>
                <w:rFonts w:hint="eastAsia" w:ascii="宋体" w:hAnsi="宋体" w:eastAsia="宋体" w:cs="宋体"/>
                <w:b w:val="0"/>
                <w:bCs w:val="0"/>
                <w:color w:val="000000"/>
                <w:spacing w:val="4"/>
                <w:sz w:val="24"/>
                <w:szCs w:val="24"/>
                <w:highlight w:val="none"/>
              </w:rPr>
              <w:t>法定代表人授权函（原件）及被授权人身份证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960" w:hRule="atLeast"/>
        </w:trPr>
        <w:tc>
          <w:tcPr>
            <w:tcW w:w="46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auto"/>
              <w:ind w:right="141"/>
              <w:textAlignment w:val="baseline"/>
              <w:rPr>
                <w:rFonts w:hint="default" w:ascii="宋体" w:hAnsi="宋体" w:eastAsia="宋体" w:cs="宋体"/>
                <w:b w:val="0"/>
                <w:bCs w:val="0"/>
                <w:color w:val="000000"/>
                <w:spacing w:val="4"/>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2021或2022年度财务</w:t>
            </w:r>
            <w:r>
              <w:rPr>
                <w:rFonts w:hint="eastAsia" w:ascii="宋体" w:hAnsi="宋体" w:eastAsia="宋体" w:cs="宋体"/>
                <w:b w:val="0"/>
                <w:bCs w:val="0"/>
                <w:color w:val="auto"/>
                <w:sz w:val="24"/>
                <w:szCs w:val="24"/>
                <w:highlight w:val="none"/>
              </w:rPr>
              <w:t>审计报告</w:t>
            </w:r>
            <w:r>
              <w:rPr>
                <w:rFonts w:hint="eastAsia" w:ascii="宋体" w:hAnsi="宋体" w:eastAsia="宋体" w:cs="宋体"/>
                <w:b w:val="0"/>
                <w:bCs w:val="0"/>
                <w:color w:val="auto"/>
                <w:sz w:val="24"/>
                <w:szCs w:val="24"/>
                <w:highlight w:val="none"/>
                <w:lang w:val="en-US" w:eastAsia="zh-CN"/>
              </w:rPr>
              <w:t>或资信证明</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before="133" w:line="360" w:lineRule="auto"/>
              <w:ind w:right="2"/>
              <w:jc w:val="center"/>
              <w:rPr>
                <w:sz w:val="24"/>
                <w:highlight w:val="none"/>
              </w:rPr>
            </w:pPr>
            <w:r>
              <w:rPr>
                <w:rFonts w:hint="eastAsia"/>
                <w:sz w:val="24"/>
                <w:highlight w:val="none"/>
              </w:rPr>
              <w:t>财务状况报告</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line="360" w:lineRule="auto"/>
              <w:jc w:val="center"/>
              <w:rPr>
                <w:sz w:val="24"/>
                <w:highlight w:val="none"/>
              </w:rPr>
            </w:pPr>
            <w:r>
              <w:rPr>
                <w:rFonts w:hint="eastAsia" w:ascii="宋体" w:hAnsi="宋体" w:cs="宋体"/>
                <w:color w:val="auto"/>
                <w:kern w:val="2"/>
                <w:sz w:val="24"/>
                <w:szCs w:val="24"/>
                <w:highlight w:val="none"/>
                <w:lang w:val="en-US" w:eastAsia="zh-CN" w:bidi="ar-SA"/>
              </w:rPr>
              <w:t>投标人医疗器械生产或经营许可证(备案证)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line="360" w:lineRule="auto"/>
              <w:jc w:val="center"/>
              <w:rPr>
                <w:sz w:val="24"/>
                <w:highlight w:val="none"/>
              </w:rPr>
            </w:pPr>
            <w:r>
              <w:rPr>
                <w:rFonts w:hint="eastAsia" w:ascii="宋体" w:hAnsi="宋体" w:eastAsia="宋体" w:cs="宋体"/>
                <w:b w:val="0"/>
                <w:bCs w:val="0"/>
                <w:kern w:val="0"/>
                <w:sz w:val="24"/>
                <w:szCs w:val="24"/>
                <w:highlight w:val="none"/>
              </w:rPr>
              <w:t>产品的医疗器械注册证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line="360" w:lineRule="auto"/>
              <w:jc w:val="center"/>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color w:val="auto"/>
                <w:kern w:val="0"/>
                <w:sz w:val="24"/>
                <w:szCs w:val="24"/>
                <w:highlight w:val="none"/>
              </w:rPr>
              <w:t>生产厂家的营业执照及医疗器械生产许可证</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before="71" w:line="360" w:lineRule="auto"/>
              <w:jc w:val="center"/>
              <w:rPr>
                <w:sz w:val="24"/>
                <w:highlight w:val="none"/>
              </w:rPr>
            </w:pPr>
            <w:r>
              <w:rPr>
                <w:rFonts w:hint="eastAsia"/>
                <w:sz w:val="24"/>
                <w:highlight w:val="none"/>
              </w:rPr>
              <w:t>技术偏离表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before="74" w:line="360" w:lineRule="auto"/>
              <w:jc w:val="center"/>
              <w:rPr>
                <w:sz w:val="24"/>
                <w:highlight w:val="none"/>
              </w:rPr>
            </w:pPr>
            <w:r>
              <w:rPr>
                <w:rFonts w:hint="eastAsia"/>
                <w:sz w:val="24"/>
                <w:highlight w:val="none"/>
              </w:rPr>
              <w:t>商务偏离表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line="360" w:lineRule="auto"/>
              <w:ind w:left="1"/>
              <w:jc w:val="center"/>
              <w:rPr>
                <w:rFonts w:hint="eastAsia" w:eastAsia="宋体"/>
                <w:sz w:val="24"/>
                <w:highlight w:val="none"/>
                <w:lang w:eastAsia="zh-CN"/>
              </w:rPr>
            </w:pPr>
            <w:r>
              <w:rPr>
                <w:rFonts w:hint="eastAsia"/>
                <w:sz w:val="24"/>
                <w:highlight w:val="none"/>
                <w:lang w:val="en-US" w:eastAsia="zh-CN"/>
              </w:rPr>
              <w:t>符合性审查表</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line="360" w:lineRule="auto"/>
              <w:ind w:left="1"/>
              <w:jc w:val="center"/>
              <w:rPr>
                <w:sz w:val="24"/>
                <w:highlight w:val="none"/>
              </w:rPr>
            </w:pPr>
            <w:r>
              <w:rPr>
                <w:rFonts w:hint="eastAsia"/>
                <w:sz w:val="24"/>
                <w:highlight w:val="none"/>
              </w:rPr>
              <w:t>....</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pStyle w:val="224"/>
              <w:spacing w:line="360" w:lineRule="auto"/>
              <w:ind w:left="1"/>
              <w:jc w:val="center"/>
              <w:rPr>
                <w:sz w:val="24"/>
                <w:highlight w:val="none"/>
              </w:rPr>
            </w:pPr>
            <w:r>
              <w:rPr>
                <w:rFonts w:hint="eastAsia"/>
                <w:sz w:val="24"/>
                <w:highlight w:val="none"/>
              </w:rPr>
              <w:t>....</w:t>
            </w: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r>
        <w:tblPrEx>
          <w:tblCellMar>
            <w:top w:w="0" w:type="dxa"/>
            <w:left w:w="0" w:type="dxa"/>
            <w:bottom w:w="0" w:type="dxa"/>
            <w:right w:w="0" w:type="dxa"/>
          </w:tblCellMar>
        </w:tblPrEx>
        <w:trPr>
          <w:trHeight w:val="23" w:hRule="atLeast"/>
        </w:trPr>
        <w:tc>
          <w:tcPr>
            <w:tcW w:w="466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170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c>
          <w:tcPr>
            <w:tcW w:w="2993"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sz w:val="24"/>
                <w:highlight w:val="none"/>
              </w:rPr>
            </w:pPr>
          </w:p>
        </w:tc>
      </w:tr>
    </w:tbl>
    <w:p>
      <w:pPr>
        <w:pStyle w:val="18"/>
        <w:spacing w:line="241" w:lineRule="exact"/>
        <w:ind w:left="137"/>
        <w:jc w:val="left"/>
        <w:rPr>
          <w:highlight w:val="none"/>
        </w:rPr>
      </w:pPr>
    </w:p>
    <w:p>
      <w:pPr>
        <w:pStyle w:val="18"/>
        <w:spacing w:line="360" w:lineRule="auto"/>
        <w:jc w:val="left"/>
        <w:rPr>
          <w:highlight w:val="none"/>
        </w:rPr>
      </w:pPr>
      <w:r>
        <w:rPr>
          <w:highlight w:val="none"/>
        </w:rPr>
        <w:t>投标人（签字、盖章）：</w:t>
      </w:r>
    </w:p>
    <w:p>
      <w:pPr>
        <w:pStyle w:val="18"/>
        <w:spacing w:line="360" w:lineRule="auto"/>
        <w:jc w:val="left"/>
        <w:rPr>
          <w:highlight w:val="none"/>
          <w:u w:val="single"/>
        </w:rPr>
      </w:pPr>
      <w:r>
        <w:rPr>
          <w:highlight w:val="none"/>
        </w:rPr>
        <w:t>日期：</w:t>
      </w:r>
    </w:p>
    <w:p>
      <w:pPr>
        <w:pStyle w:val="18"/>
        <w:spacing w:line="360" w:lineRule="auto"/>
        <w:ind w:left="137" w:firstLine="480" w:firstLineChars="200"/>
        <w:jc w:val="left"/>
        <w:rPr>
          <w:highlight w:val="none"/>
          <w:u w:val="single"/>
        </w:rPr>
      </w:pPr>
    </w:p>
    <w:p>
      <w:pPr>
        <w:pStyle w:val="4"/>
        <w:spacing w:before="0" w:after="100" w:afterAutospacing="1"/>
        <w:rPr>
          <w:rFonts w:ascii="宋体" w:hAnsi="宋体" w:cs="宋体"/>
          <w:spacing w:val="10"/>
          <w:highlight w:val="none"/>
        </w:rPr>
      </w:pPr>
      <w:bookmarkStart w:id="474" w:name="_Toc28553"/>
      <w:bookmarkStart w:id="475" w:name="_Toc32474"/>
      <w:bookmarkStart w:id="476" w:name="_Toc22310"/>
      <w:bookmarkStart w:id="477" w:name="_Toc17704"/>
      <w:bookmarkStart w:id="478" w:name="_Toc17348"/>
      <w:bookmarkStart w:id="479" w:name="_Toc25013"/>
      <w:r>
        <w:rPr>
          <w:rFonts w:hint="eastAsia" w:ascii="宋体" w:hAnsi="宋体" w:cs="宋体"/>
          <w:spacing w:val="10"/>
          <w:highlight w:val="none"/>
        </w:rPr>
        <w:t>5.开标信封封面格式</w:t>
      </w:r>
      <w:bookmarkEnd w:id="474"/>
      <w:bookmarkEnd w:id="475"/>
      <w:bookmarkEnd w:id="476"/>
      <w:bookmarkEnd w:id="477"/>
      <w:bookmarkEnd w:id="478"/>
      <w:bookmarkEnd w:id="479"/>
    </w:p>
    <w:p>
      <w:pPr>
        <w:spacing w:line="360" w:lineRule="auto"/>
        <w:textAlignment w:val="baseline"/>
        <w:rPr>
          <w:rFonts w:ascii="宋体" w:hAnsi="宋体" w:cs="宋体"/>
          <w:spacing w:val="10"/>
          <w:sz w:val="24"/>
          <w:highlight w:val="none"/>
        </w:rPr>
      </w:pPr>
      <w:r>
        <w:rPr>
          <w:rFonts w:hint="eastAsia" w:ascii="宋体" w:hAnsi="宋体" w:cs="宋体"/>
          <w:spacing w:val="10"/>
          <w:sz w:val="24"/>
          <w:highlight w:val="none"/>
        </w:rPr>
        <w:t>请按以下内容填写开标信封抬头，并将黑框剪下，贴在开标信封外面，除非特殊情况，否则不要更改信封格式：</w:t>
      </w:r>
    </w:p>
    <w:p>
      <w:pPr>
        <w:spacing w:line="360" w:lineRule="auto"/>
        <w:rPr>
          <w:rFonts w:ascii="宋体" w:hAnsi="宋体" w:cs="宋体"/>
          <w:spacing w:val="10"/>
          <w:sz w:val="24"/>
          <w:highlight w:val="none"/>
        </w:rPr>
      </w:pPr>
    </w:p>
    <w:tbl>
      <w:tblPr>
        <w:tblStyle w:val="38"/>
        <w:tblpPr w:leftFromText="180" w:rightFromText="180" w:vertAnchor="text" w:horzAnchor="margin" w:tblpY="470"/>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2" w:hRule="atLeast"/>
        </w:trPr>
        <w:tc>
          <w:tcPr>
            <w:tcW w:w="9571" w:type="dxa"/>
          </w:tcPr>
          <w:p>
            <w:pPr>
              <w:spacing w:line="360" w:lineRule="auto"/>
              <w:jc w:val="center"/>
              <w:rPr>
                <w:rFonts w:ascii="宋体" w:hAnsi="宋体" w:cs="宋体"/>
                <w:sz w:val="24"/>
                <w:highlight w:val="none"/>
              </w:rPr>
            </w:pPr>
            <w:r>
              <w:rPr>
                <w:rFonts w:hint="eastAsia" w:ascii="宋体" w:hAnsi="宋体" w:cs="宋体"/>
                <w:sz w:val="24"/>
                <w:highlight w:val="none"/>
              </w:rPr>
              <w:t>开标一览表</w:t>
            </w:r>
          </w:p>
          <w:p>
            <w:pPr>
              <w:spacing w:line="360" w:lineRule="auto"/>
              <w:rPr>
                <w:rFonts w:ascii="宋体" w:hAnsi="宋体" w:cs="宋体"/>
                <w:sz w:val="24"/>
                <w:highlight w:val="none"/>
              </w:rPr>
            </w:pPr>
            <w:r>
              <w:rPr>
                <w:rFonts w:hint="eastAsia" w:ascii="宋体" w:hAnsi="宋体" w:cs="宋体"/>
                <w:sz w:val="24"/>
                <w:highlight w:val="none"/>
              </w:rPr>
              <w:t>致：</w:t>
            </w:r>
          </w:p>
          <w:p>
            <w:pPr>
              <w:spacing w:line="360" w:lineRule="auto"/>
              <w:ind w:firstLine="355" w:firstLineChars="148"/>
              <w:rPr>
                <w:rFonts w:hint="eastAsia" w:ascii="宋体" w:hAnsi="宋体" w:eastAsia="宋体" w:cs="宋体"/>
                <w:sz w:val="24"/>
                <w:highlight w:val="none"/>
                <w:lang w:eastAsia="zh-CN"/>
              </w:rPr>
            </w:pPr>
          </w:p>
          <w:p>
            <w:pPr>
              <w:spacing w:line="360" w:lineRule="auto"/>
              <w:rPr>
                <w:rFonts w:ascii="宋体" w:hAnsi="宋体" w:cs="宋体"/>
                <w:sz w:val="24"/>
                <w:highlight w:val="none"/>
              </w:rPr>
            </w:pPr>
          </w:p>
          <w:p>
            <w:pPr>
              <w:spacing w:line="360" w:lineRule="auto"/>
              <w:ind w:firstLine="2400" w:firstLineChars="1000"/>
              <w:rPr>
                <w:rFonts w:ascii="宋体" w:hAnsi="宋体" w:cs="宋体"/>
                <w:sz w:val="24"/>
                <w:highlight w:val="none"/>
              </w:rPr>
            </w:pPr>
            <w:r>
              <w:rPr>
                <w:rFonts w:hint="eastAsia" w:ascii="宋体" w:hAnsi="宋体" w:cs="宋体"/>
                <w:sz w:val="24"/>
                <w:highlight w:val="none"/>
              </w:rPr>
              <w:t>项目名称：</w:t>
            </w:r>
          </w:p>
          <w:p>
            <w:pPr>
              <w:pStyle w:val="22"/>
              <w:spacing w:line="360" w:lineRule="auto"/>
              <w:ind w:firstLine="2400" w:firstLineChars="1000"/>
              <w:rPr>
                <w:rFonts w:hint="eastAsia" w:hAnsi="宋体" w:cs="宋体"/>
                <w:sz w:val="24"/>
                <w:highlight w:val="none"/>
              </w:rPr>
            </w:pPr>
            <w:r>
              <w:rPr>
                <w:rFonts w:hint="eastAsia" w:hAnsi="宋体" w:cs="宋体"/>
                <w:sz w:val="24"/>
                <w:highlight w:val="none"/>
              </w:rPr>
              <w:t>招标编号：</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采购人：</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投标人：（盖章）</w:t>
            </w:r>
          </w:p>
          <w:p>
            <w:pPr>
              <w:pStyle w:val="30"/>
              <w:spacing w:line="360" w:lineRule="auto"/>
              <w:ind w:firstLine="1920" w:firstLineChars="800"/>
              <w:rPr>
                <w:rFonts w:ascii="宋体" w:hAnsi="宋体" w:cs="宋体"/>
                <w:sz w:val="24"/>
                <w:highlight w:val="none"/>
              </w:rPr>
            </w:pPr>
            <w:r>
              <w:rPr>
                <w:rFonts w:hint="eastAsia" w:ascii="宋体" w:hAnsi="宋体" w:cs="宋体"/>
                <w:sz w:val="24"/>
                <w:highlight w:val="none"/>
              </w:rPr>
              <w:t>详细地址：</w:t>
            </w:r>
          </w:p>
          <w:p>
            <w:pPr>
              <w:spacing w:line="360" w:lineRule="auto"/>
              <w:ind w:firstLine="2400" w:firstLineChars="1000"/>
              <w:rPr>
                <w:rFonts w:ascii="宋体" w:hAnsi="宋体" w:cs="宋体"/>
                <w:sz w:val="24"/>
                <w:highlight w:val="none"/>
              </w:rPr>
            </w:pPr>
            <w:r>
              <w:rPr>
                <w:rFonts w:hint="eastAsia" w:ascii="宋体" w:hAnsi="宋体" w:cs="宋体"/>
                <w:sz w:val="24"/>
                <w:highlight w:val="none"/>
              </w:rPr>
              <w:t>日期：</w:t>
            </w:r>
          </w:p>
        </w:tc>
      </w:tr>
    </w:tbl>
    <w:p>
      <w:pPr>
        <w:spacing w:line="360" w:lineRule="auto"/>
        <w:rPr>
          <w:rFonts w:ascii="宋体" w:hAnsi="宋体" w:cs="宋体"/>
          <w:b/>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注：此开标信封内封装：开标一览表，单独提交。</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pStyle w:val="30"/>
        <w:rPr>
          <w:highlight w:val="none"/>
        </w:rPr>
      </w:pPr>
    </w:p>
    <w:p>
      <w:pPr>
        <w:spacing w:line="360" w:lineRule="auto"/>
        <w:rPr>
          <w:rFonts w:ascii="宋体" w:hAnsi="宋体" w:cs="宋体"/>
          <w:b/>
          <w:sz w:val="24"/>
          <w:highlight w:val="none"/>
        </w:rPr>
      </w:pPr>
    </w:p>
    <w:p>
      <w:pPr>
        <w:pStyle w:val="4"/>
        <w:spacing w:before="0" w:after="100" w:afterAutospacing="1"/>
        <w:rPr>
          <w:rFonts w:ascii="宋体" w:hAnsi="宋体" w:cs="宋体"/>
          <w:spacing w:val="10"/>
          <w:highlight w:val="none"/>
        </w:rPr>
      </w:pPr>
      <w:bookmarkStart w:id="480" w:name="_Toc31378"/>
      <w:bookmarkStart w:id="481" w:name="_Toc31809"/>
      <w:bookmarkStart w:id="482" w:name="_Toc24132"/>
      <w:bookmarkStart w:id="483" w:name="_Toc21291"/>
      <w:bookmarkStart w:id="484" w:name="_Toc20679"/>
      <w:bookmarkStart w:id="485" w:name="_Toc31107"/>
      <w:r>
        <w:rPr>
          <w:rFonts w:hint="eastAsia" w:ascii="宋体" w:hAnsi="宋体" w:cs="宋体"/>
          <w:spacing w:val="10"/>
          <w:highlight w:val="none"/>
        </w:rPr>
        <w:t>6.投标文件封面模板</w:t>
      </w:r>
      <w:bookmarkEnd w:id="480"/>
      <w:bookmarkEnd w:id="481"/>
      <w:bookmarkEnd w:id="482"/>
      <w:bookmarkEnd w:id="483"/>
      <w:bookmarkEnd w:id="484"/>
      <w:bookmarkEnd w:id="485"/>
    </w:p>
    <w:p>
      <w:pPr>
        <w:spacing w:line="360" w:lineRule="auto"/>
        <w:jc w:val="right"/>
        <w:rPr>
          <w:rFonts w:ascii="宋体" w:hAnsi="宋体" w:cs="宋体"/>
          <w:b/>
          <w:bCs/>
          <w:highlight w:val="none"/>
        </w:rPr>
      </w:pPr>
      <w:r>
        <w:rPr>
          <w:rFonts w:hint="eastAsia" w:ascii="宋体" w:hAnsi="宋体" w:cs="宋体"/>
          <w:b/>
          <w:bCs/>
          <w:spacing w:val="10"/>
          <w:sz w:val="32"/>
          <w:highlight w:val="none"/>
        </w:rPr>
        <w:t>正（副）本</w:t>
      </w:r>
    </w:p>
    <w:p>
      <w:pPr>
        <w:spacing w:line="360" w:lineRule="auto"/>
        <w:rPr>
          <w:rFonts w:ascii="宋体" w:hAnsi="宋体" w:cs="宋体"/>
          <w:b/>
          <w:sz w:val="32"/>
          <w:szCs w:val="32"/>
          <w:highlight w:val="none"/>
        </w:rPr>
      </w:pPr>
    </w:p>
    <w:p>
      <w:pPr>
        <w:spacing w:line="360" w:lineRule="auto"/>
        <w:jc w:val="center"/>
        <w:rPr>
          <w:rFonts w:ascii="宋体" w:hAnsi="宋体" w:cs="宋体"/>
          <w:b/>
          <w:sz w:val="48"/>
          <w:szCs w:val="48"/>
          <w:highlight w:val="none"/>
        </w:rPr>
      </w:pPr>
      <w:r>
        <w:rPr>
          <w:rFonts w:hint="eastAsia" w:ascii="宋体" w:hAnsi="宋体" w:cs="宋体"/>
          <w:b/>
          <w:sz w:val="48"/>
          <w:szCs w:val="48"/>
          <w:highlight w:val="none"/>
        </w:rPr>
        <w:t>投标文件</w:t>
      </w:r>
    </w:p>
    <w:p>
      <w:pPr>
        <w:spacing w:line="360" w:lineRule="auto"/>
        <w:ind w:left="899" w:leftChars="428"/>
        <w:rPr>
          <w:rFonts w:ascii="宋体" w:hAnsi="宋体" w:cs="宋体"/>
          <w:b/>
          <w:sz w:val="32"/>
          <w:szCs w:val="32"/>
          <w:highlight w:val="none"/>
        </w:rPr>
      </w:pPr>
    </w:p>
    <w:p>
      <w:pPr>
        <w:pStyle w:val="30"/>
        <w:spacing w:line="360" w:lineRule="auto"/>
        <w:rPr>
          <w:rFonts w:ascii="宋体" w:hAnsi="宋体" w:cs="宋体"/>
          <w:b/>
          <w:sz w:val="32"/>
          <w:szCs w:val="32"/>
          <w:highlight w:val="none"/>
        </w:rPr>
      </w:pPr>
    </w:p>
    <w:p>
      <w:pPr>
        <w:spacing w:line="360" w:lineRule="auto"/>
        <w:rPr>
          <w:rFonts w:ascii="宋体" w:hAnsi="宋体" w:cs="宋体"/>
          <w:highlight w:val="none"/>
        </w:rPr>
      </w:pPr>
    </w:p>
    <w:p>
      <w:pPr>
        <w:spacing w:line="360" w:lineRule="auto"/>
        <w:ind w:firstLine="1606" w:firstLineChars="500"/>
        <w:rPr>
          <w:rFonts w:ascii="宋体" w:hAnsi="宋体" w:cs="宋体"/>
          <w:b/>
          <w:sz w:val="32"/>
          <w:szCs w:val="32"/>
          <w:highlight w:val="none"/>
          <w:u w:val="single"/>
        </w:rPr>
      </w:pPr>
      <w:r>
        <w:rPr>
          <w:rFonts w:hint="eastAsia" w:ascii="宋体" w:hAnsi="宋体" w:cs="宋体"/>
          <w:b/>
          <w:sz w:val="32"/>
          <w:szCs w:val="32"/>
          <w:highlight w:val="none"/>
        </w:rPr>
        <w:t>项目名称：</w:t>
      </w:r>
    </w:p>
    <w:p>
      <w:pPr>
        <w:spacing w:line="360" w:lineRule="auto"/>
        <w:ind w:left="899" w:leftChars="428" w:firstLine="643" w:firstLineChars="200"/>
        <w:rPr>
          <w:rFonts w:ascii="宋体" w:hAnsi="宋体" w:cs="宋体"/>
          <w:b/>
          <w:sz w:val="32"/>
          <w:szCs w:val="32"/>
          <w:highlight w:val="none"/>
        </w:rPr>
      </w:pPr>
      <w:r>
        <w:rPr>
          <w:rFonts w:hint="eastAsia" w:ascii="宋体" w:hAnsi="宋体" w:cs="宋体"/>
          <w:b/>
          <w:sz w:val="32"/>
          <w:szCs w:val="32"/>
          <w:highlight w:val="none"/>
        </w:rPr>
        <w:t>项目编号：</w:t>
      </w:r>
    </w:p>
    <w:p>
      <w:pPr>
        <w:pStyle w:val="22"/>
        <w:rPr>
          <w:rFonts w:hint="default" w:ascii="宋体" w:hAnsi="宋体" w:eastAsia="宋体" w:cs="宋体"/>
          <w:b/>
          <w:kern w:val="2"/>
          <w:sz w:val="32"/>
          <w:szCs w:val="32"/>
          <w:highlight w:val="none"/>
          <w:lang w:val="en-US" w:eastAsia="zh-CN" w:bidi="ar-SA"/>
        </w:rPr>
      </w:pPr>
      <w:r>
        <w:rPr>
          <w:rFonts w:hint="eastAsia"/>
          <w:highlight w:val="none"/>
        </w:rPr>
        <w:t xml:space="preserve">          </w:t>
      </w:r>
      <w:r>
        <w:rPr>
          <w:rFonts w:hint="eastAsia"/>
          <w:highlight w:val="none"/>
          <w:lang w:val="en-US" w:eastAsia="zh-CN"/>
        </w:rPr>
        <w:t xml:space="preserve">    </w:t>
      </w:r>
    </w:p>
    <w:p>
      <w:pPr>
        <w:spacing w:line="360" w:lineRule="auto"/>
        <w:rPr>
          <w:rFonts w:ascii="宋体" w:hAnsi="宋体" w:cs="宋体"/>
          <w:b/>
          <w:sz w:val="32"/>
          <w:szCs w:val="32"/>
          <w:highlight w:val="none"/>
        </w:rPr>
      </w:pPr>
      <w:r>
        <w:rPr>
          <w:rFonts w:hint="eastAsia" w:ascii="宋体" w:hAnsi="宋体" w:cs="宋体"/>
          <w:b/>
          <w:sz w:val="32"/>
          <w:szCs w:val="32"/>
          <w:highlight w:val="none"/>
        </w:rPr>
        <w:t xml:space="preserve">    </w:t>
      </w:r>
    </w:p>
    <w:p>
      <w:pPr>
        <w:spacing w:line="360" w:lineRule="auto"/>
        <w:ind w:left="1619" w:leftChars="771"/>
        <w:rPr>
          <w:rFonts w:ascii="宋体" w:hAnsi="宋体" w:cs="宋体"/>
          <w:b/>
          <w:sz w:val="32"/>
          <w:szCs w:val="32"/>
          <w:highlight w:val="none"/>
        </w:rPr>
      </w:pPr>
    </w:p>
    <w:p>
      <w:pPr>
        <w:spacing w:line="360" w:lineRule="auto"/>
        <w:rPr>
          <w:rFonts w:ascii="宋体" w:hAnsi="宋体" w:cs="宋体"/>
          <w:b/>
          <w:sz w:val="32"/>
          <w:szCs w:val="32"/>
          <w:highlight w:val="none"/>
        </w:rPr>
      </w:pPr>
    </w:p>
    <w:p>
      <w:pPr>
        <w:spacing w:line="360" w:lineRule="auto"/>
        <w:ind w:left="1619" w:leftChars="771"/>
        <w:rPr>
          <w:rFonts w:ascii="宋体" w:hAnsi="宋体" w:cs="宋体"/>
          <w:b/>
          <w:sz w:val="32"/>
          <w:szCs w:val="32"/>
          <w:highlight w:val="none"/>
          <w:u w:val="single"/>
        </w:rPr>
      </w:pPr>
      <w:r>
        <w:rPr>
          <w:rFonts w:hint="eastAsia" w:ascii="宋体" w:hAnsi="宋体" w:cs="宋体"/>
          <w:b/>
          <w:sz w:val="32"/>
          <w:szCs w:val="32"/>
          <w:highlight w:val="none"/>
        </w:rPr>
        <w:t>采购人：</w:t>
      </w:r>
    </w:p>
    <w:p>
      <w:pPr>
        <w:spacing w:line="360" w:lineRule="auto"/>
        <w:ind w:left="1619" w:leftChars="771"/>
        <w:rPr>
          <w:rFonts w:ascii="宋体" w:hAnsi="宋体" w:cs="宋体"/>
          <w:b/>
          <w:sz w:val="32"/>
          <w:szCs w:val="32"/>
          <w:highlight w:val="none"/>
          <w:u w:val="single"/>
        </w:rPr>
      </w:pPr>
      <w:r>
        <w:rPr>
          <w:rFonts w:hint="eastAsia" w:ascii="宋体" w:hAnsi="宋体" w:cs="宋体"/>
          <w:b/>
          <w:sz w:val="32"/>
          <w:szCs w:val="32"/>
          <w:highlight w:val="none"/>
        </w:rPr>
        <w:t>投标人名称（公章）：</w:t>
      </w:r>
    </w:p>
    <w:p>
      <w:pPr>
        <w:spacing w:line="360" w:lineRule="auto"/>
        <w:ind w:left="1619" w:leftChars="771"/>
        <w:rPr>
          <w:rFonts w:ascii="宋体" w:hAnsi="宋体" w:cs="宋体"/>
          <w:b/>
          <w:sz w:val="32"/>
          <w:szCs w:val="32"/>
          <w:highlight w:val="none"/>
        </w:rPr>
      </w:pPr>
      <w:r>
        <w:rPr>
          <w:rFonts w:hint="eastAsia" w:ascii="宋体" w:hAnsi="宋体" w:cs="宋体"/>
          <w:b/>
          <w:sz w:val="32"/>
          <w:szCs w:val="32"/>
          <w:highlight w:val="none"/>
        </w:rPr>
        <w:t>详细地址：</w:t>
      </w:r>
    </w:p>
    <w:p>
      <w:pPr>
        <w:spacing w:line="360" w:lineRule="auto"/>
        <w:ind w:left="1619" w:leftChars="771"/>
        <w:rPr>
          <w:rFonts w:ascii="宋体" w:hAnsi="宋体" w:cs="宋体"/>
          <w:b/>
          <w:sz w:val="32"/>
          <w:szCs w:val="32"/>
          <w:highlight w:val="none"/>
        </w:rPr>
      </w:pPr>
      <w:r>
        <w:rPr>
          <w:rFonts w:hint="eastAsia" w:ascii="宋体" w:hAnsi="宋体" w:cs="宋体"/>
          <w:b/>
          <w:sz w:val="32"/>
          <w:szCs w:val="32"/>
          <w:highlight w:val="none"/>
        </w:rPr>
        <w:t>日期：</w:t>
      </w:r>
    </w:p>
    <w:p>
      <w:pPr>
        <w:pStyle w:val="213"/>
        <w:spacing w:line="360" w:lineRule="auto"/>
        <w:rPr>
          <w:rFonts w:ascii="宋体" w:hAnsi="宋体" w:cs="宋体"/>
          <w:b/>
          <w:sz w:val="22"/>
          <w:szCs w:val="22"/>
          <w:highlight w:val="none"/>
        </w:rPr>
      </w:pPr>
    </w:p>
    <w:p>
      <w:pPr>
        <w:pStyle w:val="213"/>
        <w:spacing w:line="360" w:lineRule="auto"/>
        <w:rPr>
          <w:rFonts w:ascii="宋体" w:hAnsi="宋体" w:cs="宋体"/>
          <w:b/>
          <w:sz w:val="22"/>
          <w:szCs w:val="22"/>
          <w:highlight w:val="none"/>
        </w:rPr>
      </w:pPr>
    </w:p>
    <w:p>
      <w:pPr>
        <w:pStyle w:val="213"/>
        <w:spacing w:line="360" w:lineRule="auto"/>
        <w:jc w:val="center"/>
        <w:rPr>
          <w:rFonts w:ascii="宋体" w:hAnsi="宋体" w:cs="宋体"/>
          <w:b/>
          <w:szCs w:val="28"/>
          <w:highlight w:val="none"/>
        </w:rPr>
      </w:pPr>
      <w:bookmarkStart w:id="486" w:name="_Toc27676"/>
      <w:bookmarkStart w:id="487" w:name="_Toc26303"/>
      <w:bookmarkStart w:id="488" w:name="_Toc27827"/>
      <w:bookmarkStart w:id="489" w:name="_Toc7146"/>
      <w:bookmarkStart w:id="490" w:name="_Toc16952"/>
      <w:bookmarkStart w:id="491" w:name="_Toc29929"/>
      <w:bookmarkStart w:id="492" w:name="_Toc3392"/>
      <w:bookmarkStart w:id="493" w:name="_Toc10205"/>
      <w:bookmarkStart w:id="494" w:name="_Toc1384"/>
      <w:bookmarkStart w:id="495" w:name="_Toc16887"/>
      <w:bookmarkStart w:id="496" w:name="_Toc12836"/>
      <w:bookmarkStart w:id="497" w:name="_Toc6233"/>
      <w:bookmarkStart w:id="498" w:name="_Toc4270"/>
      <w:bookmarkStart w:id="499" w:name="_Toc23162"/>
      <w:bookmarkStart w:id="500" w:name="_Toc26432"/>
      <w:bookmarkStart w:id="501" w:name="_Toc8733"/>
      <w:r>
        <w:rPr>
          <w:rFonts w:hint="eastAsia" w:ascii="宋体" w:hAnsi="宋体" w:cs="宋体"/>
          <w:b/>
          <w:szCs w:val="28"/>
          <w:highlight w:val="none"/>
        </w:rPr>
        <w:t>此文件于年月日时前不得启封</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pStyle w:val="4"/>
        <w:spacing w:before="0" w:after="0"/>
        <w:jc w:val="both"/>
        <w:rPr>
          <w:rFonts w:ascii="宋体" w:hAnsi="宋体" w:cs="宋体"/>
          <w:spacing w:val="10"/>
          <w:sz w:val="36"/>
          <w:szCs w:val="36"/>
          <w:highlight w:val="none"/>
        </w:rPr>
        <w:sectPr>
          <w:headerReference r:id="rId13" w:type="first"/>
          <w:headerReference r:id="rId12" w:type="default"/>
          <w:pgSz w:w="11905" w:h="16838"/>
          <w:pgMar w:top="1077" w:right="1134" w:bottom="1077" w:left="1417" w:header="850" w:footer="992" w:gutter="0"/>
          <w:pgNumType w:fmt="decimal"/>
          <w:cols w:space="0" w:num="1"/>
          <w:titlePg/>
          <w:docGrid w:linePitch="322" w:charSpace="0"/>
        </w:sectPr>
      </w:pPr>
    </w:p>
    <w:p>
      <w:pPr>
        <w:pStyle w:val="4"/>
        <w:spacing w:before="0" w:after="100" w:afterAutospacing="1"/>
        <w:rPr>
          <w:rFonts w:ascii="宋体" w:hAnsi="宋体" w:cs="宋体"/>
          <w:spacing w:val="10"/>
          <w:highlight w:val="none"/>
        </w:rPr>
      </w:pPr>
      <w:bookmarkStart w:id="502" w:name="_Toc24708"/>
      <w:bookmarkStart w:id="503" w:name="_Toc5588"/>
      <w:bookmarkStart w:id="504" w:name="_Toc8562"/>
      <w:bookmarkStart w:id="505" w:name="_Toc13401"/>
      <w:bookmarkStart w:id="506" w:name="_Toc3657"/>
      <w:bookmarkStart w:id="507" w:name="_Toc22205"/>
      <w:bookmarkStart w:id="508" w:name="_Toc258923307"/>
      <w:r>
        <w:rPr>
          <w:rFonts w:hint="eastAsia" w:ascii="宋体" w:hAnsi="宋体" w:cs="宋体"/>
          <w:spacing w:val="10"/>
          <w:highlight w:val="none"/>
        </w:rPr>
        <w:t>7.开标一览表</w:t>
      </w:r>
      <w:bookmarkEnd w:id="502"/>
      <w:bookmarkEnd w:id="503"/>
      <w:bookmarkEnd w:id="504"/>
      <w:bookmarkEnd w:id="505"/>
      <w:bookmarkEnd w:id="506"/>
      <w:bookmarkEnd w:id="507"/>
      <w:bookmarkEnd w:id="508"/>
    </w:p>
    <w:p>
      <w:pPr>
        <w:spacing w:line="276" w:lineRule="auto"/>
        <w:ind w:firstLine="260" w:firstLineChars="100"/>
        <w:rPr>
          <w:rFonts w:ascii="宋体" w:hAnsi="宋体" w:cs="宋体"/>
          <w:spacing w:val="10"/>
          <w:sz w:val="24"/>
          <w:highlight w:val="none"/>
          <w:u w:val="single"/>
          <w:bdr w:val="single" w:color="auto" w:sz="4" w:space="0"/>
        </w:rPr>
      </w:pPr>
      <w:r>
        <w:rPr>
          <w:rFonts w:hint="eastAsia" w:ascii="宋体" w:hAnsi="宋体" w:cs="宋体"/>
          <w:spacing w:val="10"/>
          <w:sz w:val="24"/>
          <w:highlight w:val="none"/>
        </w:rPr>
        <w:t>项目名称：</w:t>
      </w:r>
    </w:p>
    <w:p>
      <w:pPr>
        <w:spacing w:line="276" w:lineRule="auto"/>
        <w:ind w:firstLine="260" w:firstLineChars="100"/>
        <w:rPr>
          <w:rFonts w:hint="eastAsia" w:ascii="宋体" w:hAnsi="宋体" w:cs="宋体"/>
          <w:spacing w:val="10"/>
          <w:sz w:val="24"/>
          <w:highlight w:val="none"/>
        </w:rPr>
      </w:pPr>
      <w:r>
        <w:rPr>
          <w:rFonts w:hint="eastAsia" w:ascii="宋体" w:hAnsi="宋体" w:cs="宋体"/>
          <w:spacing w:val="10"/>
          <w:sz w:val="24"/>
          <w:highlight w:val="none"/>
        </w:rPr>
        <w:t>招标编号：</w:t>
      </w:r>
    </w:p>
    <w:p>
      <w:pPr>
        <w:pStyle w:val="19"/>
        <w:rPr>
          <w:highlight w:val="none"/>
        </w:rPr>
      </w:pPr>
      <w:r>
        <w:rPr>
          <w:rFonts w:hint="eastAsia" w:ascii="宋体" w:hAnsi="宋体" w:cs="宋体"/>
          <w:spacing w:val="10"/>
          <w:sz w:val="24"/>
          <w:highlight w:val="none"/>
          <w:lang w:val="en-US" w:eastAsia="zh-CN"/>
        </w:rPr>
        <w:t xml:space="preserve"> </w:t>
      </w:r>
      <w:r>
        <w:rPr>
          <w:rFonts w:hint="eastAsia" w:ascii="宋体" w:hAnsi="宋体" w:cs="宋体"/>
          <w:spacing w:val="10"/>
          <w:sz w:val="24"/>
          <w:highlight w:val="none"/>
        </w:rPr>
        <w:t>投标人名称：</w:t>
      </w:r>
    </w:p>
    <w:tbl>
      <w:tblPr>
        <w:tblStyle w:val="38"/>
        <w:tblW w:w="46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711"/>
        <w:gridCol w:w="790"/>
        <w:gridCol w:w="607"/>
        <w:gridCol w:w="735"/>
        <w:gridCol w:w="712"/>
        <w:gridCol w:w="631"/>
        <w:gridCol w:w="456"/>
        <w:gridCol w:w="456"/>
        <w:gridCol w:w="1249"/>
        <w:gridCol w:w="1220"/>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70"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序号</w:t>
            </w:r>
          </w:p>
        </w:tc>
        <w:tc>
          <w:tcPr>
            <w:tcW w:w="396"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名称</w:t>
            </w:r>
          </w:p>
        </w:tc>
        <w:tc>
          <w:tcPr>
            <w:tcW w:w="440"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型号规格</w:t>
            </w:r>
          </w:p>
        </w:tc>
        <w:tc>
          <w:tcPr>
            <w:tcW w:w="338"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品牌</w:t>
            </w:r>
          </w:p>
        </w:tc>
        <w:tc>
          <w:tcPr>
            <w:tcW w:w="409"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396" w:type="pct"/>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ascii="宋体" w:hAnsi="宋体" w:eastAsia="宋体"/>
                <w:color w:val="auto"/>
                <w:sz w:val="24"/>
                <w:highlight w:val="none"/>
                <w:lang w:eastAsia="zh-CN"/>
              </w:rPr>
            </w:pPr>
            <w:r>
              <w:rPr>
                <w:rFonts w:hint="eastAsia"/>
                <w:color w:val="auto"/>
                <w:sz w:val="24"/>
                <w:highlight w:val="none"/>
                <w:lang w:eastAsia="zh-CN"/>
              </w:rPr>
              <w:t>证号</w:t>
            </w:r>
          </w:p>
        </w:tc>
        <w:tc>
          <w:tcPr>
            <w:tcW w:w="351"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国别</w:t>
            </w:r>
          </w:p>
        </w:tc>
        <w:tc>
          <w:tcPr>
            <w:tcW w:w="254" w:type="pct"/>
            <w:noWrap w:val="0"/>
            <w:vAlign w:val="center"/>
          </w:tcPr>
          <w:p>
            <w:pPr>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数量</w:t>
            </w:r>
          </w:p>
        </w:tc>
        <w:tc>
          <w:tcPr>
            <w:tcW w:w="253" w:type="pct"/>
            <w:noWrap w:val="0"/>
            <w:vAlign w:val="center"/>
          </w:tcPr>
          <w:p>
            <w:pPr>
              <w:spacing w:line="360" w:lineRule="auto"/>
              <w:rPr>
                <w:rFonts w:hint="eastAsia" w:ascii="宋体" w:hAnsi="宋体"/>
                <w:color w:val="auto"/>
                <w:sz w:val="24"/>
                <w:highlight w:val="none"/>
              </w:rPr>
            </w:pPr>
            <w:r>
              <w:rPr>
                <w:rFonts w:hint="eastAsia"/>
                <w:color w:val="auto"/>
                <w:sz w:val="24"/>
                <w:highlight w:val="none"/>
                <w:lang w:eastAsia="zh-CN"/>
              </w:rPr>
              <w:t>单位</w:t>
            </w:r>
          </w:p>
        </w:tc>
        <w:tc>
          <w:tcPr>
            <w:tcW w:w="695" w:type="pct"/>
            <w:noWrap w:val="0"/>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投标</w:t>
            </w:r>
            <w:r>
              <w:rPr>
                <w:rFonts w:hint="eastAsia"/>
                <w:color w:val="auto"/>
                <w:sz w:val="24"/>
                <w:highlight w:val="none"/>
                <w:lang w:val="en-US" w:eastAsia="zh-CN"/>
              </w:rPr>
              <w:t>单</w:t>
            </w:r>
            <w:r>
              <w:rPr>
                <w:rFonts w:hint="eastAsia"/>
                <w:color w:val="auto"/>
                <w:sz w:val="24"/>
                <w:highlight w:val="none"/>
                <w:lang w:eastAsia="zh-CN"/>
              </w:rPr>
              <w:t>价</w:t>
            </w: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（万元）</w:t>
            </w:r>
          </w:p>
        </w:tc>
        <w:tc>
          <w:tcPr>
            <w:tcW w:w="674" w:type="pct"/>
            <w:noWrap w:val="0"/>
            <w:vAlign w:val="center"/>
          </w:tcPr>
          <w:p>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投标</w:t>
            </w:r>
            <w:r>
              <w:rPr>
                <w:rFonts w:hint="eastAsia"/>
                <w:color w:val="auto"/>
                <w:sz w:val="24"/>
                <w:highlight w:val="none"/>
                <w:lang w:eastAsia="zh-CN"/>
              </w:rPr>
              <w:t>总价</w:t>
            </w: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（万元）</w:t>
            </w:r>
          </w:p>
        </w:tc>
        <w:tc>
          <w:tcPr>
            <w:tcW w:w="518" w:type="pct"/>
            <w:noWrap w:val="0"/>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0" w:type="pct"/>
            <w:noWrap w:val="0"/>
            <w:vAlign w:val="center"/>
          </w:tcPr>
          <w:p>
            <w:pPr>
              <w:spacing w:line="360" w:lineRule="auto"/>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1</w:t>
            </w:r>
          </w:p>
        </w:tc>
        <w:tc>
          <w:tcPr>
            <w:tcW w:w="396" w:type="pct"/>
            <w:noWrap w:val="0"/>
            <w:vAlign w:val="center"/>
          </w:tcPr>
          <w:p>
            <w:pPr>
              <w:spacing w:line="360" w:lineRule="auto"/>
              <w:jc w:val="center"/>
              <w:rPr>
                <w:rFonts w:hint="eastAsia" w:ascii="宋体" w:hAnsi="宋体"/>
                <w:color w:val="auto"/>
                <w:sz w:val="24"/>
                <w:highlight w:val="none"/>
              </w:rPr>
            </w:pPr>
          </w:p>
        </w:tc>
        <w:tc>
          <w:tcPr>
            <w:tcW w:w="440" w:type="pct"/>
            <w:noWrap w:val="0"/>
            <w:vAlign w:val="center"/>
          </w:tcPr>
          <w:p>
            <w:pPr>
              <w:spacing w:line="360" w:lineRule="auto"/>
              <w:jc w:val="center"/>
              <w:rPr>
                <w:rFonts w:hint="eastAsia" w:ascii="宋体" w:hAnsi="宋体"/>
                <w:color w:val="auto"/>
                <w:sz w:val="24"/>
                <w:highlight w:val="none"/>
              </w:rPr>
            </w:pPr>
          </w:p>
        </w:tc>
        <w:tc>
          <w:tcPr>
            <w:tcW w:w="338" w:type="pct"/>
            <w:noWrap w:val="0"/>
            <w:vAlign w:val="center"/>
          </w:tcPr>
          <w:p>
            <w:pPr>
              <w:spacing w:line="360" w:lineRule="auto"/>
              <w:jc w:val="center"/>
              <w:rPr>
                <w:rFonts w:hint="eastAsia" w:ascii="宋体" w:hAnsi="宋体"/>
                <w:color w:val="auto"/>
                <w:sz w:val="24"/>
                <w:highlight w:val="none"/>
              </w:rPr>
            </w:pPr>
          </w:p>
        </w:tc>
        <w:tc>
          <w:tcPr>
            <w:tcW w:w="409" w:type="pct"/>
            <w:noWrap w:val="0"/>
            <w:vAlign w:val="center"/>
          </w:tcPr>
          <w:p>
            <w:pPr>
              <w:spacing w:line="360" w:lineRule="auto"/>
              <w:jc w:val="center"/>
              <w:rPr>
                <w:rFonts w:hint="eastAsia" w:ascii="宋体" w:hAnsi="宋体"/>
                <w:color w:val="auto"/>
                <w:sz w:val="24"/>
                <w:highlight w:val="none"/>
              </w:rPr>
            </w:pPr>
          </w:p>
        </w:tc>
        <w:tc>
          <w:tcPr>
            <w:tcW w:w="396" w:type="pct"/>
            <w:noWrap w:val="0"/>
            <w:vAlign w:val="center"/>
          </w:tcPr>
          <w:p>
            <w:pPr>
              <w:spacing w:line="360" w:lineRule="auto"/>
              <w:jc w:val="center"/>
              <w:rPr>
                <w:rFonts w:hint="eastAsia" w:ascii="宋体" w:hAnsi="宋体"/>
                <w:color w:val="auto"/>
                <w:sz w:val="24"/>
                <w:highlight w:val="none"/>
              </w:rPr>
            </w:pPr>
          </w:p>
        </w:tc>
        <w:tc>
          <w:tcPr>
            <w:tcW w:w="351" w:type="pct"/>
            <w:noWrap w:val="0"/>
            <w:vAlign w:val="center"/>
          </w:tcPr>
          <w:p>
            <w:pPr>
              <w:spacing w:line="360" w:lineRule="auto"/>
              <w:jc w:val="center"/>
              <w:rPr>
                <w:rFonts w:hint="eastAsia" w:ascii="宋体" w:hAnsi="宋体"/>
                <w:color w:val="auto"/>
                <w:sz w:val="24"/>
                <w:highlight w:val="none"/>
              </w:rPr>
            </w:pPr>
          </w:p>
        </w:tc>
        <w:tc>
          <w:tcPr>
            <w:tcW w:w="254" w:type="pct"/>
            <w:noWrap w:val="0"/>
            <w:vAlign w:val="center"/>
          </w:tcPr>
          <w:p>
            <w:pPr>
              <w:spacing w:line="360" w:lineRule="auto"/>
              <w:jc w:val="center"/>
              <w:rPr>
                <w:rFonts w:hint="eastAsia" w:ascii="宋体" w:hAnsi="宋体"/>
                <w:color w:val="auto"/>
                <w:sz w:val="24"/>
                <w:highlight w:val="none"/>
              </w:rPr>
            </w:pPr>
          </w:p>
        </w:tc>
        <w:tc>
          <w:tcPr>
            <w:tcW w:w="253" w:type="pct"/>
            <w:noWrap w:val="0"/>
            <w:vAlign w:val="center"/>
          </w:tcPr>
          <w:p>
            <w:pPr>
              <w:spacing w:line="360" w:lineRule="auto"/>
              <w:jc w:val="center"/>
              <w:rPr>
                <w:rFonts w:hint="eastAsia" w:ascii="宋体" w:hAnsi="宋体"/>
                <w:color w:val="auto"/>
                <w:sz w:val="24"/>
                <w:highlight w:val="none"/>
              </w:rPr>
            </w:pPr>
          </w:p>
        </w:tc>
        <w:tc>
          <w:tcPr>
            <w:tcW w:w="695" w:type="pct"/>
            <w:noWrap w:val="0"/>
            <w:vAlign w:val="center"/>
          </w:tcPr>
          <w:p>
            <w:pPr>
              <w:spacing w:line="360" w:lineRule="auto"/>
              <w:jc w:val="center"/>
              <w:rPr>
                <w:rFonts w:hint="eastAsia" w:ascii="宋体" w:hAnsi="宋体"/>
                <w:color w:val="auto"/>
                <w:sz w:val="24"/>
                <w:highlight w:val="none"/>
              </w:rPr>
            </w:pPr>
          </w:p>
        </w:tc>
        <w:tc>
          <w:tcPr>
            <w:tcW w:w="674" w:type="pct"/>
            <w:noWrap w:val="0"/>
            <w:vAlign w:val="center"/>
          </w:tcPr>
          <w:p>
            <w:pPr>
              <w:spacing w:line="360" w:lineRule="auto"/>
              <w:jc w:val="center"/>
              <w:rPr>
                <w:rFonts w:hint="eastAsia" w:ascii="宋体" w:hAnsi="宋体"/>
                <w:color w:val="auto"/>
                <w:sz w:val="24"/>
                <w:highlight w:val="none"/>
              </w:rPr>
            </w:pPr>
          </w:p>
        </w:tc>
        <w:tc>
          <w:tcPr>
            <w:tcW w:w="518" w:type="pct"/>
            <w:noWrap w:val="0"/>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0" w:type="pct"/>
            <w:noWrap w:val="0"/>
            <w:vAlign w:val="center"/>
          </w:tcPr>
          <w:p>
            <w:pPr>
              <w:spacing w:line="360" w:lineRule="auto"/>
              <w:jc w:val="center"/>
              <w:rPr>
                <w:rFonts w:hint="eastAsia" w:ascii="宋体" w:hAnsi="宋体" w:eastAsia="宋体"/>
                <w:color w:val="auto"/>
                <w:sz w:val="24"/>
                <w:highlight w:val="none"/>
                <w:lang w:val="en-US" w:eastAsia="zh-CN"/>
              </w:rPr>
            </w:pPr>
            <w:r>
              <w:rPr>
                <w:rFonts w:hint="eastAsia"/>
                <w:color w:val="auto"/>
                <w:sz w:val="24"/>
                <w:highlight w:val="none"/>
                <w:lang w:val="en-US" w:eastAsia="zh-CN"/>
              </w:rPr>
              <w:t>2</w:t>
            </w:r>
          </w:p>
        </w:tc>
        <w:tc>
          <w:tcPr>
            <w:tcW w:w="396" w:type="pct"/>
            <w:noWrap w:val="0"/>
            <w:vAlign w:val="center"/>
          </w:tcPr>
          <w:p>
            <w:pPr>
              <w:spacing w:line="360" w:lineRule="auto"/>
              <w:jc w:val="center"/>
              <w:rPr>
                <w:rFonts w:hint="eastAsia" w:ascii="宋体" w:hAnsi="宋体"/>
                <w:color w:val="auto"/>
                <w:sz w:val="24"/>
                <w:highlight w:val="none"/>
              </w:rPr>
            </w:pPr>
          </w:p>
        </w:tc>
        <w:tc>
          <w:tcPr>
            <w:tcW w:w="440" w:type="pct"/>
            <w:noWrap w:val="0"/>
            <w:vAlign w:val="center"/>
          </w:tcPr>
          <w:p>
            <w:pPr>
              <w:spacing w:line="360" w:lineRule="auto"/>
              <w:jc w:val="center"/>
              <w:rPr>
                <w:rFonts w:hint="eastAsia" w:ascii="宋体" w:hAnsi="宋体"/>
                <w:color w:val="auto"/>
                <w:sz w:val="24"/>
                <w:highlight w:val="none"/>
              </w:rPr>
            </w:pPr>
          </w:p>
        </w:tc>
        <w:tc>
          <w:tcPr>
            <w:tcW w:w="338" w:type="pct"/>
            <w:noWrap w:val="0"/>
            <w:vAlign w:val="center"/>
          </w:tcPr>
          <w:p>
            <w:pPr>
              <w:spacing w:line="360" w:lineRule="auto"/>
              <w:jc w:val="center"/>
              <w:rPr>
                <w:rFonts w:hint="eastAsia" w:ascii="宋体" w:hAnsi="宋体"/>
                <w:color w:val="auto"/>
                <w:sz w:val="24"/>
                <w:highlight w:val="none"/>
              </w:rPr>
            </w:pPr>
          </w:p>
        </w:tc>
        <w:tc>
          <w:tcPr>
            <w:tcW w:w="409" w:type="pct"/>
            <w:noWrap w:val="0"/>
            <w:vAlign w:val="center"/>
          </w:tcPr>
          <w:p>
            <w:pPr>
              <w:spacing w:line="360" w:lineRule="auto"/>
              <w:jc w:val="center"/>
              <w:rPr>
                <w:rFonts w:hint="eastAsia" w:ascii="宋体" w:hAnsi="宋体"/>
                <w:color w:val="auto"/>
                <w:sz w:val="24"/>
                <w:highlight w:val="none"/>
              </w:rPr>
            </w:pPr>
          </w:p>
        </w:tc>
        <w:tc>
          <w:tcPr>
            <w:tcW w:w="396" w:type="pct"/>
            <w:noWrap w:val="0"/>
            <w:vAlign w:val="center"/>
          </w:tcPr>
          <w:p>
            <w:pPr>
              <w:spacing w:line="360" w:lineRule="auto"/>
              <w:jc w:val="center"/>
              <w:rPr>
                <w:rFonts w:hint="eastAsia" w:ascii="宋体" w:hAnsi="宋体"/>
                <w:color w:val="auto"/>
                <w:sz w:val="24"/>
                <w:highlight w:val="none"/>
              </w:rPr>
            </w:pPr>
          </w:p>
        </w:tc>
        <w:tc>
          <w:tcPr>
            <w:tcW w:w="351" w:type="pct"/>
            <w:noWrap w:val="0"/>
            <w:vAlign w:val="center"/>
          </w:tcPr>
          <w:p>
            <w:pPr>
              <w:spacing w:line="360" w:lineRule="auto"/>
              <w:jc w:val="center"/>
              <w:rPr>
                <w:rFonts w:hint="eastAsia" w:ascii="宋体" w:hAnsi="宋体"/>
                <w:color w:val="auto"/>
                <w:sz w:val="24"/>
                <w:highlight w:val="none"/>
              </w:rPr>
            </w:pPr>
          </w:p>
        </w:tc>
        <w:tc>
          <w:tcPr>
            <w:tcW w:w="254" w:type="pct"/>
            <w:noWrap w:val="0"/>
            <w:vAlign w:val="center"/>
          </w:tcPr>
          <w:p>
            <w:pPr>
              <w:spacing w:line="360" w:lineRule="auto"/>
              <w:jc w:val="center"/>
              <w:rPr>
                <w:rFonts w:hint="eastAsia" w:ascii="宋体" w:hAnsi="宋体"/>
                <w:color w:val="auto"/>
                <w:sz w:val="24"/>
                <w:highlight w:val="none"/>
              </w:rPr>
            </w:pPr>
          </w:p>
        </w:tc>
        <w:tc>
          <w:tcPr>
            <w:tcW w:w="253" w:type="pct"/>
            <w:noWrap w:val="0"/>
            <w:vAlign w:val="center"/>
          </w:tcPr>
          <w:p>
            <w:pPr>
              <w:spacing w:line="360" w:lineRule="auto"/>
              <w:jc w:val="center"/>
              <w:rPr>
                <w:rFonts w:hint="eastAsia" w:ascii="宋体" w:hAnsi="宋体"/>
                <w:color w:val="auto"/>
                <w:sz w:val="24"/>
                <w:highlight w:val="none"/>
              </w:rPr>
            </w:pPr>
          </w:p>
        </w:tc>
        <w:tc>
          <w:tcPr>
            <w:tcW w:w="695" w:type="pct"/>
            <w:noWrap w:val="0"/>
            <w:vAlign w:val="center"/>
          </w:tcPr>
          <w:p>
            <w:pPr>
              <w:spacing w:line="360" w:lineRule="auto"/>
              <w:jc w:val="center"/>
              <w:rPr>
                <w:rFonts w:hint="eastAsia" w:ascii="宋体" w:hAnsi="宋体"/>
                <w:color w:val="auto"/>
                <w:sz w:val="24"/>
                <w:highlight w:val="none"/>
              </w:rPr>
            </w:pPr>
          </w:p>
        </w:tc>
        <w:tc>
          <w:tcPr>
            <w:tcW w:w="674" w:type="pct"/>
            <w:noWrap w:val="0"/>
            <w:vAlign w:val="center"/>
          </w:tcPr>
          <w:p>
            <w:pPr>
              <w:spacing w:line="360" w:lineRule="auto"/>
              <w:jc w:val="center"/>
              <w:rPr>
                <w:rFonts w:hint="eastAsia" w:ascii="宋体" w:hAnsi="宋体"/>
                <w:color w:val="auto"/>
                <w:sz w:val="24"/>
                <w:highlight w:val="none"/>
              </w:rPr>
            </w:pPr>
          </w:p>
        </w:tc>
        <w:tc>
          <w:tcPr>
            <w:tcW w:w="518" w:type="pct"/>
            <w:noWrap w:val="0"/>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481" w:type="pct"/>
            <w:gridSpan w:val="11"/>
            <w:tcBorders>
              <w:bottom w:val="single" w:color="auto" w:sz="4" w:space="0"/>
            </w:tcBorders>
            <w:noWrap w:val="0"/>
            <w:vAlign w:val="center"/>
          </w:tcPr>
          <w:p>
            <w:pPr>
              <w:spacing w:line="360" w:lineRule="auto"/>
              <w:rPr>
                <w:rFonts w:hint="eastAsia" w:ascii="宋体" w:hAnsi="宋体"/>
                <w:color w:val="auto"/>
                <w:sz w:val="24"/>
                <w:highlight w:val="none"/>
              </w:rPr>
            </w:pPr>
            <w:r>
              <w:rPr>
                <w:rFonts w:hint="eastAsia" w:ascii="宋体" w:hAnsi="宋体"/>
                <w:color w:val="auto"/>
                <w:sz w:val="24"/>
                <w:highlight w:val="none"/>
              </w:rPr>
              <w:t>投标总价（大、小写）：</w:t>
            </w:r>
          </w:p>
        </w:tc>
        <w:tc>
          <w:tcPr>
            <w:tcW w:w="518" w:type="pct"/>
            <w:tcBorders>
              <w:bottom w:val="single" w:color="auto" w:sz="4" w:space="0"/>
            </w:tcBorders>
            <w:noWrap w:val="0"/>
            <w:vAlign w:val="center"/>
          </w:tcPr>
          <w:p>
            <w:pPr>
              <w:spacing w:line="360" w:lineRule="auto"/>
              <w:rPr>
                <w:rFonts w:hint="eastAsia" w:ascii="宋体" w:hAnsi="宋体"/>
                <w:color w:val="auto"/>
                <w:sz w:val="24"/>
                <w:highlight w:val="none"/>
              </w:rPr>
            </w:pPr>
          </w:p>
        </w:tc>
      </w:tr>
    </w:tbl>
    <w:p>
      <w:pPr>
        <w:spacing w:line="360" w:lineRule="auto"/>
        <w:ind w:right="480"/>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spacing w:line="360" w:lineRule="auto"/>
        <w:ind w:right="480"/>
        <w:rPr>
          <w:rFonts w:ascii="宋体" w:hAnsi="宋体" w:cs="宋体"/>
          <w:spacing w:val="10"/>
          <w:sz w:val="24"/>
          <w:highlight w:val="none"/>
          <w:u w:val="single"/>
        </w:rPr>
      </w:pPr>
    </w:p>
    <w:p>
      <w:pPr>
        <w:pStyle w:val="30"/>
        <w:ind w:left="0" w:leftChars="0"/>
        <w:rPr>
          <w:rFonts w:ascii="宋体" w:hAnsi="宋体" w:cs="宋体"/>
          <w:b/>
          <w:bCs/>
          <w:spacing w:val="10"/>
          <w:sz w:val="24"/>
          <w:highlight w:val="none"/>
        </w:rPr>
      </w:pPr>
      <w:r>
        <w:rPr>
          <w:rFonts w:hint="eastAsia" w:ascii="宋体" w:hAnsi="宋体" w:cs="宋体"/>
          <w:b/>
          <w:bCs/>
          <w:spacing w:val="10"/>
          <w:sz w:val="24"/>
          <w:highlight w:val="none"/>
        </w:rPr>
        <w:t>注：1.报价应是最终用户验收合格后的总价，包括招标文件规定、要求和涵盖的全部费用。</w:t>
      </w:r>
    </w:p>
    <w:p>
      <w:pPr>
        <w:ind w:firstLine="522" w:firstLineChars="200"/>
        <w:rPr>
          <w:rFonts w:ascii="宋体" w:hAnsi="宋体" w:cs="宋体"/>
          <w:b/>
          <w:bCs/>
          <w:spacing w:val="10"/>
          <w:sz w:val="24"/>
          <w:highlight w:val="none"/>
        </w:rPr>
      </w:pPr>
      <w:r>
        <w:rPr>
          <w:rFonts w:hint="eastAsia" w:ascii="宋体" w:hAnsi="宋体" w:cs="宋体"/>
          <w:b/>
          <w:bCs/>
          <w:spacing w:val="10"/>
          <w:sz w:val="24"/>
          <w:highlight w:val="none"/>
        </w:rPr>
        <w:t>2.“开标一览表”必须签字盖章，否则为无效投标。单独提交“开标一览表”为多页的，每页均需由法定代表人或委托代理人签字并盖投标人印章，并必须装订，否则为无效投标。</w:t>
      </w:r>
    </w:p>
    <w:p>
      <w:pPr>
        <w:pStyle w:val="30"/>
        <w:ind w:left="0" w:leftChars="0" w:firstLine="522" w:firstLineChars="200"/>
        <w:rPr>
          <w:rFonts w:ascii="宋体" w:hAnsi="宋体" w:cs="宋体"/>
          <w:b/>
          <w:bCs/>
          <w:spacing w:val="10"/>
          <w:sz w:val="24"/>
          <w:highlight w:val="none"/>
        </w:rPr>
      </w:pPr>
      <w:r>
        <w:rPr>
          <w:rFonts w:hint="eastAsia" w:ascii="宋体" w:hAnsi="宋体" w:cs="宋体"/>
          <w:b/>
          <w:bCs/>
          <w:spacing w:val="10"/>
          <w:sz w:val="24"/>
          <w:highlight w:val="none"/>
        </w:rPr>
        <w:t>3.“开标一览表”除在投标文件中提交外，还需单独密封递交一份，未单独密封递交的视为无效投标。</w:t>
      </w:r>
    </w:p>
    <w:p>
      <w:pPr>
        <w:spacing w:line="360" w:lineRule="auto"/>
        <w:ind w:firstLine="522" w:firstLineChars="200"/>
        <w:rPr>
          <w:rFonts w:ascii="宋体" w:hAnsi="宋体" w:cs="宋体"/>
          <w:b/>
          <w:bCs/>
          <w:spacing w:val="10"/>
          <w:sz w:val="24"/>
          <w:highlight w:val="none"/>
          <w:u w:val="single"/>
        </w:rPr>
      </w:pPr>
      <w:r>
        <w:rPr>
          <w:rFonts w:hint="eastAsia" w:ascii="宋体" w:hAnsi="宋体" w:cs="宋体"/>
          <w:b/>
          <w:bCs/>
          <w:spacing w:val="10"/>
          <w:sz w:val="24"/>
          <w:highlight w:val="none"/>
        </w:rPr>
        <w:t>4.单独递交的开标一览表必须与投标文件中开标一览表内容一致，若不一致的，以单独递交的开标一览表为准。在开标现场，投标人必须对唱标的内容进行确认，不确认的视为无效投标。</w:t>
      </w:r>
    </w:p>
    <w:p>
      <w:pPr>
        <w:pStyle w:val="30"/>
        <w:spacing w:line="360" w:lineRule="auto"/>
        <w:rPr>
          <w:rFonts w:ascii="宋体" w:hAnsi="宋体" w:cs="宋体"/>
          <w:spacing w:val="10"/>
          <w:sz w:val="24"/>
          <w:highlight w:val="none"/>
          <w:u w:val="single"/>
        </w:rPr>
      </w:pPr>
    </w:p>
    <w:p>
      <w:pPr>
        <w:rPr>
          <w:rFonts w:ascii="宋体" w:hAnsi="宋体" w:cs="宋体"/>
          <w:spacing w:val="10"/>
          <w:sz w:val="24"/>
          <w:highlight w:val="none"/>
          <w:u w:val="single"/>
        </w:rPr>
      </w:pPr>
    </w:p>
    <w:p>
      <w:pPr>
        <w:pStyle w:val="30"/>
        <w:rPr>
          <w:highlight w:val="none"/>
        </w:rPr>
      </w:pPr>
    </w:p>
    <w:p>
      <w:pPr>
        <w:spacing w:line="360" w:lineRule="auto"/>
        <w:rPr>
          <w:rFonts w:ascii="宋体" w:hAnsi="宋体" w:cs="宋体"/>
          <w:spacing w:val="10"/>
          <w:sz w:val="24"/>
          <w:highlight w:val="none"/>
          <w:u w:val="single"/>
        </w:rPr>
      </w:pPr>
    </w:p>
    <w:p>
      <w:pPr>
        <w:pStyle w:val="30"/>
        <w:spacing w:line="360" w:lineRule="auto"/>
        <w:rPr>
          <w:rFonts w:ascii="宋体" w:hAnsi="宋体" w:cs="宋体"/>
          <w:spacing w:val="10"/>
          <w:sz w:val="24"/>
          <w:highlight w:val="none"/>
          <w:u w:val="single"/>
        </w:rPr>
      </w:pPr>
    </w:p>
    <w:p>
      <w:pPr>
        <w:rPr>
          <w:highlight w:val="none"/>
        </w:rPr>
      </w:pPr>
    </w:p>
    <w:p>
      <w:pPr>
        <w:pStyle w:val="36"/>
        <w:rPr>
          <w:highlight w:val="none"/>
        </w:rPr>
      </w:pPr>
    </w:p>
    <w:p>
      <w:pPr>
        <w:pStyle w:val="36"/>
        <w:rPr>
          <w:highlight w:val="none"/>
        </w:rPr>
      </w:pPr>
    </w:p>
    <w:p>
      <w:pPr>
        <w:pStyle w:val="36"/>
        <w:rPr>
          <w:highlight w:val="none"/>
        </w:rPr>
      </w:pPr>
    </w:p>
    <w:p>
      <w:pPr>
        <w:spacing w:line="360" w:lineRule="auto"/>
        <w:rPr>
          <w:rFonts w:ascii="宋体" w:hAnsi="宋体" w:cs="宋体"/>
          <w:spacing w:val="10"/>
          <w:sz w:val="24"/>
          <w:highlight w:val="none"/>
          <w:u w:val="single"/>
        </w:rPr>
      </w:pPr>
    </w:p>
    <w:p>
      <w:pPr>
        <w:pStyle w:val="4"/>
        <w:spacing w:before="0" w:after="100" w:afterAutospacing="1"/>
        <w:rPr>
          <w:rFonts w:ascii="宋体" w:hAnsi="宋体" w:cs="宋体"/>
          <w:spacing w:val="10"/>
          <w:highlight w:val="none"/>
        </w:rPr>
      </w:pPr>
      <w:bookmarkStart w:id="509" w:name="_Toc11092"/>
      <w:bookmarkStart w:id="510" w:name="_Toc9716"/>
      <w:bookmarkStart w:id="511" w:name="_Toc20464"/>
      <w:bookmarkStart w:id="512" w:name="_Toc26051"/>
      <w:bookmarkStart w:id="513" w:name="_Toc30435"/>
      <w:bookmarkStart w:id="514" w:name="_Toc30284"/>
      <w:r>
        <w:rPr>
          <w:rFonts w:hint="eastAsia" w:ascii="宋体" w:hAnsi="宋体" w:cs="宋体"/>
          <w:spacing w:val="10"/>
          <w:highlight w:val="none"/>
        </w:rPr>
        <w:t>8.报价明细表</w:t>
      </w:r>
      <w:bookmarkEnd w:id="509"/>
      <w:bookmarkEnd w:id="510"/>
      <w:r>
        <w:rPr>
          <w:rFonts w:hint="eastAsia" w:ascii="宋体" w:hAnsi="宋体" w:cs="宋体"/>
          <w:spacing w:val="10"/>
          <w:highlight w:val="none"/>
        </w:rPr>
        <w:t>（投标人可根据实际情况进行调整）</w:t>
      </w:r>
      <w:bookmarkEnd w:id="511"/>
      <w:bookmarkEnd w:id="512"/>
      <w:bookmarkEnd w:id="513"/>
      <w:bookmarkEnd w:id="514"/>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031"/>
        <w:gridCol w:w="1036"/>
        <w:gridCol w:w="885"/>
        <w:gridCol w:w="989"/>
        <w:gridCol w:w="723"/>
        <w:gridCol w:w="776"/>
        <w:gridCol w:w="776"/>
        <w:gridCol w:w="853"/>
        <w:gridCol w:w="1010"/>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84"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539"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542"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463"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517"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378"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40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40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44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数量</w:t>
            </w:r>
          </w:p>
        </w:tc>
        <w:tc>
          <w:tcPr>
            <w:tcW w:w="52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总价</w:t>
            </w:r>
          </w:p>
        </w:tc>
        <w:tc>
          <w:tcPr>
            <w:tcW w:w="488"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84"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539" w:type="pct"/>
            <w:tcBorders>
              <w:top w:val="double" w:color="auto" w:sz="4" w:space="0"/>
            </w:tcBorders>
            <w:noWrap w:val="0"/>
            <w:vAlign w:val="top"/>
          </w:tcPr>
          <w:p>
            <w:pPr>
              <w:spacing w:line="360" w:lineRule="auto"/>
              <w:rPr>
                <w:rFonts w:hint="eastAsia"/>
                <w:sz w:val="24"/>
                <w:highlight w:val="none"/>
              </w:rPr>
            </w:pPr>
          </w:p>
        </w:tc>
        <w:tc>
          <w:tcPr>
            <w:tcW w:w="542" w:type="pct"/>
            <w:tcBorders>
              <w:top w:val="double" w:color="auto" w:sz="4" w:space="0"/>
            </w:tcBorders>
            <w:noWrap w:val="0"/>
            <w:vAlign w:val="top"/>
          </w:tcPr>
          <w:p>
            <w:pPr>
              <w:spacing w:line="360" w:lineRule="auto"/>
              <w:rPr>
                <w:rFonts w:hint="eastAsia"/>
                <w:sz w:val="24"/>
                <w:highlight w:val="none"/>
              </w:rPr>
            </w:pPr>
          </w:p>
        </w:tc>
        <w:tc>
          <w:tcPr>
            <w:tcW w:w="463" w:type="pct"/>
            <w:tcBorders>
              <w:top w:val="double" w:color="auto" w:sz="4" w:space="0"/>
            </w:tcBorders>
            <w:noWrap w:val="0"/>
            <w:vAlign w:val="top"/>
          </w:tcPr>
          <w:p>
            <w:pPr>
              <w:spacing w:line="360" w:lineRule="auto"/>
              <w:rPr>
                <w:rFonts w:hint="eastAsia"/>
                <w:sz w:val="24"/>
                <w:highlight w:val="none"/>
              </w:rPr>
            </w:pPr>
          </w:p>
        </w:tc>
        <w:tc>
          <w:tcPr>
            <w:tcW w:w="517" w:type="pct"/>
            <w:tcBorders>
              <w:top w:val="double" w:color="auto" w:sz="4" w:space="0"/>
            </w:tcBorders>
            <w:noWrap w:val="0"/>
            <w:vAlign w:val="top"/>
          </w:tcPr>
          <w:p>
            <w:pPr>
              <w:spacing w:line="360" w:lineRule="auto"/>
              <w:rPr>
                <w:rFonts w:hint="eastAsia"/>
                <w:sz w:val="24"/>
                <w:highlight w:val="none"/>
              </w:rPr>
            </w:pPr>
          </w:p>
        </w:tc>
        <w:tc>
          <w:tcPr>
            <w:tcW w:w="378" w:type="pct"/>
            <w:tcBorders>
              <w:top w:val="double" w:color="auto" w:sz="4" w:space="0"/>
            </w:tcBorders>
            <w:noWrap w:val="0"/>
            <w:vAlign w:val="top"/>
          </w:tcPr>
          <w:p>
            <w:pPr>
              <w:spacing w:line="360" w:lineRule="auto"/>
              <w:rPr>
                <w:rFonts w:hint="eastAsia"/>
                <w:sz w:val="24"/>
                <w:highlight w:val="none"/>
              </w:rPr>
            </w:pPr>
          </w:p>
        </w:tc>
        <w:tc>
          <w:tcPr>
            <w:tcW w:w="406" w:type="pct"/>
            <w:tcBorders>
              <w:top w:val="double" w:color="auto" w:sz="4" w:space="0"/>
            </w:tcBorders>
            <w:noWrap w:val="0"/>
            <w:vAlign w:val="top"/>
          </w:tcPr>
          <w:p>
            <w:pPr>
              <w:spacing w:line="360" w:lineRule="auto"/>
              <w:rPr>
                <w:rFonts w:hint="eastAsia"/>
                <w:sz w:val="24"/>
                <w:highlight w:val="none"/>
              </w:rPr>
            </w:pPr>
          </w:p>
        </w:tc>
        <w:tc>
          <w:tcPr>
            <w:tcW w:w="406" w:type="pct"/>
            <w:tcBorders>
              <w:top w:val="double" w:color="auto" w:sz="4" w:space="0"/>
            </w:tcBorders>
            <w:noWrap w:val="0"/>
            <w:vAlign w:val="top"/>
          </w:tcPr>
          <w:p>
            <w:pPr>
              <w:spacing w:line="360" w:lineRule="auto"/>
              <w:rPr>
                <w:rFonts w:hint="eastAsia"/>
                <w:sz w:val="24"/>
                <w:highlight w:val="none"/>
              </w:rPr>
            </w:pPr>
          </w:p>
        </w:tc>
        <w:tc>
          <w:tcPr>
            <w:tcW w:w="446" w:type="pct"/>
            <w:tcBorders>
              <w:top w:val="double" w:color="auto" w:sz="4" w:space="0"/>
            </w:tcBorders>
            <w:noWrap w:val="0"/>
            <w:vAlign w:val="top"/>
          </w:tcPr>
          <w:p>
            <w:pPr>
              <w:spacing w:line="360" w:lineRule="auto"/>
              <w:rPr>
                <w:rFonts w:hint="eastAsia"/>
                <w:sz w:val="24"/>
                <w:highlight w:val="none"/>
              </w:rPr>
            </w:pPr>
          </w:p>
        </w:tc>
        <w:tc>
          <w:tcPr>
            <w:tcW w:w="528" w:type="pct"/>
            <w:tcBorders>
              <w:top w:val="double" w:color="auto" w:sz="4" w:space="0"/>
            </w:tcBorders>
            <w:noWrap w:val="0"/>
            <w:vAlign w:val="top"/>
          </w:tcPr>
          <w:p>
            <w:pPr>
              <w:spacing w:line="360" w:lineRule="auto"/>
              <w:rPr>
                <w:rFonts w:hint="eastAsia"/>
                <w:sz w:val="24"/>
                <w:highlight w:val="none"/>
              </w:rPr>
            </w:pPr>
          </w:p>
        </w:tc>
        <w:tc>
          <w:tcPr>
            <w:tcW w:w="488"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4" w:type="pct"/>
            <w:tcBorders>
              <w:left w:val="double" w:color="auto" w:sz="4" w:space="0"/>
            </w:tcBorders>
            <w:noWrap w:val="0"/>
            <w:vAlign w:val="top"/>
          </w:tcPr>
          <w:p>
            <w:pPr>
              <w:spacing w:line="360" w:lineRule="auto"/>
              <w:rPr>
                <w:rFonts w:hint="eastAsia"/>
                <w:sz w:val="24"/>
                <w:highlight w:val="none"/>
              </w:rPr>
            </w:pPr>
          </w:p>
        </w:tc>
        <w:tc>
          <w:tcPr>
            <w:tcW w:w="539" w:type="pct"/>
            <w:noWrap w:val="0"/>
            <w:vAlign w:val="top"/>
          </w:tcPr>
          <w:p>
            <w:pPr>
              <w:spacing w:line="360" w:lineRule="auto"/>
              <w:rPr>
                <w:rFonts w:hint="eastAsia"/>
                <w:sz w:val="24"/>
                <w:highlight w:val="none"/>
              </w:rPr>
            </w:pPr>
          </w:p>
        </w:tc>
        <w:tc>
          <w:tcPr>
            <w:tcW w:w="542" w:type="pct"/>
            <w:noWrap w:val="0"/>
            <w:vAlign w:val="top"/>
          </w:tcPr>
          <w:p>
            <w:pPr>
              <w:spacing w:line="360" w:lineRule="auto"/>
              <w:rPr>
                <w:rFonts w:hint="eastAsia"/>
                <w:sz w:val="24"/>
                <w:highlight w:val="none"/>
              </w:rPr>
            </w:pPr>
          </w:p>
        </w:tc>
        <w:tc>
          <w:tcPr>
            <w:tcW w:w="463" w:type="pct"/>
            <w:noWrap w:val="0"/>
            <w:vAlign w:val="top"/>
          </w:tcPr>
          <w:p>
            <w:pPr>
              <w:spacing w:line="360" w:lineRule="auto"/>
              <w:rPr>
                <w:rFonts w:hint="eastAsia"/>
                <w:sz w:val="24"/>
                <w:highlight w:val="none"/>
              </w:rPr>
            </w:pPr>
          </w:p>
        </w:tc>
        <w:tc>
          <w:tcPr>
            <w:tcW w:w="517" w:type="pct"/>
            <w:noWrap w:val="0"/>
            <w:vAlign w:val="top"/>
          </w:tcPr>
          <w:p>
            <w:pPr>
              <w:spacing w:line="360" w:lineRule="auto"/>
              <w:rPr>
                <w:rFonts w:hint="eastAsia"/>
                <w:sz w:val="24"/>
                <w:highlight w:val="none"/>
              </w:rPr>
            </w:pPr>
          </w:p>
        </w:tc>
        <w:tc>
          <w:tcPr>
            <w:tcW w:w="378"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06" w:type="pct"/>
            <w:noWrap w:val="0"/>
            <w:vAlign w:val="top"/>
          </w:tcPr>
          <w:p>
            <w:pPr>
              <w:spacing w:line="360" w:lineRule="auto"/>
              <w:rPr>
                <w:rFonts w:hint="eastAsia"/>
                <w:sz w:val="24"/>
                <w:highlight w:val="none"/>
              </w:rPr>
            </w:pPr>
          </w:p>
        </w:tc>
        <w:tc>
          <w:tcPr>
            <w:tcW w:w="446" w:type="pct"/>
            <w:noWrap w:val="0"/>
            <w:vAlign w:val="top"/>
          </w:tcPr>
          <w:p>
            <w:pPr>
              <w:spacing w:line="360" w:lineRule="auto"/>
              <w:rPr>
                <w:rFonts w:hint="eastAsia"/>
                <w:sz w:val="24"/>
                <w:highlight w:val="none"/>
              </w:rPr>
            </w:pPr>
          </w:p>
        </w:tc>
        <w:tc>
          <w:tcPr>
            <w:tcW w:w="528" w:type="pct"/>
            <w:noWrap w:val="0"/>
            <w:vAlign w:val="top"/>
          </w:tcPr>
          <w:p>
            <w:pPr>
              <w:spacing w:line="360" w:lineRule="auto"/>
              <w:rPr>
                <w:rFonts w:hint="eastAsia"/>
                <w:sz w:val="24"/>
                <w:highlight w:val="none"/>
              </w:rPr>
            </w:pPr>
          </w:p>
        </w:tc>
        <w:tc>
          <w:tcPr>
            <w:tcW w:w="488"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23" w:type="pct"/>
            <w:gridSpan w:val="2"/>
            <w:tcBorders>
              <w:left w:val="double" w:color="auto" w:sz="4" w:space="0"/>
              <w:bottom w:val="double" w:color="auto" w:sz="4" w:space="0"/>
            </w:tcBorders>
            <w:noWrap w:val="0"/>
            <w:vAlign w:val="top"/>
          </w:tcPr>
          <w:p>
            <w:pPr>
              <w:spacing w:line="360" w:lineRule="auto"/>
              <w:rPr>
                <w:rFonts w:hint="eastAsia" w:eastAsia="宋体"/>
                <w:sz w:val="24"/>
                <w:highlight w:val="none"/>
                <w:lang w:eastAsia="zh-CN"/>
              </w:rPr>
            </w:pPr>
            <w:r>
              <w:rPr>
                <w:rFonts w:hint="eastAsia"/>
                <w:sz w:val="24"/>
                <w:highlight w:val="none"/>
                <w:lang w:eastAsia="zh-CN"/>
              </w:rPr>
              <w:t>总合计价格</w:t>
            </w:r>
          </w:p>
        </w:tc>
        <w:tc>
          <w:tcPr>
            <w:tcW w:w="4176" w:type="pct"/>
            <w:gridSpan w:val="9"/>
            <w:tcBorders>
              <w:bottom w:val="double" w:color="auto" w:sz="4" w:space="0"/>
              <w:right w:val="double" w:color="auto" w:sz="4" w:space="0"/>
            </w:tcBorders>
            <w:noWrap w:val="0"/>
            <w:vAlign w:val="top"/>
          </w:tcPr>
          <w:p>
            <w:pPr>
              <w:spacing w:line="360" w:lineRule="auto"/>
              <w:rPr>
                <w:rFonts w:hint="default" w:eastAsia="宋体"/>
                <w:sz w:val="24"/>
                <w:highlight w:val="none"/>
                <w:lang w:val="en-US" w:eastAsia="zh-CN"/>
              </w:rPr>
            </w:pPr>
            <w:r>
              <w:rPr>
                <w:rFonts w:hint="eastAsia"/>
                <w:sz w:val="24"/>
                <w:highlight w:val="none"/>
                <w:lang w:eastAsia="zh-CN"/>
              </w:rPr>
              <w:t>大写：</w:t>
            </w:r>
            <w:r>
              <w:rPr>
                <w:rFonts w:hint="eastAsia"/>
                <w:sz w:val="24"/>
                <w:highlight w:val="none"/>
                <w:lang w:val="en-US" w:eastAsia="zh-CN"/>
              </w:rPr>
              <w:t xml:space="preserve">                            小写：</w:t>
            </w:r>
          </w:p>
        </w:tc>
      </w:tr>
    </w:tbl>
    <w:p>
      <w:pPr>
        <w:spacing w:line="360" w:lineRule="auto"/>
        <w:ind w:right="480"/>
        <w:rPr>
          <w:rFonts w:hint="eastAsia"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pStyle w:val="4"/>
        <w:spacing w:before="0" w:after="100" w:afterAutospacing="1"/>
        <w:jc w:val="both"/>
        <w:rPr>
          <w:rFonts w:ascii="宋体" w:hAnsi="宋体" w:cs="宋体"/>
          <w:spacing w:val="10"/>
          <w:highlight w:val="none"/>
        </w:rPr>
      </w:pPr>
    </w:p>
    <w:p>
      <w:pPr>
        <w:spacing w:line="360" w:lineRule="auto"/>
        <w:rPr>
          <w:rFonts w:ascii="宋体" w:hAnsi="宋体" w:cs="宋体"/>
          <w:sz w:val="24"/>
          <w:szCs w:val="32"/>
          <w:highlight w:val="none"/>
        </w:rPr>
      </w:pPr>
      <w:r>
        <w:rPr>
          <w:rFonts w:hint="eastAsia" w:ascii="宋体" w:hAnsi="宋体" w:cs="宋体"/>
          <w:sz w:val="24"/>
          <w:szCs w:val="32"/>
          <w:highlight w:val="none"/>
        </w:rPr>
        <w:t>说明：1.投标人必须按“报价明细表”的格式详细报出投标总价的各个组成部分的报价，否则作无效投标处理。</w:t>
      </w:r>
    </w:p>
    <w:p>
      <w:pPr>
        <w:spacing w:line="360" w:lineRule="auto"/>
        <w:ind w:firstLine="720" w:firstLineChars="300"/>
        <w:rPr>
          <w:rFonts w:ascii="宋体" w:hAnsi="宋体" w:cs="宋体"/>
          <w:sz w:val="24"/>
          <w:szCs w:val="32"/>
          <w:highlight w:val="none"/>
        </w:rPr>
        <w:sectPr>
          <w:headerReference r:id="rId15" w:type="first"/>
          <w:headerReference r:id="rId14" w:type="default"/>
          <w:pgSz w:w="11905" w:h="16838"/>
          <w:pgMar w:top="1077" w:right="1134" w:bottom="1077" w:left="1417" w:header="850" w:footer="992" w:gutter="0"/>
          <w:pgNumType w:fmt="decimal"/>
          <w:cols w:space="0" w:num="1"/>
          <w:titlePg/>
          <w:docGrid w:linePitch="322" w:charSpace="0"/>
        </w:sectPr>
      </w:pPr>
      <w:r>
        <w:rPr>
          <w:rFonts w:hint="eastAsia" w:ascii="宋体" w:hAnsi="宋体" w:cs="宋体"/>
          <w:sz w:val="24"/>
          <w:szCs w:val="32"/>
          <w:highlight w:val="none"/>
        </w:rPr>
        <w:t>2.“报价明细表”各分项报价合计应当与“开标一览表”报价合计相等。</w:t>
      </w:r>
    </w:p>
    <w:p>
      <w:pPr>
        <w:pStyle w:val="30"/>
        <w:numPr>
          <w:ilvl w:val="0"/>
          <w:numId w:val="0"/>
        </w:numPr>
        <w:jc w:val="center"/>
        <w:rPr>
          <w:rFonts w:hint="eastAsia"/>
          <w:b/>
          <w:color w:val="auto"/>
          <w:sz w:val="28"/>
          <w:szCs w:val="28"/>
          <w:highlight w:val="none"/>
          <w:lang w:bidi="ar-SA"/>
        </w:rPr>
      </w:pPr>
      <w:bookmarkStart w:id="515" w:name="_Toc14138"/>
      <w:bookmarkStart w:id="516" w:name="_Toc10142"/>
      <w:bookmarkStart w:id="517" w:name="_Toc16494"/>
      <w:bookmarkStart w:id="518" w:name="_Toc31279"/>
      <w:bookmarkStart w:id="519" w:name="_Toc8476"/>
      <w:bookmarkStart w:id="520" w:name="_Toc10061"/>
      <w:bookmarkStart w:id="521" w:name="_Toc21475"/>
      <w:r>
        <w:rPr>
          <w:rFonts w:hint="eastAsia"/>
          <w:b/>
          <w:color w:val="auto"/>
          <w:sz w:val="28"/>
          <w:szCs w:val="28"/>
          <w:highlight w:val="none"/>
          <w:lang w:val="en-US" w:eastAsia="zh-CN" w:bidi="ar-SA"/>
        </w:rPr>
        <w:t>9.</w:t>
      </w:r>
      <w:r>
        <w:rPr>
          <w:rFonts w:hint="eastAsia"/>
          <w:b/>
          <w:color w:val="auto"/>
          <w:sz w:val="28"/>
          <w:szCs w:val="28"/>
          <w:highlight w:val="none"/>
          <w:lang w:bidi="ar-SA"/>
        </w:rPr>
        <w:t>配套耗材及维修配件备品备件清单（如有）</w:t>
      </w:r>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899"/>
        <w:gridCol w:w="1456"/>
        <w:gridCol w:w="1066"/>
        <w:gridCol w:w="1603"/>
        <w:gridCol w:w="771"/>
        <w:gridCol w:w="964"/>
        <w:gridCol w:w="964"/>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54"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470"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761"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557"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83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403"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606"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54"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470" w:type="pct"/>
            <w:tcBorders>
              <w:top w:val="double" w:color="auto" w:sz="4" w:space="0"/>
            </w:tcBorders>
            <w:noWrap w:val="0"/>
            <w:vAlign w:val="top"/>
          </w:tcPr>
          <w:p>
            <w:pPr>
              <w:spacing w:line="360" w:lineRule="auto"/>
              <w:rPr>
                <w:rFonts w:hint="eastAsia"/>
                <w:sz w:val="24"/>
                <w:highlight w:val="none"/>
              </w:rPr>
            </w:pPr>
          </w:p>
        </w:tc>
        <w:tc>
          <w:tcPr>
            <w:tcW w:w="761" w:type="pct"/>
            <w:tcBorders>
              <w:top w:val="double" w:color="auto" w:sz="4" w:space="0"/>
            </w:tcBorders>
            <w:noWrap w:val="0"/>
            <w:vAlign w:val="top"/>
          </w:tcPr>
          <w:p>
            <w:pPr>
              <w:spacing w:line="360" w:lineRule="auto"/>
              <w:rPr>
                <w:rFonts w:hint="eastAsia"/>
                <w:sz w:val="24"/>
                <w:highlight w:val="none"/>
              </w:rPr>
            </w:pPr>
          </w:p>
        </w:tc>
        <w:tc>
          <w:tcPr>
            <w:tcW w:w="557" w:type="pct"/>
            <w:tcBorders>
              <w:top w:val="double" w:color="auto" w:sz="4" w:space="0"/>
            </w:tcBorders>
            <w:noWrap w:val="0"/>
            <w:vAlign w:val="top"/>
          </w:tcPr>
          <w:p>
            <w:pPr>
              <w:spacing w:line="360" w:lineRule="auto"/>
              <w:rPr>
                <w:rFonts w:hint="eastAsia"/>
                <w:sz w:val="24"/>
                <w:highlight w:val="none"/>
              </w:rPr>
            </w:pPr>
          </w:p>
        </w:tc>
        <w:tc>
          <w:tcPr>
            <w:tcW w:w="838" w:type="pct"/>
            <w:tcBorders>
              <w:top w:val="double" w:color="auto" w:sz="4" w:space="0"/>
            </w:tcBorders>
            <w:noWrap w:val="0"/>
            <w:vAlign w:val="top"/>
          </w:tcPr>
          <w:p>
            <w:pPr>
              <w:spacing w:line="360" w:lineRule="auto"/>
              <w:rPr>
                <w:rFonts w:hint="eastAsia"/>
                <w:sz w:val="24"/>
                <w:highlight w:val="none"/>
              </w:rPr>
            </w:pPr>
          </w:p>
        </w:tc>
        <w:tc>
          <w:tcPr>
            <w:tcW w:w="403"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606"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4" w:type="pct"/>
            <w:tcBorders>
              <w:left w:val="double" w:color="auto" w:sz="4" w:space="0"/>
            </w:tcBorders>
            <w:noWrap w:val="0"/>
            <w:vAlign w:val="top"/>
          </w:tcPr>
          <w:p>
            <w:pPr>
              <w:spacing w:line="360" w:lineRule="auto"/>
              <w:rPr>
                <w:rFonts w:hint="eastAsia"/>
                <w:sz w:val="24"/>
                <w:highlight w:val="none"/>
              </w:rPr>
            </w:pPr>
          </w:p>
        </w:tc>
        <w:tc>
          <w:tcPr>
            <w:tcW w:w="470" w:type="pct"/>
            <w:noWrap w:val="0"/>
            <w:vAlign w:val="top"/>
          </w:tcPr>
          <w:p>
            <w:pPr>
              <w:spacing w:line="360" w:lineRule="auto"/>
              <w:rPr>
                <w:rFonts w:hint="eastAsia"/>
                <w:sz w:val="24"/>
                <w:highlight w:val="none"/>
              </w:rPr>
            </w:pPr>
          </w:p>
        </w:tc>
        <w:tc>
          <w:tcPr>
            <w:tcW w:w="761" w:type="pct"/>
            <w:noWrap w:val="0"/>
            <w:vAlign w:val="top"/>
          </w:tcPr>
          <w:p>
            <w:pPr>
              <w:spacing w:line="360" w:lineRule="auto"/>
              <w:rPr>
                <w:rFonts w:hint="eastAsia"/>
                <w:sz w:val="24"/>
                <w:highlight w:val="none"/>
              </w:rPr>
            </w:pPr>
          </w:p>
        </w:tc>
        <w:tc>
          <w:tcPr>
            <w:tcW w:w="557" w:type="pct"/>
            <w:noWrap w:val="0"/>
            <w:vAlign w:val="top"/>
          </w:tcPr>
          <w:p>
            <w:pPr>
              <w:spacing w:line="360" w:lineRule="auto"/>
              <w:rPr>
                <w:rFonts w:hint="eastAsia"/>
                <w:sz w:val="24"/>
                <w:highlight w:val="none"/>
              </w:rPr>
            </w:pPr>
          </w:p>
        </w:tc>
        <w:tc>
          <w:tcPr>
            <w:tcW w:w="838" w:type="pct"/>
            <w:noWrap w:val="0"/>
            <w:vAlign w:val="top"/>
          </w:tcPr>
          <w:p>
            <w:pPr>
              <w:spacing w:line="360" w:lineRule="auto"/>
              <w:rPr>
                <w:rFonts w:hint="eastAsia"/>
                <w:sz w:val="24"/>
                <w:highlight w:val="none"/>
              </w:rPr>
            </w:pPr>
          </w:p>
        </w:tc>
        <w:tc>
          <w:tcPr>
            <w:tcW w:w="403"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6"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54" w:type="pct"/>
            <w:tcBorders>
              <w:left w:val="double" w:color="auto" w:sz="4" w:space="0"/>
              <w:bottom w:val="double" w:color="auto" w:sz="4" w:space="0"/>
            </w:tcBorders>
            <w:noWrap w:val="0"/>
            <w:vAlign w:val="top"/>
          </w:tcPr>
          <w:p>
            <w:pPr>
              <w:spacing w:line="360" w:lineRule="auto"/>
              <w:rPr>
                <w:rFonts w:hint="eastAsia"/>
                <w:sz w:val="24"/>
                <w:highlight w:val="none"/>
              </w:rPr>
            </w:pPr>
          </w:p>
        </w:tc>
        <w:tc>
          <w:tcPr>
            <w:tcW w:w="470" w:type="pct"/>
            <w:tcBorders>
              <w:bottom w:val="double" w:color="auto" w:sz="4" w:space="0"/>
            </w:tcBorders>
            <w:noWrap w:val="0"/>
            <w:vAlign w:val="top"/>
          </w:tcPr>
          <w:p>
            <w:pPr>
              <w:spacing w:line="360" w:lineRule="auto"/>
              <w:rPr>
                <w:rFonts w:hint="eastAsia"/>
                <w:sz w:val="24"/>
                <w:highlight w:val="none"/>
              </w:rPr>
            </w:pPr>
          </w:p>
        </w:tc>
        <w:tc>
          <w:tcPr>
            <w:tcW w:w="761" w:type="pct"/>
            <w:tcBorders>
              <w:bottom w:val="double" w:color="auto" w:sz="4" w:space="0"/>
            </w:tcBorders>
            <w:noWrap w:val="0"/>
            <w:vAlign w:val="top"/>
          </w:tcPr>
          <w:p>
            <w:pPr>
              <w:spacing w:line="360" w:lineRule="auto"/>
              <w:rPr>
                <w:rFonts w:hint="eastAsia"/>
                <w:sz w:val="24"/>
                <w:highlight w:val="none"/>
              </w:rPr>
            </w:pPr>
          </w:p>
        </w:tc>
        <w:tc>
          <w:tcPr>
            <w:tcW w:w="557" w:type="pct"/>
            <w:tcBorders>
              <w:bottom w:val="double" w:color="auto" w:sz="4" w:space="0"/>
            </w:tcBorders>
            <w:noWrap w:val="0"/>
            <w:vAlign w:val="top"/>
          </w:tcPr>
          <w:p>
            <w:pPr>
              <w:spacing w:line="360" w:lineRule="auto"/>
              <w:rPr>
                <w:rFonts w:hint="eastAsia"/>
                <w:sz w:val="24"/>
                <w:highlight w:val="none"/>
              </w:rPr>
            </w:pPr>
          </w:p>
        </w:tc>
        <w:tc>
          <w:tcPr>
            <w:tcW w:w="838" w:type="pct"/>
            <w:tcBorders>
              <w:bottom w:val="double" w:color="auto" w:sz="4" w:space="0"/>
            </w:tcBorders>
            <w:noWrap w:val="0"/>
            <w:vAlign w:val="top"/>
          </w:tcPr>
          <w:p>
            <w:pPr>
              <w:spacing w:line="360" w:lineRule="auto"/>
              <w:rPr>
                <w:rFonts w:hint="eastAsia"/>
                <w:sz w:val="24"/>
                <w:highlight w:val="none"/>
              </w:rPr>
            </w:pPr>
          </w:p>
        </w:tc>
        <w:tc>
          <w:tcPr>
            <w:tcW w:w="403"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606" w:type="pct"/>
            <w:tcBorders>
              <w:bottom w:val="double" w:color="auto" w:sz="4" w:space="0"/>
              <w:right w:val="double" w:color="auto" w:sz="4" w:space="0"/>
            </w:tcBorders>
            <w:noWrap w:val="0"/>
            <w:vAlign w:val="top"/>
          </w:tcPr>
          <w:p>
            <w:pPr>
              <w:spacing w:line="360" w:lineRule="auto"/>
              <w:rPr>
                <w:rFonts w:hint="eastAsia"/>
                <w:sz w:val="24"/>
                <w:highlight w:val="none"/>
              </w:rPr>
            </w:pPr>
          </w:p>
        </w:tc>
      </w:tr>
    </w:tbl>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注：此表备品备件报价包含在投标总价中。</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pStyle w:val="4"/>
        <w:numPr>
          <w:ilvl w:val="0"/>
          <w:numId w:val="0"/>
        </w:numPr>
        <w:spacing w:before="0" w:after="100" w:afterAutospacing="1"/>
        <w:jc w:val="both"/>
        <w:rPr>
          <w:rFonts w:hint="eastAsia" w:ascii="宋体" w:hAnsi="宋体" w:cs="宋体"/>
          <w:b w:val="0"/>
          <w:bCs w:val="0"/>
          <w:color w:val="000000"/>
          <w:spacing w:val="10"/>
          <w:highlight w:val="none"/>
          <w:lang w:val="en-US" w:eastAsia="zh-CN"/>
        </w:rPr>
      </w:pPr>
      <w:r>
        <w:rPr>
          <w:rFonts w:hint="eastAsia" w:ascii="宋体" w:hAnsi="宋体" w:cs="宋体"/>
          <w:b w:val="0"/>
          <w:bCs w:val="0"/>
          <w:spacing w:val="10"/>
          <w:sz w:val="24"/>
          <w:highlight w:val="none"/>
        </w:rPr>
        <w:t>日期：</w:t>
      </w:r>
    </w:p>
    <w:p>
      <w:pPr>
        <w:pStyle w:val="4"/>
        <w:numPr>
          <w:ilvl w:val="0"/>
          <w:numId w:val="0"/>
        </w:numPr>
        <w:spacing w:before="0" w:after="100" w:afterAutospacing="1"/>
        <w:rPr>
          <w:rFonts w:hint="eastAsia" w:ascii="宋体" w:hAnsi="宋体" w:cs="宋体"/>
          <w:color w:val="000000"/>
          <w:spacing w:val="10"/>
          <w:highlight w:val="none"/>
          <w:lang w:val="en-US" w:eastAsia="zh-CN"/>
        </w:rPr>
      </w:pPr>
    </w:p>
    <w:p>
      <w:pPr>
        <w:rPr>
          <w:rFonts w:hint="eastAsia" w:ascii="宋体" w:hAnsi="宋体" w:cs="宋体"/>
          <w:color w:val="000000"/>
          <w:spacing w:val="10"/>
          <w:highlight w:val="none"/>
          <w:lang w:val="en-US" w:eastAsia="zh-CN"/>
        </w:rPr>
      </w:pPr>
    </w:p>
    <w:p>
      <w:pPr>
        <w:pStyle w:val="18"/>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9"/>
        <w:rPr>
          <w:rFonts w:hint="eastAsia" w:ascii="宋体" w:hAnsi="宋体" w:cs="宋体"/>
          <w:color w:val="000000"/>
          <w:spacing w:val="10"/>
          <w:highlight w:val="none"/>
          <w:lang w:val="en-US" w:eastAsia="zh-CN"/>
        </w:rPr>
      </w:pPr>
    </w:p>
    <w:p>
      <w:pPr>
        <w:pStyle w:val="18"/>
        <w:numPr>
          <w:ilvl w:val="0"/>
          <w:numId w:val="0"/>
        </w:numPr>
        <w:ind w:leftChars="20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专用工具清单</w:t>
      </w:r>
      <w:r>
        <w:rPr>
          <w:rFonts w:hint="eastAsia" w:ascii="宋体" w:hAnsi="宋体" w:eastAsia="宋体" w:cs="宋体"/>
          <w:b/>
          <w:color w:val="auto"/>
          <w:sz w:val="28"/>
          <w:szCs w:val="28"/>
          <w:highlight w:val="none"/>
          <w:lang w:eastAsia="zh-CN"/>
        </w:rPr>
        <w:t>（如有）</w:t>
      </w:r>
    </w:p>
    <w:p>
      <w:pPr>
        <w:spacing w:line="360" w:lineRule="auto"/>
        <w:rPr>
          <w:rFonts w:ascii="宋体" w:hAnsi="宋体" w:cs="宋体"/>
          <w:sz w:val="24"/>
          <w:highlight w:val="none"/>
        </w:rPr>
      </w:pPr>
      <w:r>
        <w:rPr>
          <w:rFonts w:hint="eastAsia" w:ascii="宋体" w:hAnsi="宋体" w:cs="宋体"/>
          <w:spacing w:val="10"/>
          <w:sz w:val="24"/>
          <w:highlight w:val="none"/>
        </w:rPr>
        <w:t>项目名称：</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招标编号：</w:t>
      </w:r>
    </w:p>
    <w:p>
      <w:pPr>
        <w:spacing w:line="360" w:lineRule="auto"/>
        <w:rPr>
          <w:rFonts w:ascii="宋体" w:hAnsi="宋体" w:cs="宋体"/>
          <w:spacing w:val="10"/>
          <w:sz w:val="24"/>
          <w:highlight w:val="none"/>
        </w:rPr>
      </w:pPr>
      <w:r>
        <w:rPr>
          <w:rFonts w:hint="eastAsia" w:ascii="宋体" w:hAnsi="宋体" w:cs="宋体"/>
          <w:spacing w:val="10"/>
          <w:sz w:val="24"/>
          <w:highlight w:val="none"/>
        </w:rPr>
        <w:t>投标人名称：</w:t>
      </w:r>
    </w:p>
    <w:tbl>
      <w:tblPr>
        <w:tblStyle w:val="3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049"/>
        <w:gridCol w:w="1577"/>
        <w:gridCol w:w="1202"/>
        <w:gridCol w:w="1198"/>
        <w:gridCol w:w="773"/>
        <w:gridCol w:w="965"/>
        <w:gridCol w:w="965"/>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2" w:type="pct"/>
            <w:tcBorders>
              <w:top w:val="double" w:color="auto" w:sz="4" w:space="0"/>
              <w:left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序号</w:t>
            </w:r>
          </w:p>
        </w:tc>
        <w:tc>
          <w:tcPr>
            <w:tcW w:w="54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名称</w:t>
            </w:r>
          </w:p>
        </w:tc>
        <w:tc>
          <w:tcPr>
            <w:tcW w:w="82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型号规格</w:t>
            </w:r>
          </w:p>
        </w:tc>
        <w:tc>
          <w:tcPr>
            <w:tcW w:w="628"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品牌</w:t>
            </w:r>
          </w:p>
        </w:tc>
        <w:tc>
          <w:tcPr>
            <w:tcW w:w="626"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lang w:eastAsia="zh-CN"/>
              </w:rPr>
              <w:t>生产</w:t>
            </w:r>
            <w:r>
              <w:rPr>
                <w:rFonts w:hint="eastAsia" w:ascii="宋体" w:hAnsi="宋体"/>
                <w:color w:val="auto"/>
                <w:sz w:val="24"/>
                <w:highlight w:val="none"/>
              </w:rPr>
              <w:t>厂</w:t>
            </w:r>
            <w:r>
              <w:rPr>
                <w:rFonts w:hint="eastAsia" w:ascii="宋体" w:hAnsi="宋体"/>
                <w:color w:val="auto"/>
                <w:sz w:val="24"/>
                <w:highlight w:val="none"/>
                <w:lang w:eastAsia="zh-CN"/>
              </w:rPr>
              <w:t>家</w:t>
            </w:r>
          </w:p>
        </w:tc>
        <w:tc>
          <w:tcPr>
            <w:tcW w:w="404" w:type="pct"/>
            <w:tcBorders>
              <w:top w:val="double" w:color="auto" w:sz="4" w:space="0"/>
              <w:bottom w:val="double" w:color="auto" w:sz="4" w:space="0"/>
            </w:tcBorders>
            <w:noWrap w:val="0"/>
            <w:vAlign w:val="center"/>
          </w:tcPr>
          <w:p>
            <w:pPr>
              <w:spacing w:line="360" w:lineRule="auto"/>
              <w:jc w:val="center"/>
              <w:rPr>
                <w:rFonts w:hint="eastAsia"/>
                <w:color w:val="auto"/>
                <w:sz w:val="24"/>
                <w:highlight w:val="none"/>
                <w:lang w:eastAsia="zh-CN"/>
              </w:rPr>
            </w:pPr>
            <w:r>
              <w:rPr>
                <w:rFonts w:hint="eastAsia"/>
                <w:color w:val="auto"/>
                <w:sz w:val="24"/>
                <w:highlight w:val="none"/>
                <w:lang w:eastAsia="zh-CN"/>
              </w:rPr>
              <w:t>注册</w:t>
            </w:r>
          </w:p>
          <w:p>
            <w:pPr>
              <w:spacing w:line="360" w:lineRule="auto"/>
              <w:jc w:val="center"/>
              <w:rPr>
                <w:rFonts w:hint="eastAsia"/>
                <w:sz w:val="24"/>
                <w:highlight w:val="none"/>
              </w:rPr>
            </w:pPr>
            <w:r>
              <w:rPr>
                <w:rFonts w:hint="eastAsia"/>
                <w:color w:val="auto"/>
                <w:sz w:val="24"/>
                <w:highlight w:val="none"/>
                <w:lang w:eastAsia="zh-CN"/>
              </w:rPr>
              <w:t>证号</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ascii="宋体" w:hAnsi="宋体"/>
                <w:color w:val="auto"/>
                <w:sz w:val="24"/>
                <w:highlight w:val="none"/>
              </w:rPr>
              <w:t>国别</w:t>
            </w:r>
          </w:p>
        </w:tc>
        <w:tc>
          <w:tcPr>
            <w:tcW w:w="504" w:type="pct"/>
            <w:tcBorders>
              <w:top w:val="double" w:color="auto" w:sz="4" w:space="0"/>
              <w:bottom w:val="double" w:color="auto" w:sz="4" w:space="0"/>
            </w:tcBorders>
            <w:noWrap w:val="0"/>
            <w:vAlign w:val="center"/>
          </w:tcPr>
          <w:p>
            <w:pPr>
              <w:spacing w:line="360" w:lineRule="auto"/>
              <w:jc w:val="center"/>
              <w:rPr>
                <w:rFonts w:hint="eastAsia"/>
                <w:sz w:val="24"/>
                <w:highlight w:val="none"/>
              </w:rPr>
            </w:pPr>
            <w:r>
              <w:rPr>
                <w:rFonts w:hint="eastAsia"/>
                <w:sz w:val="24"/>
                <w:highlight w:val="none"/>
              </w:rPr>
              <w:t>单价</w:t>
            </w:r>
          </w:p>
        </w:tc>
        <w:tc>
          <w:tcPr>
            <w:tcW w:w="605" w:type="pct"/>
            <w:tcBorders>
              <w:top w:val="double" w:color="auto" w:sz="4" w:space="0"/>
              <w:bottom w:val="double" w:color="auto" w:sz="4" w:space="0"/>
              <w:right w:val="double" w:color="auto" w:sz="4" w:space="0"/>
            </w:tcBorders>
            <w:noWrap w:val="0"/>
            <w:vAlign w:val="center"/>
          </w:tcPr>
          <w:p>
            <w:pPr>
              <w:spacing w:line="360" w:lineRule="auto"/>
              <w:jc w:val="center"/>
              <w:rPr>
                <w:rFonts w:hint="eastAsia"/>
                <w:sz w:val="24"/>
                <w:highlight w:val="none"/>
              </w:rPr>
            </w:pPr>
            <w:r>
              <w:rPr>
                <w:rFonts w:hint="eastAsia"/>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52" w:type="pct"/>
            <w:tcBorders>
              <w:top w:val="double" w:color="auto" w:sz="4" w:space="0"/>
              <w:left w:val="double" w:color="auto" w:sz="4" w:space="0"/>
            </w:tcBorders>
            <w:noWrap w:val="0"/>
            <w:vAlign w:val="top"/>
          </w:tcPr>
          <w:p>
            <w:pPr>
              <w:spacing w:line="360" w:lineRule="auto"/>
              <w:rPr>
                <w:rFonts w:hint="eastAsia"/>
                <w:sz w:val="24"/>
                <w:highlight w:val="none"/>
              </w:rPr>
            </w:pPr>
          </w:p>
        </w:tc>
        <w:tc>
          <w:tcPr>
            <w:tcW w:w="548" w:type="pct"/>
            <w:tcBorders>
              <w:top w:val="double" w:color="auto" w:sz="4" w:space="0"/>
            </w:tcBorders>
            <w:noWrap w:val="0"/>
            <w:vAlign w:val="top"/>
          </w:tcPr>
          <w:p>
            <w:pPr>
              <w:spacing w:line="360" w:lineRule="auto"/>
              <w:rPr>
                <w:rFonts w:hint="eastAsia"/>
                <w:sz w:val="24"/>
                <w:highlight w:val="none"/>
              </w:rPr>
            </w:pPr>
          </w:p>
        </w:tc>
        <w:tc>
          <w:tcPr>
            <w:tcW w:w="824" w:type="pct"/>
            <w:tcBorders>
              <w:top w:val="double" w:color="auto" w:sz="4" w:space="0"/>
            </w:tcBorders>
            <w:noWrap w:val="0"/>
            <w:vAlign w:val="top"/>
          </w:tcPr>
          <w:p>
            <w:pPr>
              <w:spacing w:line="360" w:lineRule="auto"/>
              <w:rPr>
                <w:rFonts w:hint="eastAsia"/>
                <w:sz w:val="24"/>
                <w:highlight w:val="none"/>
              </w:rPr>
            </w:pPr>
          </w:p>
        </w:tc>
        <w:tc>
          <w:tcPr>
            <w:tcW w:w="628" w:type="pct"/>
            <w:tcBorders>
              <w:top w:val="double" w:color="auto" w:sz="4" w:space="0"/>
            </w:tcBorders>
            <w:noWrap w:val="0"/>
            <w:vAlign w:val="top"/>
          </w:tcPr>
          <w:p>
            <w:pPr>
              <w:spacing w:line="360" w:lineRule="auto"/>
              <w:rPr>
                <w:rFonts w:hint="eastAsia"/>
                <w:sz w:val="24"/>
                <w:highlight w:val="none"/>
              </w:rPr>
            </w:pPr>
          </w:p>
        </w:tc>
        <w:tc>
          <w:tcPr>
            <w:tcW w:w="626" w:type="pct"/>
            <w:tcBorders>
              <w:top w:val="double" w:color="auto" w:sz="4" w:space="0"/>
            </w:tcBorders>
            <w:noWrap w:val="0"/>
            <w:vAlign w:val="top"/>
          </w:tcPr>
          <w:p>
            <w:pPr>
              <w:spacing w:line="360" w:lineRule="auto"/>
              <w:rPr>
                <w:rFonts w:hint="eastAsia"/>
                <w:sz w:val="24"/>
                <w:highlight w:val="none"/>
              </w:rPr>
            </w:pPr>
          </w:p>
        </w:tc>
        <w:tc>
          <w:tcPr>
            <w:tcW w:w="4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504" w:type="pct"/>
            <w:tcBorders>
              <w:top w:val="double" w:color="auto" w:sz="4" w:space="0"/>
            </w:tcBorders>
            <w:noWrap w:val="0"/>
            <w:vAlign w:val="top"/>
          </w:tcPr>
          <w:p>
            <w:pPr>
              <w:spacing w:line="360" w:lineRule="auto"/>
              <w:rPr>
                <w:rFonts w:hint="eastAsia"/>
                <w:sz w:val="24"/>
                <w:highlight w:val="none"/>
              </w:rPr>
            </w:pPr>
          </w:p>
        </w:tc>
        <w:tc>
          <w:tcPr>
            <w:tcW w:w="605" w:type="pct"/>
            <w:tcBorders>
              <w:top w:val="double" w:color="auto" w:sz="4" w:space="0"/>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2" w:type="pct"/>
            <w:tcBorders>
              <w:left w:val="double" w:color="auto" w:sz="4" w:space="0"/>
            </w:tcBorders>
            <w:noWrap w:val="0"/>
            <w:vAlign w:val="top"/>
          </w:tcPr>
          <w:p>
            <w:pPr>
              <w:spacing w:line="360" w:lineRule="auto"/>
              <w:rPr>
                <w:rFonts w:hint="eastAsia"/>
                <w:sz w:val="24"/>
                <w:highlight w:val="none"/>
              </w:rPr>
            </w:pPr>
          </w:p>
        </w:tc>
        <w:tc>
          <w:tcPr>
            <w:tcW w:w="548" w:type="pct"/>
            <w:noWrap w:val="0"/>
            <w:vAlign w:val="top"/>
          </w:tcPr>
          <w:p>
            <w:pPr>
              <w:spacing w:line="360" w:lineRule="auto"/>
              <w:rPr>
                <w:rFonts w:hint="eastAsia"/>
                <w:sz w:val="24"/>
                <w:highlight w:val="none"/>
              </w:rPr>
            </w:pPr>
          </w:p>
        </w:tc>
        <w:tc>
          <w:tcPr>
            <w:tcW w:w="824" w:type="pct"/>
            <w:noWrap w:val="0"/>
            <w:vAlign w:val="top"/>
          </w:tcPr>
          <w:p>
            <w:pPr>
              <w:spacing w:line="360" w:lineRule="auto"/>
              <w:rPr>
                <w:rFonts w:hint="eastAsia"/>
                <w:sz w:val="24"/>
                <w:highlight w:val="none"/>
              </w:rPr>
            </w:pPr>
          </w:p>
        </w:tc>
        <w:tc>
          <w:tcPr>
            <w:tcW w:w="628" w:type="pct"/>
            <w:noWrap w:val="0"/>
            <w:vAlign w:val="top"/>
          </w:tcPr>
          <w:p>
            <w:pPr>
              <w:spacing w:line="360" w:lineRule="auto"/>
              <w:rPr>
                <w:rFonts w:hint="eastAsia"/>
                <w:sz w:val="24"/>
                <w:highlight w:val="none"/>
              </w:rPr>
            </w:pPr>
          </w:p>
        </w:tc>
        <w:tc>
          <w:tcPr>
            <w:tcW w:w="626" w:type="pct"/>
            <w:noWrap w:val="0"/>
            <w:vAlign w:val="top"/>
          </w:tcPr>
          <w:p>
            <w:pPr>
              <w:spacing w:line="360" w:lineRule="auto"/>
              <w:rPr>
                <w:rFonts w:hint="eastAsia"/>
                <w:sz w:val="24"/>
                <w:highlight w:val="none"/>
              </w:rPr>
            </w:pPr>
          </w:p>
        </w:tc>
        <w:tc>
          <w:tcPr>
            <w:tcW w:w="4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504" w:type="pct"/>
            <w:noWrap w:val="0"/>
            <w:vAlign w:val="top"/>
          </w:tcPr>
          <w:p>
            <w:pPr>
              <w:spacing w:line="360" w:lineRule="auto"/>
              <w:rPr>
                <w:rFonts w:hint="eastAsia"/>
                <w:sz w:val="24"/>
                <w:highlight w:val="none"/>
              </w:rPr>
            </w:pPr>
          </w:p>
        </w:tc>
        <w:tc>
          <w:tcPr>
            <w:tcW w:w="605" w:type="pct"/>
            <w:tcBorders>
              <w:right w:val="double" w:color="auto" w:sz="4" w:space="0"/>
            </w:tcBorders>
            <w:noWrap w:val="0"/>
            <w:vAlign w:val="top"/>
          </w:tcPr>
          <w:p>
            <w:pPr>
              <w:spacing w:line="360" w:lineRule="auto"/>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52" w:type="pct"/>
            <w:tcBorders>
              <w:left w:val="double" w:color="auto" w:sz="4" w:space="0"/>
              <w:bottom w:val="double" w:color="auto" w:sz="4" w:space="0"/>
            </w:tcBorders>
            <w:noWrap w:val="0"/>
            <w:vAlign w:val="top"/>
          </w:tcPr>
          <w:p>
            <w:pPr>
              <w:spacing w:line="360" w:lineRule="auto"/>
              <w:rPr>
                <w:rFonts w:hint="eastAsia"/>
                <w:sz w:val="24"/>
                <w:highlight w:val="none"/>
              </w:rPr>
            </w:pPr>
          </w:p>
        </w:tc>
        <w:tc>
          <w:tcPr>
            <w:tcW w:w="548" w:type="pct"/>
            <w:tcBorders>
              <w:bottom w:val="double" w:color="auto" w:sz="4" w:space="0"/>
            </w:tcBorders>
            <w:noWrap w:val="0"/>
            <w:vAlign w:val="top"/>
          </w:tcPr>
          <w:p>
            <w:pPr>
              <w:spacing w:line="360" w:lineRule="auto"/>
              <w:rPr>
                <w:rFonts w:hint="eastAsia"/>
                <w:sz w:val="24"/>
                <w:highlight w:val="none"/>
              </w:rPr>
            </w:pPr>
          </w:p>
        </w:tc>
        <w:tc>
          <w:tcPr>
            <w:tcW w:w="824" w:type="pct"/>
            <w:tcBorders>
              <w:bottom w:val="double" w:color="auto" w:sz="4" w:space="0"/>
            </w:tcBorders>
            <w:noWrap w:val="0"/>
            <w:vAlign w:val="top"/>
          </w:tcPr>
          <w:p>
            <w:pPr>
              <w:spacing w:line="360" w:lineRule="auto"/>
              <w:rPr>
                <w:rFonts w:hint="eastAsia"/>
                <w:sz w:val="24"/>
                <w:highlight w:val="none"/>
              </w:rPr>
            </w:pPr>
          </w:p>
        </w:tc>
        <w:tc>
          <w:tcPr>
            <w:tcW w:w="628" w:type="pct"/>
            <w:tcBorders>
              <w:bottom w:val="double" w:color="auto" w:sz="4" w:space="0"/>
            </w:tcBorders>
            <w:noWrap w:val="0"/>
            <w:vAlign w:val="top"/>
          </w:tcPr>
          <w:p>
            <w:pPr>
              <w:spacing w:line="360" w:lineRule="auto"/>
              <w:rPr>
                <w:rFonts w:hint="eastAsia"/>
                <w:sz w:val="24"/>
                <w:highlight w:val="none"/>
              </w:rPr>
            </w:pPr>
          </w:p>
        </w:tc>
        <w:tc>
          <w:tcPr>
            <w:tcW w:w="626" w:type="pct"/>
            <w:tcBorders>
              <w:bottom w:val="double" w:color="auto" w:sz="4" w:space="0"/>
            </w:tcBorders>
            <w:noWrap w:val="0"/>
            <w:vAlign w:val="top"/>
          </w:tcPr>
          <w:p>
            <w:pPr>
              <w:spacing w:line="360" w:lineRule="auto"/>
              <w:rPr>
                <w:rFonts w:hint="eastAsia"/>
                <w:sz w:val="24"/>
                <w:highlight w:val="none"/>
              </w:rPr>
            </w:pPr>
          </w:p>
        </w:tc>
        <w:tc>
          <w:tcPr>
            <w:tcW w:w="4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504" w:type="pct"/>
            <w:tcBorders>
              <w:bottom w:val="double" w:color="auto" w:sz="4" w:space="0"/>
            </w:tcBorders>
            <w:noWrap w:val="0"/>
            <w:vAlign w:val="top"/>
          </w:tcPr>
          <w:p>
            <w:pPr>
              <w:spacing w:line="360" w:lineRule="auto"/>
              <w:rPr>
                <w:rFonts w:hint="eastAsia"/>
                <w:sz w:val="24"/>
                <w:highlight w:val="none"/>
              </w:rPr>
            </w:pPr>
          </w:p>
        </w:tc>
        <w:tc>
          <w:tcPr>
            <w:tcW w:w="605" w:type="pct"/>
            <w:tcBorders>
              <w:bottom w:val="double" w:color="auto" w:sz="4" w:space="0"/>
              <w:right w:val="double" w:color="auto" w:sz="4" w:space="0"/>
            </w:tcBorders>
            <w:noWrap w:val="0"/>
            <w:vAlign w:val="top"/>
          </w:tcPr>
          <w:p>
            <w:pPr>
              <w:spacing w:line="360" w:lineRule="auto"/>
              <w:rPr>
                <w:rFonts w:hint="eastAsia"/>
                <w:sz w:val="24"/>
                <w:highlight w:val="none"/>
              </w:rPr>
            </w:pPr>
          </w:p>
        </w:tc>
      </w:tr>
    </w:tbl>
    <w:p>
      <w:pPr>
        <w:pStyle w:val="4"/>
        <w:numPr>
          <w:ilvl w:val="0"/>
          <w:numId w:val="0"/>
        </w:numPr>
        <w:spacing w:before="0" w:after="100" w:afterAutospacing="1"/>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注：此表专用工具清单报价包含在投标总价中。</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pStyle w:val="4"/>
        <w:spacing w:before="0" w:after="100" w:afterAutospacing="1"/>
        <w:jc w:val="both"/>
        <w:rPr>
          <w:rFonts w:hint="eastAsia" w:ascii="宋体" w:hAnsi="宋体" w:cs="宋体"/>
          <w:color w:val="000000"/>
          <w:spacing w:val="10"/>
          <w:highlight w:val="none"/>
        </w:rPr>
      </w:pPr>
      <w:r>
        <w:rPr>
          <w:rFonts w:hint="eastAsia" w:ascii="宋体" w:hAnsi="宋体" w:cs="宋体"/>
          <w:b w:val="0"/>
          <w:bCs w:val="0"/>
          <w:spacing w:val="10"/>
          <w:sz w:val="24"/>
          <w:highlight w:val="none"/>
        </w:rPr>
        <w:t>日期：</w:t>
      </w:r>
    </w:p>
    <w:p>
      <w:pPr>
        <w:rPr>
          <w:rFonts w:hint="eastAsia" w:ascii="宋体" w:hAnsi="宋体" w:cs="宋体"/>
          <w:color w:val="000000"/>
          <w:spacing w:val="10"/>
          <w:highlight w:val="none"/>
        </w:rPr>
      </w:pPr>
      <w:r>
        <w:rPr>
          <w:rFonts w:hint="eastAsia" w:ascii="宋体" w:hAnsi="宋体" w:cs="宋体"/>
          <w:color w:val="000000"/>
          <w:spacing w:val="10"/>
          <w:highlight w:val="none"/>
        </w:rPr>
        <w:br w:type="page"/>
      </w:r>
    </w:p>
    <w:p>
      <w:pPr>
        <w:pStyle w:val="4"/>
        <w:spacing w:before="0" w:after="100" w:afterAutospacing="1"/>
        <w:rPr>
          <w:rFonts w:ascii="宋体" w:hAnsi="宋体" w:cs="宋体"/>
          <w:color w:val="000000"/>
          <w:spacing w:val="10"/>
          <w:highlight w:val="none"/>
        </w:rPr>
      </w:pPr>
      <w:r>
        <w:rPr>
          <w:rFonts w:hint="eastAsia" w:ascii="宋体" w:hAnsi="宋体" w:cs="宋体"/>
          <w:color w:val="000000"/>
          <w:spacing w:val="10"/>
          <w:highlight w:val="none"/>
          <w:lang w:val="en-US" w:eastAsia="zh-CN"/>
        </w:rPr>
        <w:t>11</w:t>
      </w:r>
      <w:r>
        <w:rPr>
          <w:rFonts w:hint="eastAsia" w:ascii="宋体" w:hAnsi="宋体" w:cs="宋体"/>
          <w:color w:val="000000"/>
          <w:spacing w:val="10"/>
          <w:highlight w:val="none"/>
        </w:rPr>
        <w:t>.采购活动商业关系承诺书</w:t>
      </w:r>
      <w:bookmarkEnd w:id="515"/>
    </w:p>
    <w:p>
      <w:pPr>
        <w:rPr>
          <w:sz w:val="24"/>
          <w:szCs w:val="32"/>
          <w:highlight w:val="none"/>
        </w:rPr>
      </w:pPr>
      <w:r>
        <w:rPr>
          <w:rFonts w:hint="eastAsia"/>
          <w:sz w:val="24"/>
          <w:szCs w:val="32"/>
          <w:highlight w:val="none"/>
        </w:rPr>
        <w:t>（采购单位名称）：</w:t>
      </w:r>
    </w:p>
    <w:p>
      <w:pPr>
        <w:pStyle w:val="30"/>
        <w:spacing w:line="360" w:lineRule="auto"/>
        <w:ind w:left="1858" w:leftChars="542" w:hanging="720" w:hangingChars="300"/>
        <w:rPr>
          <w:sz w:val="24"/>
          <w:szCs w:val="32"/>
          <w:highlight w:val="none"/>
        </w:rPr>
      </w:pPr>
      <w:r>
        <w:rPr>
          <w:rFonts w:hint="eastAsia"/>
          <w:sz w:val="24"/>
          <w:szCs w:val="32"/>
          <w:highlight w:val="none"/>
        </w:rPr>
        <w:t>兹有</w:t>
      </w:r>
      <w:r>
        <w:rPr>
          <w:rFonts w:hint="eastAsia"/>
          <w:sz w:val="24"/>
          <w:szCs w:val="32"/>
          <w:highlight w:val="none"/>
          <w:u w:val="single"/>
        </w:rPr>
        <w:t xml:space="preserve"> </w:t>
      </w:r>
      <w:r>
        <w:rPr>
          <w:rFonts w:hint="eastAsia"/>
          <w:sz w:val="24"/>
          <w:szCs w:val="32"/>
          <w:highlight w:val="none"/>
          <w:u w:val="single"/>
        </w:rPr>
        <w:tab/>
      </w:r>
      <w:r>
        <w:rPr>
          <w:rFonts w:hint="eastAsia"/>
          <w:sz w:val="24"/>
          <w:szCs w:val="32"/>
          <w:highlight w:val="none"/>
          <w:u w:val="single"/>
        </w:rPr>
        <w:t xml:space="preserve">                 （单位）</w:t>
      </w:r>
      <w:r>
        <w:rPr>
          <w:rFonts w:hint="eastAsia"/>
          <w:sz w:val="24"/>
          <w:szCs w:val="32"/>
          <w:highlight w:val="none"/>
        </w:rPr>
        <w:t>，法定代表人（姓名）</w:t>
      </w:r>
      <w:r>
        <w:rPr>
          <w:rFonts w:hint="eastAsia"/>
          <w:sz w:val="24"/>
          <w:szCs w:val="32"/>
          <w:highlight w:val="none"/>
          <w:u w:val="single"/>
        </w:rPr>
        <w:t xml:space="preserve">           </w:t>
      </w:r>
      <w:r>
        <w:rPr>
          <w:rFonts w:hint="eastAsia"/>
          <w:sz w:val="24"/>
          <w:szCs w:val="32"/>
          <w:highlight w:val="none"/>
        </w:rPr>
        <w:t>合法</w:t>
      </w:r>
    </w:p>
    <w:p>
      <w:pPr>
        <w:pStyle w:val="30"/>
        <w:spacing w:line="360" w:lineRule="auto"/>
        <w:rPr>
          <w:sz w:val="24"/>
          <w:szCs w:val="32"/>
          <w:highlight w:val="none"/>
        </w:rPr>
      </w:pPr>
      <w:r>
        <w:rPr>
          <w:rFonts w:hint="eastAsia"/>
          <w:sz w:val="24"/>
          <w:szCs w:val="32"/>
          <w:highlight w:val="none"/>
        </w:rPr>
        <w:t>参加</w:t>
      </w:r>
      <w:r>
        <w:rPr>
          <w:rFonts w:hint="eastAsia"/>
          <w:sz w:val="24"/>
          <w:szCs w:val="32"/>
          <w:highlight w:val="none"/>
          <w:u w:val="single"/>
        </w:rPr>
        <w:t xml:space="preserve">                         </w:t>
      </w:r>
      <w:r>
        <w:rPr>
          <w:rFonts w:hint="eastAsia"/>
          <w:sz w:val="24"/>
          <w:szCs w:val="32"/>
          <w:highlight w:val="none"/>
        </w:rPr>
        <w:t>项目（项目编号：</w:t>
      </w:r>
      <w:r>
        <w:rPr>
          <w:rFonts w:hint="eastAsia"/>
          <w:sz w:val="24"/>
          <w:szCs w:val="32"/>
          <w:highlight w:val="none"/>
          <w:u w:val="single"/>
        </w:rPr>
        <w:t xml:space="preserve">              </w:t>
      </w:r>
      <w:r>
        <w:rPr>
          <w:rFonts w:hint="eastAsia"/>
          <w:sz w:val="24"/>
          <w:szCs w:val="32"/>
          <w:highlight w:val="none"/>
        </w:rPr>
        <w:t xml:space="preserve">）采购活动。现就有关公平竞争事项郑重承诺如下： </w:t>
      </w:r>
    </w:p>
    <w:p>
      <w:pPr>
        <w:ind w:firstLine="241" w:firstLineChars="100"/>
        <w:rPr>
          <w:b/>
          <w:sz w:val="24"/>
          <w:highlight w:val="none"/>
        </w:rPr>
      </w:pPr>
      <w:r>
        <w:rPr>
          <w:rFonts w:hint="eastAsia"/>
          <w:b/>
          <w:sz w:val="24"/>
          <w:highlight w:val="none"/>
        </w:rPr>
        <w:t>一、</w:t>
      </w:r>
      <w:r>
        <w:rPr>
          <w:b/>
          <w:sz w:val="24"/>
          <w:highlight w:val="none"/>
        </w:rPr>
        <w:t>本单位与采购人之间</w:t>
      </w:r>
    </w:p>
    <w:p>
      <w:pPr>
        <w:pStyle w:val="30"/>
        <w:spacing w:line="360" w:lineRule="auto"/>
        <w:rPr>
          <w:sz w:val="24"/>
          <w:szCs w:val="32"/>
          <w:highlight w:val="none"/>
        </w:rPr>
      </w:pPr>
      <w:r>
        <w:rPr>
          <w:sz w:val="24"/>
          <w:szCs w:val="32"/>
          <w:highlight w:val="none"/>
        </w:rPr>
        <w:t>□不存在利害关系。</w:t>
      </w:r>
    </w:p>
    <w:p>
      <w:pPr>
        <w:pStyle w:val="30"/>
        <w:spacing w:line="360" w:lineRule="auto"/>
        <w:rPr>
          <w:sz w:val="24"/>
          <w:szCs w:val="32"/>
          <w:highlight w:val="none"/>
          <w:u w:val="single"/>
        </w:rPr>
      </w:pPr>
      <w:r>
        <w:rPr>
          <w:sz w:val="24"/>
          <w:szCs w:val="32"/>
          <w:highlight w:val="none"/>
        </w:rPr>
        <w:t>□存在下列利害关系</w:t>
      </w:r>
      <w:r>
        <w:rPr>
          <w:rFonts w:hint="eastAsia"/>
          <w:sz w:val="24"/>
          <w:szCs w:val="32"/>
          <w:highlight w:val="none"/>
        </w:rPr>
        <w:t>：</w:t>
      </w:r>
      <w:r>
        <w:rPr>
          <w:rFonts w:hint="eastAsia"/>
          <w:sz w:val="24"/>
          <w:szCs w:val="32"/>
          <w:highlight w:val="none"/>
          <w:u w:val="single"/>
        </w:rPr>
        <w:t xml:space="preserve">             </w:t>
      </w:r>
    </w:p>
    <w:p>
      <w:pPr>
        <w:pStyle w:val="30"/>
        <w:spacing w:line="360" w:lineRule="auto"/>
        <w:ind w:firstLine="480" w:firstLineChars="200"/>
        <w:rPr>
          <w:sz w:val="24"/>
          <w:szCs w:val="32"/>
          <w:highlight w:val="none"/>
        </w:rPr>
      </w:pPr>
      <w:r>
        <w:rPr>
          <w:rFonts w:hint="eastAsia"/>
          <w:sz w:val="24"/>
          <w:szCs w:val="32"/>
          <w:highlight w:val="none"/>
        </w:rPr>
        <w:t>A．投资关系      B.行政隶属关系</w:t>
      </w:r>
      <w:r>
        <w:rPr>
          <w:rFonts w:hint="eastAsia"/>
          <w:sz w:val="24"/>
          <w:szCs w:val="32"/>
          <w:highlight w:val="none"/>
        </w:rPr>
        <w:tab/>
      </w:r>
      <w:r>
        <w:rPr>
          <w:rFonts w:hint="eastAsia"/>
          <w:sz w:val="24"/>
          <w:szCs w:val="32"/>
          <w:highlight w:val="none"/>
        </w:rPr>
        <w:t xml:space="preserve">    C.业务指导关系</w:t>
      </w:r>
    </w:p>
    <w:p>
      <w:pPr>
        <w:pStyle w:val="30"/>
        <w:spacing w:line="360" w:lineRule="auto"/>
        <w:ind w:firstLine="480" w:firstLineChars="200"/>
        <w:rPr>
          <w:sz w:val="24"/>
          <w:szCs w:val="32"/>
          <w:highlight w:val="none"/>
          <w:u w:val="single"/>
        </w:rPr>
      </w:pPr>
      <w:r>
        <w:rPr>
          <w:rFonts w:hint="eastAsia"/>
          <w:sz w:val="24"/>
          <w:szCs w:val="32"/>
          <w:highlight w:val="none"/>
        </w:rPr>
        <w:t>D.其他可能影响采购公正的利害关系（如有，请如实说明）</w:t>
      </w:r>
      <w:r>
        <w:rPr>
          <w:rFonts w:hint="eastAsia"/>
          <w:sz w:val="24"/>
          <w:szCs w:val="32"/>
          <w:highlight w:val="none"/>
        </w:rPr>
        <w:tab/>
      </w:r>
      <w:r>
        <w:rPr>
          <w:rFonts w:hint="eastAsia"/>
          <w:sz w:val="24"/>
          <w:szCs w:val="32"/>
          <w:highlight w:val="none"/>
        </w:rPr>
        <w:t>。</w:t>
      </w:r>
      <w:r>
        <w:rPr>
          <w:rFonts w:hint="eastAsia"/>
          <w:sz w:val="24"/>
          <w:szCs w:val="32"/>
          <w:highlight w:val="none"/>
          <w:u w:val="single"/>
        </w:rPr>
        <w:t xml:space="preserve">             </w:t>
      </w:r>
    </w:p>
    <w:p>
      <w:pPr>
        <w:ind w:firstLine="241" w:firstLineChars="100"/>
        <w:rPr>
          <w:b/>
          <w:sz w:val="24"/>
          <w:highlight w:val="none"/>
        </w:rPr>
      </w:pPr>
      <w:r>
        <w:rPr>
          <w:rFonts w:hint="eastAsia"/>
          <w:b/>
          <w:sz w:val="24"/>
          <w:highlight w:val="none"/>
        </w:rPr>
        <w:t>二、本单位承诺：与本单位存在如下关系的其他单位不参加本项目的投标活动。</w:t>
      </w:r>
    </w:p>
    <w:p>
      <w:pPr>
        <w:pStyle w:val="30"/>
        <w:spacing w:line="360" w:lineRule="auto"/>
        <w:ind w:firstLine="480" w:firstLineChars="200"/>
        <w:rPr>
          <w:sz w:val="24"/>
          <w:szCs w:val="32"/>
          <w:highlight w:val="none"/>
        </w:rPr>
      </w:pPr>
      <w:r>
        <w:rPr>
          <w:rFonts w:hint="eastAsia"/>
          <w:sz w:val="24"/>
          <w:szCs w:val="32"/>
          <w:highlight w:val="none"/>
        </w:rPr>
        <w:t>1.单位负责人为同一人或者存在直接控股、管理关系的其他单位，不参加本项目的投标活动。</w:t>
      </w:r>
    </w:p>
    <w:p>
      <w:pPr>
        <w:pStyle w:val="30"/>
        <w:spacing w:line="360" w:lineRule="auto"/>
        <w:ind w:firstLine="480" w:firstLineChars="200"/>
        <w:rPr>
          <w:sz w:val="24"/>
          <w:szCs w:val="32"/>
          <w:highlight w:val="none"/>
        </w:rPr>
      </w:pPr>
      <w:r>
        <w:rPr>
          <w:rFonts w:hint="eastAsia"/>
          <w:sz w:val="24"/>
          <w:szCs w:val="32"/>
          <w:highlight w:val="none"/>
        </w:rPr>
        <w:t>2.其他法律法规规定的可能影响公平竞争的情形下，不参加本项目的投标活动。</w:t>
      </w:r>
    </w:p>
    <w:p>
      <w:pPr>
        <w:pStyle w:val="4"/>
        <w:spacing w:before="0" w:after="100" w:afterAutospacing="1"/>
        <w:ind w:firstLine="482" w:firstLineChars="200"/>
        <w:jc w:val="both"/>
        <w:rPr>
          <w:rFonts w:ascii="Times New Roman" w:hAnsi="Times New Roman"/>
          <w:kern w:val="2"/>
          <w:sz w:val="24"/>
          <w:highlight w:val="none"/>
        </w:rPr>
      </w:pPr>
      <w:bookmarkStart w:id="522" w:name="_Toc14814"/>
      <w:r>
        <w:rPr>
          <w:rFonts w:hint="eastAsia" w:ascii="Times New Roman" w:hAnsi="Times New Roman"/>
          <w:kern w:val="2"/>
          <w:sz w:val="24"/>
          <w:highlight w:val="none"/>
        </w:rPr>
        <w:t>本单位</w:t>
      </w:r>
      <w:r>
        <w:rPr>
          <w:rFonts w:hint="eastAsia" w:ascii="Times New Roman" w:hAnsi="Times New Roman"/>
          <w:kern w:val="2"/>
          <w:sz w:val="24"/>
          <w:highlight w:val="none"/>
          <w:lang w:eastAsia="zh-CN"/>
        </w:rPr>
        <w:t>承诺</w:t>
      </w:r>
      <w:r>
        <w:rPr>
          <w:rFonts w:hint="eastAsia" w:ascii="Times New Roman" w:hAnsi="Times New Roman"/>
          <w:kern w:val="2"/>
          <w:sz w:val="24"/>
          <w:highlight w:val="none"/>
        </w:rPr>
        <w:t>以上声明情况真实，若存在虚假情况，一切后果由本单位承担；对采购人造成损失的，由本单位承担。</w:t>
      </w:r>
      <w:bookmarkEnd w:id="522"/>
    </w:p>
    <w:p>
      <w:pPr>
        <w:pStyle w:val="18"/>
        <w:tabs>
          <w:tab w:val="left" w:pos="9602"/>
        </w:tabs>
        <w:ind w:left="5347"/>
        <w:rPr>
          <w:rFonts w:eastAsia="Times New Roman"/>
          <w:highlight w:val="none"/>
        </w:rPr>
      </w:pPr>
      <w:r>
        <w:rPr>
          <w:highlight w:val="none"/>
        </w:rPr>
        <w:t>法定代表人签字或盖章：</w:t>
      </w:r>
      <w:r>
        <w:rPr>
          <w:rFonts w:eastAsia="Times New Roman"/>
          <w:highlight w:val="none"/>
          <w:u w:val="single"/>
        </w:rPr>
        <w:t xml:space="preserve"> </w:t>
      </w:r>
      <w:r>
        <w:rPr>
          <w:rFonts w:eastAsia="Times New Roman"/>
          <w:highlight w:val="none"/>
          <w:u w:val="single"/>
        </w:rPr>
        <w:tab/>
      </w:r>
    </w:p>
    <w:p>
      <w:pPr>
        <w:pStyle w:val="18"/>
        <w:rPr>
          <w:sz w:val="20"/>
          <w:highlight w:val="none"/>
        </w:rPr>
      </w:pPr>
    </w:p>
    <w:p>
      <w:pPr>
        <w:pStyle w:val="18"/>
        <w:spacing w:before="66"/>
        <w:jc w:val="right"/>
        <w:rPr>
          <w:highlight w:val="none"/>
        </w:rPr>
      </w:pPr>
      <w:r>
        <w:rPr>
          <w:highlight w:val="none"/>
        </w:rPr>
        <w:t>（单位公章）</w:t>
      </w:r>
    </w:p>
    <w:p>
      <w:pPr>
        <w:pStyle w:val="4"/>
        <w:spacing w:before="0" w:after="100" w:afterAutospacing="1"/>
        <w:ind w:firstLine="480" w:firstLineChars="200"/>
        <w:jc w:val="right"/>
        <w:rPr>
          <w:rFonts w:ascii="Calibri" w:hAnsi="Calibri"/>
          <w:b w:val="0"/>
          <w:bCs w:val="0"/>
          <w:sz w:val="24"/>
          <w:szCs w:val="24"/>
          <w:highlight w:val="none"/>
        </w:rPr>
        <w:sectPr>
          <w:headerReference r:id="rId17" w:type="first"/>
          <w:headerReference r:id="rId16" w:type="default"/>
          <w:pgSz w:w="11906" w:h="16838"/>
          <w:pgMar w:top="1077" w:right="1134" w:bottom="1077" w:left="1417" w:header="851" w:footer="992" w:gutter="0"/>
          <w:pgNumType w:fmt="decimal"/>
          <w:cols w:space="720" w:num="1"/>
          <w:titlePg/>
          <w:docGrid w:type="lines" w:linePitch="322" w:charSpace="0"/>
        </w:sectPr>
      </w:pPr>
      <w:bookmarkStart w:id="523" w:name="_Toc23354"/>
      <w:r>
        <w:rPr>
          <w:rFonts w:ascii="Calibri" w:hAnsi="Calibri"/>
          <w:b w:val="0"/>
          <w:bCs w:val="0"/>
          <w:sz w:val="24"/>
          <w:szCs w:val="24"/>
          <w:highlight w:val="none"/>
        </w:rPr>
        <w:t>年</w:t>
      </w:r>
      <w:r>
        <w:rPr>
          <w:rFonts w:ascii="Calibri" w:hAnsi="Calibri"/>
          <w:b w:val="0"/>
          <w:bCs w:val="0"/>
          <w:sz w:val="24"/>
          <w:szCs w:val="24"/>
          <w:highlight w:val="none"/>
        </w:rPr>
        <w:tab/>
      </w:r>
      <w:bookmarkEnd w:id="523"/>
    </w:p>
    <w:bookmarkEnd w:id="516"/>
    <w:bookmarkEnd w:id="517"/>
    <w:bookmarkEnd w:id="518"/>
    <w:bookmarkEnd w:id="519"/>
    <w:bookmarkEnd w:id="520"/>
    <w:bookmarkEnd w:id="521"/>
    <w:p>
      <w:pPr>
        <w:pStyle w:val="30"/>
        <w:ind w:left="0" w:leftChars="0" w:firstLine="3914" w:firstLineChars="1300"/>
        <w:jc w:val="both"/>
        <w:rPr>
          <w:rFonts w:ascii="宋体" w:hAnsi="宋体" w:cs="宋体"/>
          <w:b/>
          <w:bCs/>
          <w:spacing w:val="10"/>
          <w:sz w:val="28"/>
          <w:szCs w:val="36"/>
          <w:highlight w:val="none"/>
        </w:rPr>
      </w:pPr>
      <w:bookmarkStart w:id="524" w:name="_Toc2273"/>
      <w:bookmarkStart w:id="525" w:name="_Toc32248"/>
      <w:bookmarkStart w:id="526" w:name="_Toc15259"/>
      <w:bookmarkStart w:id="527" w:name="_Toc29323"/>
      <w:bookmarkStart w:id="528" w:name="_Toc15499"/>
      <w:bookmarkStart w:id="529" w:name="_Toc26776"/>
      <w:r>
        <w:rPr>
          <w:rFonts w:hint="eastAsia" w:ascii="宋体" w:hAnsi="宋体" w:cs="宋体"/>
          <w:b/>
          <w:bCs/>
          <w:spacing w:val="10"/>
          <w:sz w:val="28"/>
          <w:szCs w:val="36"/>
          <w:highlight w:val="none"/>
        </w:rPr>
        <w:t>1</w:t>
      </w:r>
      <w:r>
        <w:rPr>
          <w:rFonts w:hint="eastAsia" w:ascii="宋体" w:hAnsi="宋体" w:cs="宋体"/>
          <w:b/>
          <w:bCs/>
          <w:spacing w:val="10"/>
          <w:sz w:val="28"/>
          <w:szCs w:val="36"/>
          <w:highlight w:val="none"/>
          <w:lang w:val="en-US" w:eastAsia="zh-CN"/>
        </w:rPr>
        <w:t>2</w:t>
      </w:r>
      <w:r>
        <w:rPr>
          <w:rFonts w:hint="eastAsia" w:ascii="宋体" w:hAnsi="宋体" w:cs="宋体"/>
          <w:b/>
          <w:bCs/>
          <w:spacing w:val="10"/>
          <w:sz w:val="28"/>
          <w:szCs w:val="36"/>
          <w:highlight w:val="none"/>
        </w:rPr>
        <w:t>.投标人一般情况表</w:t>
      </w:r>
      <w:bookmarkEnd w:id="524"/>
      <w:bookmarkEnd w:id="525"/>
      <w:bookmarkEnd w:id="526"/>
      <w:bookmarkEnd w:id="527"/>
      <w:bookmarkEnd w:id="528"/>
      <w:bookmarkEnd w:id="529"/>
    </w:p>
    <w:tbl>
      <w:tblPr>
        <w:tblStyle w:val="38"/>
        <w:tblW w:w="957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06"/>
        <w:gridCol w:w="1084"/>
        <w:gridCol w:w="1381"/>
        <w:gridCol w:w="1397"/>
        <w:gridCol w:w="8"/>
        <w:gridCol w:w="1477"/>
        <w:gridCol w:w="179"/>
        <w:gridCol w:w="1129"/>
        <w:gridCol w:w="121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投标人名称</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注册地址</w:t>
            </w:r>
          </w:p>
        </w:tc>
        <w:tc>
          <w:tcPr>
            <w:tcW w:w="3870" w:type="dxa"/>
            <w:gridSpan w:val="4"/>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7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邮政编码</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1706" w:type="dxa"/>
            <w:vMerge w:val="restart"/>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联系方式</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联系人</w:t>
            </w:r>
          </w:p>
        </w:tc>
        <w:tc>
          <w:tcPr>
            <w:tcW w:w="277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85" w:type="dxa"/>
            <w:gridSpan w:val="2"/>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电话</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传真</w:t>
            </w:r>
          </w:p>
        </w:tc>
        <w:tc>
          <w:tcPr>
            <w:tcW w:w="277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485" w:type="dxa"/>
            <w:gridSpan w:val="2"/>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网址</w:t>
            </w:r>
          </w:p>
        </w:tc>
        <w:tc>
          <w:tcPr>
            <w:tcW w:w="2518" w:type="dxa"/>
            <w:gridSpan w:val="3"/>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组织结构</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法定代表人</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381"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技术职称</w:t>
            </w:r>
          </w:p>
        </w:tc>
        <w:tc>
          <w:tcPr>
            <w:tcW w:w="148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0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电话</w:t>
            </w:r>
          </w:p>
        </w:tc>
        <w:tc>
          <w:tcPr>
            <w:tcW w:w="1210"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技术负责人</w:t>
            </w:r>
          </w:p>
        </w:tc>
        <w:tc>
          <w:tcPr>
            <w:tcW w:w="1084"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381"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技术职称</w:t>
            </w:r>
          </w:p>
        </w:tc>
        <w:tc>
          <w:tcPr>
            <w:tcW w:w="148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08"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电话</w:t>
            </w:r>
          </w:p>
        </w:tc>
        <w:tc>
          <w:tcPr>
            <w:tcW w:w="1210" w:type="dxa"/>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成立时间</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5400" w:type="dxa"/>
            <w:gridSpan w:val="6"/>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2"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企业资质等级</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restart"/>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其中</w:t>
            </w: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项目经理</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营业执照号</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高级职称人员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注册资金</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中级职称人员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3"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开户银行</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初级职称人员</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账号</w:t>
            </w:r>
          </w:p>
        </w:tc>
        <w:tc>
          <w:tcPr>
            <w:tcW w:w="2465"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397" w:type="dxa"/>
            <w:vMerge w:val="continue"/>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c>
          <w:tcPr>
            <w:tcW w:w="1664" w:type="dxa"/>
            <w:gridSpan w:val="3"/>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技工</w:t>
            </w:r>
          </w:p>
        </w:tc>
        <w:tc>
          <w:tcPr>
            <w:tcW w:w="2339" w:type="dxa"/>
            <w:gridSpan w:val="2"/>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52"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经营范围</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81" w:hRule="atLeast"/>
        </w:trPr>
        <w:tc>
          <w:tcPr>
            <w:tcW w:w="170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备注</w:t>
            </w:r>
          </w:p>
        </w:tc>
        <w:tc>
          <w:tcPr>
            <w:tcW w:w="7865" w:type="dxa"/>
            <w:gridSpan w:val="8"/>
            <w:vAlign w:val="center"/>
          </w:tcPr>
          <w:p>
            <w:pPr>
              <w:autoSpaceDE w:val="0"/>
              <w:autoSpaceDN w:val="0"/>
              <w:adjustRightInd w:val="0"/>
              <w:spacing w:line="360" w:lineRule="auto"/>
              <w:ind w:firstLine="420" w:firstLineChars="200"/>
              <w:jc w:val="center"/>
              <w:rPr>
                <w:rFonts w:ascii="宋体" w:hAnsi="宋体" w:cs="宋体"/>
                <w:szCs w:val="21"/>
                <w:highlight w:val="none"/>
              </w:rPr>
            </w:pPr>
          </w:p>
        </w:tc>
      </w:tr>
    </w:tbl>
    <w:p>
      <w:pPr>
        <w:pStyle w:val="4"/>
        <w:spacing w:before="0" w:after="100" w:afterAutospacing="1"/>
        <w:rPr>
          <w:rFonts w:ascii="宋体" w:hAnsi="宋体" w:cs="宋体"/>
          <w:spacing w:val="10"/>
          <w:highlight w:val="none"/>
        </w:rPr>
      </w:pPr>
      <w:bookmarkStart w:id="530" w:name="_Toc29023"/>
      <w:bookmarkStart w:id="531" w:name="_Toc13727"/>
      <w:bookmarkStart w:id="532" w:name="_Toc14157"/>
      <w:bookmarkStart w:id="533" w:name="_Toc30871"/>
      <w:bookmarkStart w:id="534" w:name="_Toc18921"/>
      <w:bookmarkStart w:id="535" w:name="_Toc8038"/>
      <w:r>
        <w:rPr>
          <w:rFonts w:hint="eastAsia" w:ascii="宋体" w:hAnsi="宋体" w:cs="宋体"/>
          <w:spacing w:val="10"/>
          <w:highlight w:val="none"/>
          <w:lang w:val="en-US" w:eastAsia="zh-CN"/>
        </w:rPr>
        <w:t>13</w:t>
      </w:r>
      <w:r>
        <w:rPr>
          <w:rFonts w:hint="eastAsia" w:ascii="宋体" w:hAnsi="宋体" w:cs="宋体"/>
          <w:spacing w:val="10"/>
          <w:highlight w:val="none"/>
        </w:rPr>
        <w:t>.</w:t>
      </w:r>
      <w:r>
        <w:rPr>
          <w:rFonts w:hint="eastAsia" w:ascii="宋体" w:hAnsi="宋体" w:cs="宋体"/>
          <w:spacing w:val="10"/>
          <w:highlight w:val="none"/>
          <w:lang w:val="en-US" w:eastAsia="zh-CN"/>
        </w:rPr>
        <w:t>符合性审查</w:t>
      </w:r>
      <w:r>
        <w:rPr>
          <w:rFonts w:hint="eastAsia" w:ascii="宋体" w:hAnsi="宋体" w:cs="宋体"/>
          <w:spacing w:val="10"/>
          <w:highlight w:val="none"/>
        </w:rPr>
        <w:t>表</w:t>
      </w:r>
    </w:p>
    <w:tbl>
      <w:tblPr>
        <w:tblStyle w:val="38"/>
        <w:tblW w:w="46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784"/>
        <w:gridCol w:w="3273"/>
        <w:gridCol w:w="1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10" w:type="pct"/>
          </w:tcPr>
          <w:p>
            <w:pPr>
              <w:pStyle w:val="224"/>
              <w:spacing w:before="92"/>
              <w:ind w:left="609"/>
              <w:rPr>
                <w:sz w:val="24"/>
                <w:highlight w:val="none"/>
              </w:rPr>
            </w:pPr>
            <w:r>
              <w:rPr>
                <w:sz w:val="24"/>
                <w:highlight w:val="none"/>
              </w:rPr>
              <w:t>招标</w:t>
            </w:r>
            <w:r>
              <w:rPr>
                <w:rFonts w:hint="eastAsia"/>
                <w:sz w:val="24"/>
                <w:highlight w:val="none"/>
                <w:lang w:val="en-US" w:eastAsia="zh-CN"/>
              </w:rPr>
              <w:t>文件</w:t>
            </w:r>
            <w:r>
              <w:rPr>
                <w:sz w:val="24"/>
                <w:highlight w:val="none"/>
              </w:rPr>
              <w:t>要求投标应答</w:t>
            </w:r>
          </w:p>
        </w:tc>
        <w:tc>
          <w:tcPr>
            <w:tcW w:w="1825" w:type="pct"/>
          </w:tcPr>
          <w:p>
            <w:pPr>
              <w:pStyle w:val="224"/>
              <w:spacing w:before="92"/>
              <w:ind w:left="539"/>
              <w:rPr>
                <w:sz w:val="24"/>
                <w:highlight w:val="none"/>
              </w:rPr>
            </w:pPr>
            <w:r>
              <w:rPr>
                <w:sz w:val="24"/>
                <w:highlight w:val="none"/>
              </w:rPr>
              <w:t>投标</w:t>
            </w:r>
            <w:r>
              <w:rPr>
                <w:rFonts w:hint="eastAsia"/>
                <w:sz w:val="24"/>
                <w:highlight w:val="none"/>
                <w:lang w:val="en-US" w:eastAsia="zh-CN"/>
              </w:rPr>
              <w:t>商</w:t>
            </w:r>
            <w:r>
              <w:rPr>
                <w:sz w:val="24"/>
                <w:highlight w:val="none"/>
              </w:rPr>
              <w:t>应答</w:t>
            </w:r>
          </w:p>
        </w:tc>
        <w:tc>
          <w:tcPr>
            <w:tcW w:w="1063" w:type="pct"/>
          </w:tcPr>
          <w:p>
            <w:pPr>
              <w:pStyle w:val="224"/>
              <w:spacing w:before="92"/>
              <w:ind w:left="129"/>
              <w:rPr>
                <w:sz w:val="24"/>
                <w:highlight w:val="none"/>
              </w:rPr>
            </w:pPr>
            <w:r>
              <w:rPr>
                <w:sz w:val="24"/>
                <w:highlight w:val="none"/>
              </w:rPr>
              <w:t>投标文件页码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4"/>
              <w:spacing w:before="145" w:line="360" w:lineRule="auto"/>
              <w:ind w:left="109" w:leftChars="0" w:right="101" w:rightChars="0"/>
              <w:jc w:val="center"/>
              <w:rPr>
                <w:sz w:val="24"/>
                <w:highlight w:val="none"/>
              </w:rPr>
            </w:pPr>
            <w:r>
              <w:rPr>
                <w:rFonts w:hint="eastAsia"/>
                <w:color w:val="auto"/>
                <w:sz w:val="24"/>
                <w:highlight w:val="none"/>
              </w:rPr>
              <w:t>报价不得超过招标文件中规定的预算金额或者最高限价的</w:t>
            </w:r>
          </w:p>
        </w:tc>
        <w:tc>
          <w:tcPr>
            <w:tcW w:w="1825" w:type="pct"/>
            <w:vAlign w:val="center"/>
          </w:tcPr>
          <w:p>
            <w:pPr>
              <w:pStyle w:val="224"/>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4"/>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10" w:type="pct"/>
            <w:vAlign w:val="center"/>
          </w:tcPr>
          <w:p>
            <w:pPr>
              <w:pStyle w:val="224"/>
              <w:spacing w:before="145" w:line="360" w:lineRule="auto"/>
              <w:ind w:left="109" w:leftChars="0" w:right="101" w:rightChars="0"/>
              <w:jc w:val="center"/>
              <w:rPr>
                <w:sz w:val="24"/>
                <w:highlight w:val="none"/>
              </w:rPr>
            </w:pPr>
            <w:r>
              <w:rPr>
                <w:rFonts w:hint="eastAsia"/>
                <w:color w:val="auto"/>
                <w:sz w:val="24"/>
                <w:highlight w:val="none"/>
              </w:rPr>
              <w:t>投标文件严格按照招标文件要求签署、盖章</w:t>
            </w:r>
          </w:p>
        </w:tc>
        <w:tc>
          <w:tcPr>
            <w:tcW w:w="1825" w:type="pct"/>
            <w:vAlign w:val="center"/>
          </w:tcPr>
          <w:p>
            <w:pPr>
              <w:pStyle w:val="224"/>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4"/>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10" w:type="pct"/>
            <w:vAlign w:val="center"/>
          </w:tcPr>
          <w:p>
            <w:pPr>
              <w:pStyle w:val="224"/>
              <w:spacing w:before="145" w:line="360" w:lineRule="auto"/>
              <w:ind w:left="109" w:leftChars="0" w:right="101" w:rightChars="0"/>
              <w:jc w:val="center"/>
              <w:rPr>
                <w:sz w:val="24"/>
                <w:highlight w:val="none"/>
              </w:rPr>
            </w:pPr>
            <w:r>
              <w:rPr>
                <w:rFonts w:hint="eastAsia"/>
                <w:color w:val="auto"/>
                <w:sz w:val="24"/>
                <w:highlight w:val="none"/>
              </w:rPr>
              <w:t>投标有效期完全响应招标文件的要求</w:t>
            </w:r>
          </w:p>
        </w:tc>
        <w:tc>
          <w:tcPr>
            <w:tcW w:w="1825" w:type="pct"/>
            <w:vAlign w:val="center"/>
          </w:tcPr>
          <w:p>
            <w:pPr>
              <w:pStyle w:val="224"/>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4"/>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4"/>
              <w:spacing w:before="145" w:line="360" w:lineRule="auto"/>
              <w:ind w:left="109" w:leftChars="0" w:right="101" w:rightChars="0"/>
              <w:jc w:val="center"/>
              <w:rPr>
                <w:sz w:val="24"/>
                <w:highlight w:val="none"/>
              </w:rPr>
            </w:pPr>
            <w:r>
              <w:rPr>
                <w:rFonts w:hint="eastAsia"/>
                <w:color w:val="auto"/>
                <w:sz w:val="24"/>
                <w:highlight w:val="none"/>
              </w:rPr>
              <w:t>交货期完全响应招标文件的要求；</w:t>
            </w:r>
          </w:p>
        </w:tc>
        <w:tc>
          <w:tcPr>
            <w:tcW w:w="1825" w:type="pct"/>
            <w:vAlign w:val="center"/>
          </w:tcPr>
          <w:p>
            <w:pPr>
              <w:pStyle w:val="224"/>
              <w:spacing w:before="145" w:line="360" w:lineRule="auto"/>
              <w:ind w:left="109" w:leftChars="0" w:right="101" w:rightChars="0"/>
              <w:jc w:val="center"/>
              <w:rPr>
                <w:rFonts w:hint="eastAsia" w:ascii="宋体" w:hAnsi="宋体" w:eastAsia="宋体" w:cs="宋体"/>
                <w:color w:val="000000"/>
                <w:kern w:val="2"/>
                <w:sz w:val="24"/>
                <w:szCs w:val="24"/>
                <w:highlight w:val="none"/>
                <w:lang w:val="en-US" w:eastAsia="zh-CN" w:bidi="ar-SA"/>
              </w:rPr>
            </w:pPr>
          </w:p>
        </w:tc>
        <w:tc>
          <w:tcPr>
            <w:tcW w:w="1063" w:type="pct"/>
          </w:tcPr>
          <w:p>
            <w:pPr>
              <w:pStyle w:val="224"/>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4"/>
              <w:spacing w:before="145" w:line="360" w:lineRule="auto"/>
              <w:ind w:left="109" w:leftChars="0" w:right="101" w:rightChars="0"/>
              <w:jc w:val="center"/>
              <w:rPr>
                <w:sz w:val="24"/>
                <w:highlight w:val="none"/>
              </w:rPr>
            </w:pPr>
            <w:r>
              <w:rPr>
                <w:rFonts w:hint="eastAsia" w:cs="宋体"/>
                <w:color w:val="auto"/>
                <w:sz w:val="24"/>
                <w:highlight w:val="none"/>
                <w:lang w:eastAsia="zh-CN"/>
              </w:rPr>
              <w:t>付款方式</w:t>
            </w:r>
            <w:r>
              <w:rPr>
                <w:rFonts w:hint="eastAsia" w:cs="宋体"/>
                <w:color w:val="auto"/>
                <w:sz w:val="24"/>
                <w:highlight w:val="none"/>
                <w:lang w:val="en-US" w:eastAsia="zh-CN"/>
              </w:rPr>
              <w:t>完全</w:t>
            </w:r>
            <w:r>
              <w:rPr>
                <w:rFonts w:hint="eastAsia" w:ascii="宋体" w:hAnsi="宋体" w:eastAsia="宋体" w:cs="宋体"/>
                <w:color w:val="auto"/>
                <w:sz w:val="24"/>
                <w:highlight w:val="none"/>
              </w:rPr>
              <w:t>响应招标文件的要求；</w:t>
            </w:r>
          </w:p>
        </w:tc>
        <w:tc>
          <w:tcPr>
            <w:tcW w:w="1825" w:type="pct"/>
            <w:vAlign w:val="center"/>
          </w:tcPr>
          <w:p>
            <w:pPr>
              <w:pStyle w:val="224"/>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4"/>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4"/>
              <w:spacing w:before="145" w:line="360" w:lineRule="auto"/>
              <w:ind w:left="109" w:leftChars="0" w:right="101" w:rightChars="0"/>
              <w:jc w:val="center"/>
              <w:rPr>
                <w:sz w:val="24"/>
                <w:highlight w:val="none"/>
              </w:rPr>
            </w:pPr>
            <w:r>
              <w:rPr>
                <w:rFonts w:hint="eastAsia" w:cs="宋体"/>
                <w:color w:val="auto"/>
                <w:sz w:val="24"/>
                <w:highlight w:val="none"/>
                <w:lang w:val="en-US" w:eastAsia="zh-CN"/>
              </w:rPr>
              <w:t>质保期完全</w:t>
            </w:r>
            <w:r>
              <w:rPr>
                <w:rFonts w:hint="eastAsia" w:ascii="宋体" w:hAnsi="宋体" w:eastAsia="宋体" w:cs="宋体"/>
                <w:color w:val="auto"/>
                <w:sz w:val="24"/>
                <w:highlight w:val="none"/>
              </w:rPr>
              <w:t>响应招标文件的要求；</w:t>
            </w:r>
          </w:p>
        </w:tc>
        <w:tc>
          <w:tcPr>
            <w:tcW w:w="1825" w:type="pct"/>
            <w:vAlign w:val="center"/>
          </w:tcPr>
          <w:p>
            <w:pPr>
              <w:pStyle w:val="224"/>
              <w:spacing w:before="145" w:line="360" w:lineRule="auto"/>
              <w:ind w:left="109" w:leftChars="0" w:right="101" w:rightChars="0"/>
              <w:jc w:val="center"/>
              <w:rPr>
                <w:rFonts w:ascii="宋体" w:hAnsi="宋体" w:eastAsia="宋体" w:cs="宋体"/>
                <w:color w:val="000000"/>
                <w:kern w:val="2"/>
                <w:sz w:val="24"/>
                <w:szCs w:val="24"/>
                <w:highlight w:val="none"/>
                <w:lang w:val="en-US" w:eastAsia="zh-CN" w:bidi="ar-SA"/>
              </w:rPr>
            </w:pPr>
          </w:p>
        </w:tc>
        <w:tc>
          <w:tcPr>
            <w:tcW w:w="1063" w:type="pct"/>
          </w:tcPr>
          <w:p>
            <w:pPr>
              <w:pStyle w:val="224"/>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110" w:type="pct"/>
            <w:vAlign w:val="center"/>
          </w:tcPr>
          <w:p>
            <w:pPr>
              <w:pStyle w:val="224"/>
              <w:spacing w:before="145" w:line="360" w:lineRule="auto"/>
              <w:ind w:left="109" w:leftChars="0" w:right="101" w:rightChars="0"/>
              <w:jc w:val="center"/>
              <w:rPr>
                <w:sz w:val="24"/>
                <w:highlight w:val="none"/>
              </w:rPr>
            </w:pPr>
            <w:r>
              <w:rPr>
                <w:rFonts w:hint="eastAsia" w:cs="宋体"/>
                <w:sz w:val="24"/>
                <w:highlight w:val="none"/>
                <w:lang w:val="en-US" w:eastAsia="zh-CN"/>
              </w:rPr>
              <w:t>不</w:t>
            </w:r>
            <w:r>
              <w:rPr>
                <w:rFonts w:hint="eastAsia" w:ascii="宋体" w:hAnsi="宋体" w:eastAsia="宋体" w:cs="宋体"/>
                <w:sz w:val="24"/>
                <w:highlight w:val="none"/>
              </w:rPr>
              <w:t>存在法律、法规和招标文件规定的其他无效情形。</w:t>
            </w:r>
          </w:p>
        </w:tc>
        <w:tc>
          <w:tcPr>
            <w:tcW w:w="1825" w:type="pct"/>
            <w:vAlign w:val="center"/>
          </w:tcPr>
          <w:p>
            <w:pPr>
              <w:pStyle w:val="224"/>
              <w:spacing w:before="145" w:line="360" w:lineRule="auto"/>
              <w:ind w:left="109" w:leftChars="0" w:right="101" w:rightChars="0"/>
              <w:jc w:val="center"/>
              <w:rPr>
                <w:rFonts w:hint="eastAsia" w:ascii="宋体" w:hAnsi="宋体" w:eastAsia="宋体" w:cs="宋体"/>
                <w:color w:val="auto"/>
                <w:kern w:val="2"/>
                <w:sz w:val="24"/>
                <w:szCs w:val="24"/>
                <w:highlight w:val="none"/>
                <w:lang w:val="en-US" w:eastAsia="zh-CN" w:bidi="ar-SA"/>
              </w:rPr>
            </w:pPr>
          </w:p>
        </w:tc>
        <w:tc>
          <w:tcPr>
            <w:tcW w:w="1063" w:type="pct"/>
          </w:tcPr>
          <w:p>
            <w:pPr>
              <w:pStyle w:val="224"/>
              <w:rPr>
                <w:rFonts w:ascii="Times New Roman"/>
                <w:sz w:val="24"/>
                <w:highlight w:val="none"/>
              </w:rPr>
            </w:pPr>
          </w:p>
        </w:tc>
      </w:tr>
    </w:tbl>
    <w:p>
      <w:pPr>
        <w:spacing w:line="360" w:lineRule="auto"/>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hint="eastAsia" w:ascii="宋体" w:hAnsi="宋体" w:cs="宋体"/>
          <w:spacing w:val="10"/>
          <w:sz w:val="24"/>
          <w:highlight w:val="none"/>
        </w:rPr>
      </w:pPr>
      <w:r>
        <w:rPr>
          <w:rFonts w:hint="eastAsia" w:ascii="宋体" w:hAnsi="宋体" w:cs="宋体"/>
          <w:spacing w:val="10"/>
          <w:sz w:val="24"/>
          <w:highlight w:val="none"/>
        </w:rPr>
        <w:t>日期：</w:t>
      </w:r>
    </w:p>
    <w:p>
      <w:pPr>
        <w:spacing w:line="360" w:lineRule="auto"/>
        <w:rPr>
          <w:rFonts w:ascii="宋体" w:hAnsi="宋体" w:cs="宋体"/>
          <w:sz w:val="24"/>
          <w:highlight w:val="none"/>
        </w:rPr>
      </w:pPr>
      <w:r>
        <w:rPr>
          <w:rFonts w:hint="eastAsia" w:ascii="宋体" w:hAnsi="宋体" w:cs="宋体"/>
          <w:b/>
          <w:bCs/>
          <w:spacing w:val="10"/>
          <w:sz w:val="24"/>
          <w:highlight w:val="none"/>
          <w:lang w:val="en-US" w:eastAsia="zh-CN"/>
        </w:rPr>
        <w:t>备注：</w:t>
      </w:r>
      <w:r>
        <w:rPr>
          <w:rFonts w:hint="eastAsia" w:ascii="宋体" w:hAnsi="宋体" w:cs="宋体"/>
          <w:b/>
          <w:bCs/>
          <w:sz w:val="24"/>
          <w:highlight w:val="none"/>
        </w:rPr>
        <w:t>投标人有以下任何一项不满足，则视为无效投标</w:t>
      </w:r>
      <w:r>
        <w:rPr>
          <w:rFonts w:hint="eastAsia" w:ascii="宋体" w:hAnsi="宋体" w:cs="宋体"/>
          <w:sz w:val="24"/>
          <w:highlight w:val="none"/>
        </w:rPr>
        <w:t>：</w:t>
      </w:r>
    </w:p>
    <w:p>
      <w:pPr>
        <w:spacing w:line="360" w:lineRule="auto"/>
        <w:rPr>
          <w:rFonts w:ascii="宋体" w:hAnsi="宋体" w:cs="宋体"/>
          <w:b/>
          <w:bCs/>
          <w:highlight w:val="none"/>
        </w:rPr>
      </w:pPr>
    </w:p>
    <w:p>
      <w:pPr>
        <w:pStyle w:val="36"/>
        <w:rPr>
          <w:rFonts w:ascii="宋体" w:hAnsi="宋体" w:cs="宋体"/>
          <w:b/>
          <w:bCs/>
          <w:highlight w:val="none"/>
        </w:rPr>
      </w:pPr>
    </w:p>
    <w:p>
      <w:pPr>
        <w:pStyle w:val="36"/>
        <w:rPr>
          <w:rFonts w:ascii="宋体" w:hAnsi="宋体" w:cs="宋体"/>
          <w:b/>
          <w:bCs/>
          <w:highlight w:val="none"/>
        </w:rPr>
      </w:pPr>
    </w:p>
    <w:p>
      <w:pPr>
        <w:pStyle w:val="36"/>
        <w:rPr>
          <w:rFonts w:ascii="宋体" w:hAnsi="宋体" w:cs="宋体"/>
          <w:b/>
          <w:bCs/>
          <w:highlight w:val="none"/>
        </w:rPr>
      </w:pPr>
    </w:p>
    <w:p>
      <w:pPr>
        <w:pStyle w:val="36"/>
        <w:rPr>
          <w:rFonts w:ascii="宋体" w:hAnsi="宋体" w:cs="宋体"/>
          <w:b/>
          <w:bCs/>
          <w:highlight w:val="none"/>
        </w:rPr>
      </w:pPr>
    </w:p>
    <w:p>
      <w:pPr>
        <w:pStyle w:val="36"/>
        <w:rPr>
          <w:rFonts w:ascii="宋体" w:hAnsi="宋体" w:cs="宋体"/>
          <w:b/>
          <w:bCs/>
          <w:highlight w:val="none"/>
        </w:rPr>
      </w:pPr>
    </w:p>
    <w:p>
      <w:pPr>
        <w:pStyle w:val="36"/>
        <w:rPr>
          <w:rFonts w:ascii="宋体" w:hAnsi="宋体" w:cs="宋体"/>
          <w:b/>
          <w:bCs/>
          <w:highlight w:val="none"/>
        </w:rPr>
      </w:pPr>
    </w:p>
    <w:p>
      <w:pPr>
        <w:pStyle w:val="36"/>
        <w:rPr>
          <w:rFonts w:ascii="宋体" w:hAnsi="宋体" w:cs="宋体"/>
          <w:b/>
          <w:bCs/>
          <w:highlight w:val="none"/>
        </w:rPr>
      </w:pPr>
    </w:p>
    <w:p>
      <w:pPr>
        <w:pStyle w:val="4"/>
        <w:spacing w:before="0" w:after="100" w:afterAutospacing="1"/>
        <w:rPr>
          <w:rFonts w:ascii="宋体" w:hAnsi="宋体" w:cs="宋体"/>
          <w:spacing w:val="10"/>
          <w:highlight w:val="none"/>
        </w:rPr>
      </w:pPr>
      <w:r>
        <w:rPr>
          <w:rFonts w:hint="eastAsia" w:ascii="宋体" w:hAnsi="宋体" w:cs="宋体"/>
          <w:spacing w:val="10"/>
          <w:highlight w:val="none"/>
          <w:lang w:val="en-US" w:eastAsia="zh-CN"/>
        </w:rPr>
        <w:t>14</w:t>
      </w:r>
      <w:r>
        <w:rPr>
          <w:rFonts w:hint="eastAsia" w:ascii="宋体" w:hAnsi="宋体" w:cs="宋体"/>
          <w:spacing w:val="10"/>
          <w:highlight w:val="none"/>
        </w:rPr>
        <w:t>.技术/服务偏离表</w:t>
      </w:r>
      <w:bookmarkEnd w:id="530"/>
      <w:bookmarkEnd w:id="531"/>
      <w:bookmarkEnd w:id="532"/>
      <w:bookmarkEnd w:id="533"/>
      <w:bookmarkEnd w:id="534"/>
      <w:bookmarkEnd w:id="535"/>
    </w:p>
    <w:tbl>
      <w:tblPr>
        <w:tblStyle w:val="38"/>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8"/>
        <w:gridCol w:w="2273"/>
        <w:gridCol w:w="2427"/>
        <w:gridCol w:w="1209"/>
        <w:gridCol w:w="2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4"/>
              <w:spacing w:before="37"/>
              <w:ind w:left="69" w:right="60"/>
              <w:jc w:val="center"/>
              <w:rPr>
                <w:sz w:val="24"/>
                <w:highlight w:val="none"/>
              </w:rPr>
            </w:pPr>
            <w:r>
              <w:rPr>
                <w:rFonts w:hint="eastAsia"/>
                <w:sz w:val="24"/>
                <w:highlight w:val="none"/>
              </w:rPr>
              <w:t>招标编号</w:t>
            </w:r>
          </w:p>
        </w:tc>
        <w:tc>
          <w:tcPr>
            <w:tcW w:w="2434" w:type="pct"/>
            <w:gridSpan w:val="2"/>
          </w:tcPr>
          <w:p>
            <w:pPr>
              <w:pStyle w:val="224"/>
              <w:rPr>
                <w:sz w:val="24"/>
                <w:highlight w:val="none"/>
              </w:rPr>
            </w:pPr>
          </w:p>
        </w:tc>
        <w:tc>
          <w:tcPr>
            <w:tcW w:w="626" w:type="pct"/>
          </w:tcPr>
          <w:p>
            <w:pPr>
              <w:pStyle w:val="224"/>
              <w:spacing w:before="37"/>
              <w:ind w:left="125" w:right="114"/>
              <w:jc w:val="center"/>
              <w:rPr>
                <w:sz w:val="24"/>
                <w:highlight w:val="none"/>
              </w:rPr>
            </w:pPr>
            <w:r>
              <w:rPr>
                <w:rFonts w:hint="eastAsia"/>
                <w:sz w:val="24"/>
                <w:highlight w:val="none"/>
              </w:rPr>
              <w:t>包号</w:t>
            </w:r>
          </w:p>
        </w:tc>
        <w:tc>
          <w:tcPr>
            <w:tcW w:w="1373" w:type="pct"/>
          </w:tcPr>
          <w:p>
            <w:pPr>
              <w:pStyle w:val="224"/>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5"/>
          </w:tcPr>
          <w:p>
            <w:pPr>
              <w:pStyle w:val="224"/>
              <w:spacing w:before="37"/>
              <w:ind w:right="2389"/>
              <w:jc w:val="center"/>
              <w:rPr>
                <w:sz w:val="24"/>
                <w:highlight w:val="none"/>
              </w:rPr>
            </w:pPr>
            <w:r>
              <w:rPr>
                <w:rFonts w:hint="eastAsia"/>
                <w:sz w:val="24"/>
                <w:highlight w:val="none"/>
                <w:lang w:val="en-US" w:eastAsia="zh-CN"/>
              </w:rPr>
              <w:t xml:space="preserve">                 </w:t>
            </w:r>
            <w:r>
              <w:rPr>
                <w:rFonts w:hint="eastAsia"/>
                <w:sz w:val="24"/>
                <w:highlight w:val="none"/>
              </w:rPr>
              <w:t>技术参数中</w:t>
            </w:r>
            <w:r>
              <w:rPr>
                <w:rFonts w:hint="eastAsia"/>
                <w:sz w:val="24"/>
                <w:highlight w:val="none"/>
                <w:lang w:val="en-US" w:eastAsia="zh-CN"/>
              </w:rPr>
              <w:t>所有</w:t>
            </w:r>
            <w:r>
              <w:rPr>
                <w:rFonts w:hint="eastAsia"/>
                <w:sz w:val="24"/>
                <w:highlight w:val="none"/>
              </w:rPr>
              <w:t>条款应答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4"/>
              <w:spacing w:before="34"/>
              <w:ind w:left="69" w:right="57"/>
              <w:jc w:val="center"/>
              <w:rPr>
                <w:sz w:val="24"/>
                <w:highlight w:val="none"/>
              </w:rPr>
            </w:pPr>
            <w:r>
              <w:rPr>
                <w:rFonts w:hint="eastAsia"/>
                <w:sz w:val="24"/>
                <w:highlight w:val="none"/>
              </w:rPr>
              <w:t>条款号</w:t>
            </w:r>
          </w:p>
        </w:tc>
        <w:tc>
          <w:tcPr>
            <w:tcW w:w="1177" w:type="pct"/>
          </w:tcPr>
          <w:p>
            <w:pPr>
              <w:pStyle w:val="224"/>
              <w:spacing w:before="34"/>
              <w:ind w:left="624" w:right="613"/>
              <w:jc w:val="center"/>
              <w:rPr>
                <w:sz w:val="24"/>
                <w:highlight w:val="none"/>
              </w:rPr>
            </w:pPr>
            <w:r>
              <w:rPr>
                <w:rFonts w:hint="eastAsia"/>
                <w:sz w:val="24"/>
                <w:highlight w:val="none"/>
              </w:rPr>
              <w:t>招标要求</w:t>
            </w:r>
          </w:p>
        </w:tc>
        <w:tc>
          <w:tcPr>
            <w:tcW w:w="1256" w:type="pct"/>
          </w:tcPr>
          <w:p>
            <w:pPr>
              <w:pStyle w:val="224"/>
              <w:spacing w:before="34"/>
              <w:ind w:left="693" w:right="684"/>
              <w:jc w:val="center"/>
              <w:rPr>
                <w:sz w:val="24"/>
                <w:highlight w:val="none"/>
              </w:rPr>
            </w:pPr>
            <w:r>
              <w:rPr>
                <w:rFonts w:hint="eastAsia"/>
                <w:sz w:val="24"/>
                <w:highlight w:val="none"/>
              </w:rPr>
              <w:t>投标应答</w:t>
            </w:r>
          </w:p>
        </w:tc>
        <w:tc>
          <w:tcPr>
            <w:tcW w:w="626" w:type="pct"/>
          </w:tcPr>
          <w:p>
            <w:pPr>
              <w:pStyle w:val="224"/>
              <w:spacing w:before="34"/>
              <w:ind w:left="127" w:right="114"/>
              <w:jc w:val="center"/>
              <w:rPr>
                <w:sz w:val="24"/>
                <w:highlight w:val="none"/>
              </w:rPr>
            </w:pPr>
            <w:r>
              <w:rPr>
                <w:rFonts w:hint="eastAsia"/>
                <w:sz w:val="24"/>
                <w:highlight w:val="none"/>
              </w:rPr>
              <w:t>偏离说明</w:t>
            </w:r>
          </w:p>
        </w:tc>
        <w:tc>
          <w:tcPr>
            <w:tcW w:w="1373" w:type="pct"/>
          </w:tcPr>
          <w:p>
            <w:pPr>
              <w:pStyle w:val="224"/>
              <w:spacing w:before="34"/>
              <w:ind w:left="188"/>
              <w:rPr>
                <w:sz w:val="24"/>
                <w:highlight w:val="none"/>
              </w:rPr>
            </w:pPr>
            <w:r>
              <w:rPr>
                <w:rFonts w:hint="eastAsia"/>
                <w:sz w:val="24"/>
                <w:highlight w:val="none"/>
              </w:rPr>
              <w:t>技术支撑材料所在页码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4"/>
              <w:rPr>
                <w:sz w:val="24"/>
                <w:highlight w:val="none"/>
              </w:rPr>
            </w:pPr>
          </w:p>
        </w:tc>
        <w:tc>
          <w:tcPr>
            <w:tcW w:w="1177" w:type="pct"/>
          </w:tcPr>
          <w:p>
            <w:pPr>
              <w:pStyle w:val="224"/>
              <w:rPr>
                <w:sz w:val="24"/>
                <w:highlight w:val="none"/>
              </w:rPr>
            </w:pPr>
          </w:p>
        </w:tc>
        <w:tc>
          <w:tcPr>
            <w:tcW w:w="1256" w:type="pct"/>
          </w:tcPr>
          <w:p>
            <w:pPr>
              <w:pStyle w:val="224"/>
              <w:rPr>
                <w:sz w:val="24"/>
                <w:highlight w:val="none"/>
              </w:rPr>
            </w:pPr>
          </w:p>
        </w:tc>
        <w:tc>
          <w:tcPr>
            <w:tcW w:w="626" w:type="pct"/>
          </w:tcPr>
          <w:p>
            <w:pPr>
              <w:pStyle w:val="224"/>
              <w:rPr>
                <w:sz w:val="24"/>
                <w:highlight w:val="none"/>
              </w:rPr>
            </w:pPr>
          </w:p>
        </w:tc>
        <w:tc>
          <w:tcPr>
            <w:tcW w:w="1373" w:type="pct"/>
          </w:tcPr>
          <w:p>
            <w:pPr>
              <w:pStyle w:val="224"/>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4"/>
              <w:rPr>
                <w:sz w:val="24"/>
                <w:highlight w:val="none"/>
              </w:rPr>
            </w:pPr>
          </w:p>
        </w:tc>
        <w:tc>
          <w:tcPr>
            <w:tcW w:w="1177" w:type="pct"/>
          </w:tcPr>
          <w:p>
            <w:pPr>
              <w:pStyle w:val="224"/>
              <w:rPr>
                <w:sz w:val="24"/>
                <w:highlight w:val="none"/>
              </w:rPr>
            </w:pPr>
          </w:p>
        </w:tc>
        <w:tc>
          <w:tcPr>
            <w:tcW w:w="1256" w:type="pct"/>
          </w:tcPr>
          <w:p>
            <w:pPr>
              <w:pStyle w:val="224"/>
              <w:rPr>
                <w:sz w:val="24"/>
                <w:highlight w:val="none"/>
              </w:rPr>
            </w:pPr>
          </w:p>
        </w:tc>
        <w:tc>
          <w:tcPr>
            <w:tcW w:w="626" w:type="pct"/>
          </w:tcPr>
          <w:p>
            <w:pPr>
              <w:pStyle w:val="224"/>
              <w:rPr>
                <w:sz w:val="24"/>
                <w:highlight w:val="none"/>
              </w:rPr>
            </w:pPr>
          </w:p>
        </w:tc>
        <w:tc>
          <w:tcPr>
            <w:tcW w:w="1373" w:type="pct"/>
          </w:tcPr>
          <w:p>
            <w:pPr>
              <w:pStyle w:val="224"/>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64" w:type="pct"/>
          </w:tcPr>
          <w:p>
            <w:pPr>
              <w:pStyle w:val="224"/>
              <w:rPr>
                <w:sz w:val="24"/>
                <w:highlight w:val="none"/>
              </w:rPr>
            </w:pPr>
          </w:p>
        </w:tc>
        <w:tc>
          <w:tcPr>
            <w:tcW w:w="1177" w:type="pct"/>
          </w:tcPr>
          <w:p>
            <w:pPr>
              <w:pStyle w:val="224"/>
              <w:rPr>
                <w:sz w:val="24"/>
                <w:highlight w:val="none"/>
              </w:rPr>
            </w:pPr>
          </w:p>
        </w:tc>
        <w:tc>
          <w:tcPr>
            <w:tcW w:w="1256" w:type="pct"/>
          </w:tcPr>
          <w:p>
            <w:pPr>
              <w:pStyle w:val="224"/>
              <w:rPr>
                <w:sz w:val="24"/>
                <w:highlight w:val="none"/>
              </w:rPr>
            </w:pPr>
          </w:p>
        </w:tc>
        <w:tc>
          <w:tcPr>
            <w:tcW w:w="626" w:type="pct"/>
          </w:tcPr>
          <w:p>
            <w:pPr>
              <w:pStyle w:val="224"/>
              <w:rPr>
                <w:sz w:val="24"/>
                <w:highlight w:val="none"/>
              </w:rPr>
            </w:pPr>
          </w:p>
        </w:tc>
        <w:tc>
          <w:tcPr>
            <w:tcW w:w="1373" w:type="pct"/>
          </w:tcPr>
          <w:p>
            <w:pPr>
              <w:pStyle w:val="224"/>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4"/>
              <w:rPr>
                <w:sz w:val="24"/>
                <w:highlight w:val="none"/>
              </w:rPr>
            </w:pPr>
          </w:p>
        </w:tc>
        <w:tc>
          <w:tcPr>
            <w:tcW w:w="1177" w:type="pct"/>
          </w:tcPr>
          <w:p>
            <w:pPr>
              <w:pStyle w:val="224"/>
              <w:rPr>
                <w:sz w:val="24"/>
                <w:highlight w:val="none"/>
              </w:rPr>
            </w:pPr>
          </w:p>
        </w:tc>
        <w:tc>
          <w:tcPr>
            <w:tcW w:w="1256" w:type="pct"/>
          </w:tcPr>
          <w:p>
            <w:pPr>
              <w:pStyle w:val="224"/>
              <w:rPr>
                <w:sz w:val="24"/>
                <w:highlight w:val="none"/>
              </w:rPr>
            </w:pPr>
          </w:p>
        </w:tc>
        <w:tc>
          <w:tcPr>
            <w:tcW w:w="626" w:type="pct"/>
          </w:tcPr>
          <w:p>
            <w:pPr>
              <w:pStyle w:val="224"/>
              <w:rPr>
                <w:sz w:val="24"/>
                <w:highlight w:val="none"/>
              </w:rPr>
            </w:pPr>
          </w:p>
        </w:tc>
        <w:tc>
          <w:tcPr>
            <w:tcW w:w="1373" w:type="pct"/>
          </w:tcPr>
          <w:p>
            <w:pPr>
              <w:pStyle w:val="224"/>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4"/>
              <w:rPr>
                <w:sz w:val="24"/>
                <w:highlight w:val="none"/>
              </w:rPr>
            </w:pPr>
          </w:p>
        </w:tc>
        <w:tc>
          <w:tcPr>
            <w:tcW w:w="1177" w:type="pct"/>
          </w:tcPr>
          <w:p>
            <w:pPr>
              <w:pStyle w:val="224"/>
              <w:rPr>
                <w:sz w:val="24"/>
                <w:highlight w:val="none"/>
              </w:rPr>
            </w:pPr>
          </w:p>
        </w:tc>
        <w:tc>
          <w:tcPr>
            <w:tcW w:w="1256" w:type="pct"/>
          </w:tcPr>
          <w:p>
            <w:pPr>
              <w:pStyle w:val="224"/>
              <w:rPr>
                <w:sz w:val="24"/>
                <w:highlight w:val="none"/>
              </w:rPr>
            </w:pPr>
          </w:p>
        </w:tc>
        <w:tc>
          <w:tcPr>
            <w:tcW w:w="626" w:type="pct"/>
          </w:tcPr>
          <w:p>
            <w:pPr>
              <w:pStyle w:val="224"/>
              <w:rPr>
                <w:sz w:val="24"/>
                <w:highlight w:val="none"/>
              </w:rPr>
            </w:pPr>
          </w:p>
        </w:tc>
        <w:tc>
          <w:tcPr>
            <w:tcW w:w="1373" w:type="pct"/>
          </w:tcPr>
          <w:p>
            <w:pPr>
              <w:pStyle w:val="224"/>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4" w:type="pct"/>
          </w:tcPr>
          <w:p>
            <w:pPr>
              <w:pStyle w:val="224"/>
              <w:rPr>
                <w:sz w:val="24"/>
                <w:highlight w:val="none"/>
              </w:rPr>
            </w:pPr>
          </w:p>
        </w:tc>
        <w:tc>
          <w:tcPr>
            <w:tcW w:w="1177" w:type="pct"/>
          </w:tcPr>
          <w:p>
            <w:pPr>
              <w:pStyle w:val="224"/>
              <w:rPr>
                <w:sz w:val="24"/>
                <w:highlight w:val="none"/>
              </w:rPr>
            </w:pPr>
          </w:p>
        </w:tc>
        <w:tc>
          <w:tcPr>
            <w:tcW w:w="1256" w:type="pct"/>
          </w:tcPr>
          <w:p>
            <w:pPr>
              <w:pStyle w:val="224"/>
              <w:rPr>
                <w:sz w:val="24"/>
                <w:highlight w:val="none"/>
              </w:rPr>
            </w:pPr>
          </w:p>
        </w:tc>
        <w:tc>
          <w:tcPr>
            <w:tcW w:w="626" w:type="pct"/>
          </w:tcPr>
          <w:p>
            <w:pPr>
              <w:pStyle w:val="224"/>
              <w:rPr>
                <w:sz w:val="24"/>
                <w:highlight w:val="none"/>
              </w:rPr>
            </w:pPr>
          </w:p>
        </w:tc>
        <w:tc>
          <w:tcPr>
            <w:tcW w:w="1373" w:type="pct"/>
          </w:tcPr>
          <w:p>
            <w:pPr>
              <w:pStyle w:val="224"/>
              <w:rPr>
                <w:sz w:val="24"/>
                <w:highlight w:val="none"/>
              </w:rPr>
            </w:pPr>
          </w:p>
        </w:tc>
      </w:tr>
    </w:tbl>
    <w:p>
      <w:pPr>
        <w:spacing w:line="360" w:lineRule="auto"/>
        <w:ind w:right="480"/>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ind w:right="480"/>
        <w:rPr>
          <w:rFonts w:ascii="宋体" w:hAnsi="宋体" w:cs="宋体"/>
          <w:spacing w:val="10"/>
          <w:sz w:val="24"/>
          <w:highlight w:val="none"/>
          <w:u w:val="single"/>
        </w:rPr>
      </w:pPr>
      <w:r>
        <w:rPr>
          <w:rFonts w:hint="eastAsia" w:ascii="宋体" w:hAnsi="宋体" w:cs="宋体"/>
          <w:spacing w:val="10"/>
          <w:sz w:val="24"/>
          <w:highlight w:val="none"/>
        </w:rPr>
        <w:t>日期：</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说明：</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1、本表须针对招标文件技术规格书逐条应答；</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2、所应答的技术指标应有具体内容，不能简单复制招标文件内容，或全部响应仅以“符合、满足”应答；</w:t>
      </w:r>
    </w:p>
    <w:p>
      <w:pPr>
        <w:autoSpaceDE w:val="0"/>
        <w:autoSpaceDN w:val="0"/>
        <w:spacing w:line="360" w:lineRule="auto"/>
        <w:ind w:right="471"/>
        <w:textAlignment w:val="bottom"/>
        <w:rPr>
          <w:rFonts w:ascii="宋体" w:hAnsi="宋体" w:cs="宋体"/>
          <w:sz w:val="24"/>
          <w:highlight w:val="none"/>
        </w:rPr>
      </w:pPr>
      <w:r>
        <w:rPr>
          <w:rFonts w:hint="eastAsia" w:ascii="宋体" w:hAnsi="宋体" w:cs="宋体"/>
          <w:sz w:val="24"/>
          <w:highlight w:val="none"/>
        </w:rPr>
        <w:t>3、无论正负偏离均须对偏离情况作具体说明。</w:t>
      </w: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spacing w:line="360" w:lineRule="auto"/>
        <w:rPr>
          <w:rFonts w:ascii="宋体" w:hAnsi="宋体" w:cs="宋体"/>
          <w:b/>
          <w:highlight w:val="none"/>
        </w:rPr>
      </w:pPr>
    </w:p>
    <w:p>
      <w:pPr>
        <w:pStyle w:val="30"/>
        <w:rPr>
          <w:rFonts w:ascii="宋体" w:hAnsi="宋体" w:cs="宋体"/>
          <w:b/>
          <w:highlight w:val="none"/>
        </w:rPr>
      </w:pPr>
    </w:p>
    <w:p>
      <w:pPr>
        <w:rPr>
          <w:highlight w:val="none"/>
        </w:rPr>
      </w:pPr>
    </w:p>
    <w:p>
      <w:pPr>
        <w:pStyle w:val="30"/>
        <w:rPr>
          <w:highlight w:val="none"/>
        </w:rPr>
      </w:pPr>
    </w:p>
    <w:p>
      <w:pPr>
        <w:spacing w:line="360" w:lineRule="auto"/>
        <w:rPr>
          <w:rFonts w:ascii="宋体" w:hAnsi="宋体" w:cs="宋体"/>
          <w:b/>
          <w:highlight w:val="none"/>
        </w:rPr>
      </w:pPr>
    </w:p>
    <w:p>
      <w:pPr>
        <w:pStyle w:val="30"/>
        <w:rPr>
          <w:rFonts w:ascii="宋体" w:hAnsi="宋体" w:cs="宋体"/>
          <w:b/>
          <w:highlight w:val="none"/>
        </w:rPr>
      </w:pPr>
    </w:p>
    <w:p>
      <w:pPr>
        <w:rPr>
          <w:rFonts w:ascii="宋体" w:hAnsi="宋体" w:cs="宋体"/>
          <w:b/>
          <w:highlight w:val="none"/>
        </w:rPr>
      </w:pPr>
    </w:p>
    <w:p>
      <w:pPr>
        <w:pStyle w:val="30"/>
        <w:rPr>
          <w:highlight w:val="none"/>
        </w:rPr>
      </w:pPr>
    </w:p>
    <w:p>
      <w:pPr>
        <w:pStyle w:val="30"/>
        <w:rPr>
          <w:highlight w:val="none"/>
        </w:rPr>
      </w:pPr>
    </w:p>
    <w:p>
      <w:pPr>
        <w:pStyle w:val="4"/>
        <w:spacing w:before="0" w:after="100" w:afterAutospacing="1"/>
        <w:rPr>
          <w:rFonts w:ascii="宋体" w:hAnsi="宋体" w:cs="宋体"/>
          <w:spacing w:val="10"/>
          <w:highlight w:val="none"/>
        </w:rPr>
      </w:pPr>
      <w:bookmarkStart w:id="536" w:name="_Toc27866"/>
      <w:bookmarkStart w:id="537" w:name="_Toc25387"/>
      <w:bookmarkStart w:id="538" w:name="_Toc5303"/>
      <w:bookmarkStart w:id="539" w:name="_Toc918"/>
      <w:bookmarkStart w:id="540" w:name="_Toc24510"/>
      <w:bookmarkStart w:id="541" w:name="_Toc18409"/>
      <w:bookmarkStart w:id="542" w:name="_Toc258923313"/>
      <w:r>
        <w:rPr>
          <w:rFonts w:hint="eastAsia" w:ascii="宋体" w:hAnsi="宋体" w:cs="宋体"/>
          <w:spacing w:val="10"/>
          <w:highlight w:val="none"/>
          <w:lang w:val="en-US" w:eastAsia="zh-CN"/>
        </w:rPr>
        <w:t>15</w:t>
      </w:r>
      <w:r>
        <w:rPr>
          <w:rFonts w:hint="eastAsia" w:ascii="宋体" w:hAnsi="宋体" w:cs="宋体"/>
          <w:spacing w:val="10"/>
          <w:highlight w:val="none"/>
        </w:rPr>
        <w:t>.商务偏离表</w:t>
      </w:r>
      <w:bookmarkEnd w:id="536"/>
      <w:bookmarkEnd w:id="537"/>
      <w:bookmarkEnd w:id="538"/>
      <w:bookmarkEnd w:id="539"/>
      <w:bookmarkEnd w:id="540"/>
      <w:bookmarkEnd w:id="541"/>
      <w:bookmarkEnd w:id="542"/>
    </w:p>
    <w:tbl>
      <w:tblPr>
        <w:tblStyle w:val="38"/>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75"/>
        <w:gridCol w:w="2724"/>
        <w:gridCol w:w="1803"/>
        <w:gridCol w:w="1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4"/>
              <w:spacing w:before="92"/>
              <w:ind w:left="1010" w:right="1001"/>
              <w:jc w:val="center"/>
              <w:rPr>
                <w:sz w:val="24"/>
                <w:highlight w:val="none"/>
              </w:rPr>
            </w:pPr>
            <w:r>
              <w:rPr>
                <w:rFonts w:hint="eastAsia"/>
                <w:sz w:val="24"/>
                <w:highlight w:val="none"/>
              </w:rPr>
              <w:t>招标</w:t>
            </w:r>
            <w:r>
              <w:rPr>
                <w:sz w:val="24"/>
                <w:highlight w:val="none"/>
              </w:rPr>
              <w:t>编号</w:t>
            </w:r>
          </w:p>
        </w:tc>
        <w:tc>
          <w:tcPr>
            <w:tcW w:w="1408" w:type="pct"/>
          </w:tcPr>
          <w:p>
            <w:pPr>
              <w:pStyle w:val="224"/>
              <w:rPr>
                <w:rFonts w:ascii="Times New Roman"/>
                <w:sz w:val="24"/>
                <w:highlight w:val="none"/>
              </w:rPr>
            </w:pPr>
          </w:p>
        </w:tc>
        <w:tc>
          <w:tcPr>
            <w:tcW w:w="932" w:type="pct"/>
          </w:tcPr>
          <w:p>
            <w:pPr>
              <w:pStyle w:val="224"/>
              <w:spacing w:before="92"/>
              <w:ind w:left="333" w:right="325"/>
              <w:jc w:val="center"/>
              <w:rPr>
                <w:sz w:val="24"/>
                <w:highlight w:val="none"/>
              </w:rPr>
            </w:pPr>
            <w:r>
              <w:rPr>
                <w:sz w:val="24"/>
                <w:highlight w:val="none"/>
              </w:rPr>
              <w:t>包号</w:t>
            </w:r>
          </w:p>
        </w:tc>
        <w:tc>
          <w:tcPr>
            <w:tcW w:w="914" w:type="pct"/>
          </w:tcPr>
          <w:p>
            <w:pPr>
              <w:pStyle w:val="224"/>
              <w:rPr>
                <w:rFonts w:ascii="Times New Roman"/>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4"/>
              <w:spacing w:before="92"/>
              <w:ind w:left="609"/>
              <w:rPr>
                <w:sz w:val="24"/>
                <w:highlight w:val="none"/>
              </w:rPr>
            </w:pPr>
            <w:r>
              <w:rPr>
                <w:sz w:val="24"/>
                <w:highlight w:val="none"/>
              </w:rPr>
              <w:t>招标要求投标应答</w:t>
            </w:r>
          </w:p>
        </w:tc>
        <w:tc>
          <w:tcPr>
            <w:tcW w:w="1408" w:type="pct"/>
          </w:tcPr>
          <w:p>
            <w:pPr>
              <w:pStyle w:val="224"/>
              <w:spacing w:before="92"/>
              <w:ind w:left="539"/>
              <w:rPr>
                <w:sz w:val="24"/>
                <w:highlight w:val="none"/>
              </w:rPr>
            </w:pPr>
            <w:r>
              <w:rPr>
                <w:sz w:val="24"/>
                <w:highlight w:val="none"/>
              </w:rPr>
              <w:t>投标商务应答</w:t>
            </w:r>
          </w:p>
        </w:tc>
        <w:tc>
          <w:tcPr>
            <w:tcW w:w="932" w:type="pct"/>
          </w:tcPr>
          <w:p>
            <w:pPr>
              <w:pStyle w:val="224"/>
              <w:spacing w:before="92"/>
              <w:ind w:left="333" w:right="327"/>
              <w:jc w:val="center"/>
              <w:rPr>
                <w:sz w:val="24"/>
                <w:highlight w:val="none"/>
              </w:rPr>
            </w:pPr>
            <w:r>
              <w:rPr>
                <w:sz w:val="24"/>
                <w:highlight w:val="none"/>
              </w:rPr>
              <w:t>偏离说明</w:t>
            </w:r>
          </w:p>
        </w:tc>
        <w:tc>
          <w:tcPr>
            <w:tcW w:w="914" w:type="pct"/>
          </w:tcPr>
          <w:p>
            <w:pPr>
              <w:pStyle w:val="224"/>
              <w:spacing w:before="92"/>
              <w:ind w:left="129"/>
              <w:rPr>
                <w:sz w:val="24"/>
                <w:highlight w:val="none"/>
              </w:rPr>
            </w:pPr>
            <w:r>
              <w:rPr>
                <w:sz w:val="24"/>
                <w:highlight w:val="none"/>
              </w:rPr>
              <w:t>投标文件页码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4"/>
              <w:spacing w:before="92"/>
              <w:ind w:left="609"/>
              <w:rPr>
                <w:sz w:val="24"/>
                <w:highlight w:val="none"/>
              </w:rPr>
            </w:pPr>
          </w:p>
        </w:tc>
        <w:tc>
          <w:tcPr>
            <w:tcW w:w="1408" w:type="pct"/>
          </w:tcPr>
          <w:p>
            <w:pPr>
              <w:pStyle w:val="224"/>
              <w:spacing w:before="92"/>
              <w:ind w:left="539"/>
              <w:rPr>
                <w:sz w:val="24"/>
                <w:highlight w:val="none"/>
              </w:rPr>
            </w:pPr>
          </w:p>
        </w:tc>
        <w:tc>
          <w:tcPr>
            <w:tcW w:w="932" w:type="pct"/>
          </w:tcPr>
          <w:p>
            <w:pPr>
              <w:pStyle w:val="224"/>
              <w:spacing w:before="92"/>
              <w:ind w:left="333" w:right="327"/>
              <w:jc w:val="center"/>
              <w:rPr>
                <w:sz w:val="24"/>
                <w:highlight w:val="none"/>
              </w:rPr>
            </w:pPr>
          </w:p>
        </w:tc>
        <w:tc>
          <w:tcPr>
            <w:tcW w:w="914" w:type="pct"/>
          </w:tcPr>
          <w:p>
            <w:pPr>
              <w:pStyle w:val="224"/>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4"/>
              <w:spacing w:before="92"/>
              <w:ind w:left="609"/>
              <w:rPr>
                <w:sz w:val="24"/>
                <w:highlight w:val="none"/>
              </w:rPr>
            </w:pPr>
          </w:p>
        </w:tc>
        <w:tc>
          <w:tcPr>
            <w:tcW w:w="1408" w:type="pct"/>
          </w:tcPr>
          <w:p>
            <w:pPr>
              <w:pStyle w:val="224"/>
              <w:spacing w:before="92"/>
              <w:ind w:left="539"/>
              <w:rPr>
                <w:sz w:val="24"/>
                <w:highlight w:val="none"/>
              </w:rPr>
            </w:pPr>
          </w:p>
        </w:tc>
        <w:tc>
          <w:tcPr>
            <w:tcW w:w="932" w:type="pct"/>
          </w:tcPr>
          <w:p>
            <w:pPr>
              <w:pStyle w:val="224"/>
              <w:spacing w:before="92"/>
              <w:ind w:left="333" w:right="327"/>
              <w:jc w:val="center"/>
              <w:rPr>
                <w:sz w:val="24"/>
                <w:highlight w:val="none"/>
              </w:rPr>
            </w:pPr>
          </w:p>
        </w:tc>
        <w:tc>
          <w:tcPr>
            <w:tcW w:w="914" w:type="pct"/>
          </w:tcPr>
          <w:p>
            <w:pPr>
              <w:pStyle w:val="224"/>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4"/>
              <w:spacing w:before="92"/>
              <w:ind w:left="609"/>
              <w:rPr>
                <w:sz w:val="24"/>
                <w:highlight w:val="none"/>
              </w:rPr>
            </w:pPr>
          </w:p>
        </w:tc>
        <w:tc>
          <w:tcPr>
            <w:tcW w:w="1408" w:type="pct"/>
          </w:tcPr>
          <w:p>
            <w:pPr>
              <w:pStyle w:val="224"/>
              <w:spacing w:before="92"/>
              <w:ind w:left="539"/>
              <w:rPr>
                <w:sz w:val="24"/>
                <w:highlight w:val="none"/>
              </w:rPr>
            </w:pPr>
          </w:p>
        </w:tc>
        <w:tc>
          <w:tcPr>
            <w:tcW w:w="932" w:type="pct"/>
          </w:tcPr>
          <w:p>
            <w:pPr>
              <w:pStyle w:val="224"/>
              <w:spacing w:before="92"/>
              <w:ind w:left="333" w:right="327"/>
              <w:jc w:val="center"/>
              <w:rPr>
                <w:sz w:val="24"/>
                <w:highlight w:val="none"/>
              </w:rPr>
            </w:pPr>
          </w:p>
        </w:tc>
        <w:tc>
          <w:tcPr>
            <w:tcW w:w="914" w:type="pct"/>
          </w:tcPr>
          <w:p>
            <w:pPr>
              <w:pStyle w:val="224"/>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4"/>
              <w:spacing w:before="92"/>
              <w:ind w:left="609"/>
              <w:rPr>
                <w:sz w:val="24"/>
                <w:highlight w:val="none"/>
              </w:rPr>
            </w:pPr>
          </w:p>
        </w:tc>
        <w:tc>
          <w:tcPr>
            <w:tcW w:w="1408" w:type="pct"/>
          </w:tcPr>
          <w:p>
            <w:pPr>
              <w:pStyle w:val="224"/>
              <w:spacing w:before="92"/>
              <w:ind w:left="539"/>
              <w:rPr>
                <w:sz w:val="24"/>
                <w:highlight w:val="none"/>
              </w:rPr>
            </w:pPr>
          </w:p>
        </w:tc>
        <w:tc>
          <w:tcPr>
            <w:tcW w:w="932" w:type="pct"/>
          </w:tcPr>
          <w:p>
            <w:pPr>
              <w:pStyle w:val="224"/>
              <w:spacing w:before="92"/>
              <w:ind w:left="333" w:right="327"/>
              <w:jc w:val="center"/>
              <w:rPr>
                <w:sz w:val="24"/>
                <w:highlight w:val="none"/>
              </w:rPr>
            </w:pPr>
          </w:p>
        </w:tc>
        <w:tc>
          <w:tcPr>
            <w:tcW w:w="914" w:type="pct"/>
          </w:tcPr>
          <w:p>
            <w:pPr>
              <w:pStyle w:val="224"/>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4"/>
              <w:spacing w:before="92"/>
              <w:ind w:left="609"/>
              <w:rPr>
                <w:sz w:val="24"/>
                <w:highlight w:val="none"/>
              </w:rPr>
            </w:pPr>
          </w:p>
        </w:tc>
        <w:tc>
          <w:tcPr>
            <w:tcW w:w="1408" w:type="pct"/>
          </w:tcPr>
          <w:p>
            <w:pPr>
              <w:pStyle w:val="224"/>
              <w:spacing w:before="92"/>
              <w:ind w:left="539"/>
              <w:rPr>
                <w:sz w:val="24"/>
                <w:highlight w:val="none"/>
              </w:rPr>
            </w:pPr>
          </w:p>
        </w:tc>
        <w:tc>
          <w:tcPr>
            <w:tcW w:w="932" w:type="pct"/>
          </w:tcPr>
          <w:p>
            <w:pPr>
              <w:pStyle w:val="224"/>
              <w:spacing w:before="92"/>
              <w:ind w:left="333" w:right="327"/>
              <w:jc w:val="center"/>
              <w:rPr>
                <w:sz w:val="24"/>
                <w:highlight w:val="none"/>
              </w:rPr>
            </w:pPr>
          </w:p>
        </w:tc>
        <w:tc>
          <w:tcPr>
            <w:tcW w:w="914" w:type="pct"/>
          </w:tcPr>
          <w:p>
            <w:pPr>
              <w:pStyle w:val="224"/>
              <w:spacing w:before="92"/>
              <w:ind w:left="129"/>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44" w:type="pct"/>
          </w:tcPr>
          <w:p>
            <w:pPr>
              <w:pStyle w:val="224"/>
              <w:spacing w:before="92"/>
              <w:ind w:left="609"/>
              <w:rPr>
                <w:sz w:val="24"/>
                <w:highlight w:val="none"/>
              </w:rPr>
            </w:pPr>
          </w:p>
        </w:tc>
        <w:tc>
          <w:tcPr>
            <w:tcW w:w="1408" w:type="pct"/>
          </w:tcPr>
          <w:p>
            <w:pPr>
              <w:pStyle w:val="224"/>
              <w:spacing w:before="92"/>
              <w:ind w:left="539"/>
              <w:rPr>
                <w:sz w:val="24"/>
                <w:highlight w:val="none"/>
              </w:rPr>
            </w:pPr>
          </w:p>
        </w:tc>
        <w:tc>
          <w:tcPr>
            <w:tcW w:w="932" w:type="pct"/>
          </w:tcPr>
          <w:p>
            <w:pPr>
              <w:pStyle w:val="224"/>
              <w:spacing w:before="92"/>
              <w:ind w:left="333" w:right="327"/>
              <w:jc w:val="center"/>
              <w:rPr>
                <w:sz w:val="24"/>
                <w:highlight w:val="none"/>
              </w:rPr>
            </w:pPr>
          </w:p>
        </w:tc>
        <w:tc>
          <w:tcPr>
            <w:tcW w:w="914" w:type="pct"/>
          </w:tcPr>
          <w:p>
            <w:pPr>
              <w:pStyle w:val="224"/>
              <w:spacing w:before="92"/>
              <w:ind w:left="129"/>
              <w:rPr>
                <w:sz w:val="24"/>
                <w:highlight w:val="none"/>
              </w:rPr>
            </w:pPr>
          </w:p>
        </w:tc>
      </w:tr>
    </w:tbl>
    <w:p>
      <w:pPr>
        <w:spacing w:line="360" w:lineRule="auto"/>
        <w:rPr>
          <w:rFonts w:ascii="宋体" w:hAnsi="宋体" w:cs="宋体"/>
          <w:spacing w:val="10"/>
          <w:sz w:val="24"/>
          <w:highlight w:val="none"/>
        </w:rPr>
      </w:pP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ascii="宋体" w:hAnsi="宋体" w:cs="宋体"/>
          <w:b/>
          <w:bCs/>
          <w:highlight w:val="none"/>
        </w:rPr>
      </w:pPr>
      <w:r>
        <w:rPr>
          <w:rFonts w:hint="eastAsia" w:ascii="宋体" w:hAnsi="宋体" w:cs="宋体"/>
          <w:spacing w:val="10"/>
          <w:sz w:val="24"/>
          <w:highlight w:val="none"/>
        </w:rPr>
        <w:t>日期：</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说明：</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1、商务偏离表主要针对招标文件商务条款（包括招标文件中供货期、付款条件、质保期、售后服务等要求）填写；</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2、对招标文件有任何偏离应列明，并标明“其他无偏离”；</w:t>
      </w:r>
    </w:p>
    <w:p>
      <w:pPr>
        <w:autoSpaceDE w:val="0"/>
        <w:autoSpaceDN w:val="0"/>
        <w:spacing w:line="360" w:lineRule="auto"/>
        <w:textAlignment w:val="bottom"/>
        <w:rPr>
          <w:rFonts w:ascii="宋体" w:hAnsi="宋体" w:cs="宋体"/>
          <w:sz w:val="24"/>
          <w:highlight w:val="none"/>
        </w:rPr>
      </w:pPr>
      <w:r>
        <w:rPr>
          <w:rFonts w:hint="eastAsia" w:ascii="宋体" w:hAnsi="宋体" w:cs="宋体"/>
          <w:sz w:val="24"/>
          <w:highlight w:val="none"/>
        </w:rPr>
        <w:t>3、对招标文件无偏离应标明“全部无偏离”。</w:t>
      </w:r>
    </w:p>
    <w:p>
      <w:pPr>
        <w:spacing w:line="360" w:lineRule="auto"/>
        <w:rPr>
          <w:rFonts w:ascii="宋体" w:hAnsi="宋体" w:cs="宋体"/>
          <w:b/>
          <w:bCs/>
          <w:highlight w:val="none"/>
        </w:rPr>
      </w:pPr>
    </w:p>
    <w:p>
      <w:pPr>
        <w:spacing w:line="360" w:lineRule="auto"/>
        <w:rPr>
          <w:rFonts w:ascii="宋体" w:hAnsi="宋体" w:cs="宋体"/>
          <w:b/>
          <w:bCs/>
          <w:highlight w:val="none"/>
        </w:rPr>
      </w:pPr>
    </w:p>
    <w:p>
      <w:pPr>
        <w:spacing w:line="360" w:lineRule="auto"/>
        <w:rPr>
          <w:rFonts w:ascii="宋体" w:hAnsi="宋体" w:cs="宋体"/>
          <w:b/>
          <w:bCs/>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pStyle w:val="30"/>
        <w:rPr>
          <w:rFonts w:ascii="宋体" w:hAnsi="宋体" w:cs="宋体"/>
          <w:b/>
          <w:sz w:val="24"/>
          <w:highlight w:val="none"/>
        </w:rPr>
      </w:pPr>
    </w:p>
    <w:p>
      <w:pPr>
        <w:rPr>
          <w:rFonts w:ascii="宋体" w:hAnsi="宋体" w:cs="宋体"/>
          <w:b/>
          <w:sz w:val="24"/>
          <w:highlight w:val="none"/>
        </w:rPr>
      </w:pPr>
    </w:p>
    <w:p>
      <w:pPr>
        <w:pStyle w:val="30"/>
        <w:rPr>
          <w:rFonts w:ascii="宋体" w:hAnsi="宋体" w:cs="宋体"/>
          <w:b/>
          <w:sz w:val="24"/>
          <w:highlight w:val="none"/>
        </w:rPr>
      </w:pPr>
    </w:p>
    <w:p>
      <w:pPr>
        <w:rPr>
          <w:highlight w:val="none"/>
        </w:rPr>
      </w:pPr>
    </w:p>
    <w:p>
      <w:pPr>
        <w:pStyle w:val="4"/>
        <w:spacing w:before="0" w:after="100" w:afterAutospacing="1"/>
        <w:rPr>
          <w:rFonts w:ascii="宋体" w:hAnsi="宋体" w:cs="宋体"/>
          <w:spacing w:val="10"/>
          <w:highlight w:val="none"/>
        </w:rPr>
      </w:pPr>
      <w:bookmarkStart w:id="543" w:name="_Toc258923314"/>
      <w:bookmarkStart w:id="544" w:name="_Toc4829"/>
      <w:bookmarkStart w:id="545" w:name="_Toc24828"/>
      <w:bookmarkStart w:id="546" w:name="_Toc959"/>
      <w:bookmarkStart w:id="547" w:name="_Toc24409"/>
      <w:bookmarkStart w:id="548" w:name="_Toc22204"/>
      <w:bookmarkStart w:id="549" w:name="_Toc29269"/>
      <w:r>
        <w:rPr>
          <w:rFonts w:hint="eastAsia" w:ascii="宋体" w:hAnsi="宋体" w:cs="宋体"/>
          <w:spacing w:val="10"/>
          <w:highlight w:val="none"/>
        </w:rPr>
        <w:t>1</w:t>
      </w:r>
      <w:r>
        <w:rPr>
          <w:rFonts w:hint="eastAsia" w:ascii="宋体" w:hAnsi="宋体" w:cs="宋体"/>
          <w:spacing w:val="10"/>
          <w:highlight w:val="none"/>
          <w:lang w:val="en-US" w:eastAsia="zh-CN"/>
        </w:rPr>
        <w:t>6</w:t>
      </w:r>
      <w:r>
        <w:rPr>
          <w:rFonts w:hint="eastAsia" w:ascii="宋体" w:hAnsi="宋体" w:cs="宋体"/>
          <w:spacing w:val="10"/>
          <w:highlight w:val="none"/>
        </w:rPr>
        <w:t>.</w:t>
      </w:r>
      <w:bookmarkEnd w:id="543"/>
      <w:bookmarkStart w:id="550" w:name="_Toc7169"/>
      <w:r>
        <w:rPr>
          <w:rFonts w:hint="eastAsia" w:ascii="宋体" w:hAnsi="宋体" w:cs="宋体"/>
          <w:spacing w:val="10"/>
          <w:highlight w:val="none"/>
        </w:rPr>
        <w:t>投标人的相关资料和业绩证明材料</w:t>
      </w:r>
      <w:bookmarkEnd w:id="544"/>
      <w:bookmarkEnd w:id="545"/>
      <w:bookmarkEnd w:id="546"/>
      <w:bookmarkEnd w:id="547"/>
      <w:bookmarkEnd w:id="548"/>
      <w:bookmarkEnd w:id="549"/>
      <w:bookmarkEnd w:id="550"/>
    </w:p>
    <w:tbl>
      <w:tblPr>
        <w:tblStyle w:val="38"/>
        <w:tblW w:w="94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3"/>
        <w:gridCol w:w="1038"/>
        <w:gridCol w:w="1438"/>
        <w:gridCol w:w="1330"/>
        <w:gridCol w:w="1566"/>
        <w:gridCol w:w="1427"/>
        <w:gridCol w:w="20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序号</w:t>
            </w:r>
          </w:p>
        </w:tc>
        <w:tc>
          <w:tcPr>
            <w:tcW w:w="1038"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项目名称</w:t>
            </w:r>
          </w:p>
        </w:tc>
        <w:tc>
          <w:tcPr>
            <w:tcW w:w="1438"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项目内容</w:t>
            </w:r>
          </w:p>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（类似项目）</w:t>
            </w: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合同金额（万元）</w:t>
            </w: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已结算金额（万元）</w:t>
            </w:r>
          </w:p>
        </w:tc>
        <w:tc>
          <w:tcPr>
            <w:tcW w:w="1427"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完成日期</w:t>
            </w:r>
          </w:p>
        </w:tc>
        <w:tc>
          <w:tcPr>
            <w:tcW w:w="2019" w:type="dxa"/>
            <w:vAlign w:val="center"/>
          </w:tcPr>
          <w:p>
            <w:pPr>
              <w:spacing w:line="360" w:lineRule="auto"/>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1</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2</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3</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r>
              <w:rPr>
                <w:rFonts w:hint="eastAsia" w:ascii="宋体" w:hAnsi="宋体" w:cs="宋体"/>
                <w:sz w:val="24"/>
                <w:highlight w:val="none"/>
                <w:shd w:val="clear" w:color="auto" w:fill="FFFFFF"/>
              </w:rPr>
              <w:t>…</w:t>
            </w: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ind w:left="120"/>
              <w:jc w:val="center"/>
              <w:rPr>
                <w:rFonts w:ascii="宋体" w:hAnsi="宋体" w:cs="宋体"/>
                <w:sz w:val="24"/>
                <w:highlight w:val="none"/>
                <w:shd w:val="clear" w:color="auto" w:fill="FFFFFF"/>
              </w:rPr>
            </w:pP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593" w:type="dxa"/>
            <w:vAlign w:val="center"/>
          </w:tcPr>
          <w:p>
            <w:pPr>
              <w:spacing w:line="360" w:lineRule="auto"/>
              <w:jc w:val="center"/>
              <w:rPr>
                <w:rFonts w:ascii="宋体" w:hAnsi="宋体" w:cs="宋体"/>
                <w:sz w:val="24"/>
                <w:highlight w:val="none"/>
                <w:shd w:val="clear" w:color="auto" w:fill="FFFFFF"/>
              </w:rPr>
            </w:pPr>
          </w:p>
        </w:tc>
        <w:tc>
          <w:tcPr>
            <w:tcW w:w="1038" w:type="dxa"/>
            <w:vAlign w:val="center"/>
          </w:tcPr>
          <w:p>
            <w:pPr>
              <w:spacing w:line="360" w:lineRule="auto"/>
              <w:jc w:val="center"/>
              <w:rPr>
                <w:rFonts w:ascii="宋体" w:hAnsi="宋体" w:cs="宋体"/>
                <w:sz w:val="24"/>
                <w:highlight w:val="none"/>
                <w:shd w:val="clear" w:color="auto" w:fill="FFFFFF"/>
              </w:rPr>
            </w:pPr>
          </w:p>
        </w:tc>
        <w:tc>
          <w:tcPr>
            <w:tcW w:w="1438" w:type="dxa"/>
            <w:vAlign w:val="center"/>
          </w:tcPr>
          <w:p>
            <w:pPr>
              <w:spacing w:line="360" w:lineRule="auto"/>
              <w:jc w:val="center"/>
              <w:rPr>
                <w:rFonts w:ascii="宋体" w:hAnsi="宋体" w:cs="宋体"/>
                <w:sz w:val="24"/>
                <w:highlight w:val="none"/>
                <w:shd w:val="clear" w:color="auto" w:fill="FFFFFF"/>
              </w:rPr>
            </w:pPr>
          </w:p>
        </w:tc>
        <w:tc>
          <w:tcPr>
            <w:tcW w:w="1330" w:type="dxa"/>
            <w:tcBorders>
              <w:left w:val="single" w:color="auto" w:sz="4" w:space="0"/>
              <w:righ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566" w:type="dxa"/>
            <w:tcBorders>
              <w:left w:val="single" w:color="auto" w:sz="4" w:space="0"/>
            </w:tcBorders>
            <w:vAlign w:val="center"/>
          </w:tcPr>
          <w:p>
            <w:pPr>
              <w:spacing w:line="360" w:lineRule="auto"/>
              <w:jc w:val="center"/>
              <w:rPr>
                <w:rFonts w:ascii="宋体" w:hAnsi="宋体" w:cs="宋体"/>
                <w:sz w:val="24"/>
                <w:highlight w:val="none"/>
                <w:shd w:val="clear" w:color="auto" w:fill="FFFFFF"/>
              </w:rPr>
            </w:pPr>
          </w:p>
        </w:tc>
        <w:tc>
          <w:tcPr>
            <w:tcW w:w="1427" w:type="dxa"/>
            <w:vAlign w:val="center"/>
          </w:tcPr>
          <w:p>
            <w:pPr>
              <w:spacing w:line="360" w:lineRule="auto"/>
              <w:jc w:val="center"/>
              <w:rPr>
                <w:rFonts w:ascii="宋体" w:hAnsi="宋体" w:cs="宋体"/>
                <w:sz w:val="24"/>
                <w:highlight w:val="none"/>
                <w:shd w:val="clear" w:color="auto" w:fill="FFFFFF"/>
              </w:rPr>
            </w:pPr>
          </w:p>
        </w:tc>
        <w:tc>
          <w:tcPr>
            <w:tcW w:w="2019" w:type="dxa"/>
            <w:vAlign w:val="center"/>
          </w:tcPr>
          <w:p>
            <w:pPr>
              <w:spacing w:line="360" w:lineRule="auto"/>
              <w:jc w:val="center"/>
              <w:rPr>
                <w:rFonts w:ascii="宋体" w:hAnsi="宋体" w:cs="宋体"/>
                <w:sz w:val="24"/>
                <w:highlight w:val="none"/>
                <w:shd w:val="clear" w:color="auto" w:fill="FFFFFF"/>
              </w:rPr>
            </w:pPr>
          </w:p>
        </w:tc>
      </w:tr>
    </w:tbl>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投标人（盖章）：</w:t>
      </w:r>
    </w:p>
    <w:p>
      <w:pPr>
        <w:spacing w:line="360" w:lineRule="auto"/>
        <w:ind w:right="480"/>
        <w:rPr>
          <w:rFonts w:ascii="宋体" w:hAnsi="宋体" w:cs="宋体"/>
          <w:spacing w:val="10"/>
          <w:sz w:val="24"/>
          <w:highlight w:val="none"/>
        </w:rPr>
      </w:pPr>
      <w:r>
        <w:rPr>
          <w:rFonts w:hint="eastAsia" w:ascii="宋体" w:hAnsi="宋体" w:cs="宋体"/>
          <w:spacing w:val="10"/>
          <w:sz w:val="24"/>
          <w:highlight w:val="none"/>
        </w:rPr>
        <w:t>法定代表人或授权代表</w:t>
      </w:r>
      <w:r>
        <w:rPr>
          <w:rFonts w:hint="eastAsia" w:ascii="宋体" w:hAnsi="宋体" w:cs="宋体"/>
          <w:sz w:val="24"/>
          <w:highlight w:val="none"/>
        </w:rPr>
        <w:t>（签字或印章）</w:t>
      </w:r>
      <w:r>
        <w:rPr>
          <w:rFonts w:hint="eastAsia" w:ascii="宋体" w:hAnsi="宋体" w:cs="宋体"/>
          <w:spacing w:val="10"/>
          <w:sz w:val="24"/>
          <w:highlight w:val="none"/>
        </w:rPr>
        <w:t>：</w:t>
      </w:r>
    </w:p>
    <w:p>
      <w:pPr>
        <w:spacing w:line="360" w:lineRule="auto"/>
        <w:rPr>
          <w:rFonts w:ascii="宋体" w:hAnsi="宋体" w:cs="宋体"/>
          <w:b/>
          <w:bCs/>
          <w:highlight w:val="none"/>
        </w:rPr>
      </w:pPr>
      <w:r>
        <w:rPr>
          <w:rFonts w:hint="eastAsia" w:ascii="宋体" w:hAnsi="宋体" w:cs="宋体"/>
          <w:spacing w:val="10"/>
          <w:sz w:val="24"/>
          <w:highlight w:val="none"/>
        </w:rPr>
        <w:t>日期：</w:t>
      </w:r>
    </w:p>
    <w:p>
      <w:pPr>
        <w:pStyle w:val="22"/>
        <w:spacing w:line="360" w:lineRule="auto"/>
        <w:rPr>
          <w:rFonts w:hAnsi="宋体" w:cs="宋体"/>
          <w:sz w:val="24"/>
          <w:szCs w:val="24"/>
          <w:highlight w:val="none"/>
          <w:shd w:val="clear" w:color="auto" w:fill="FFFFFF"/>
        </w:rPr>
      </w:pPr>
    </w:p>
    <w:p>
      <w:pPr>
        <w:snapToGrid w:val="0"/>
        <w:spacing w:before="120" w:line="360" w:lineRule="auto"/>
        <w:ind w:right="357"/>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说明：1.投标人以上业绩需提供中标（成交）通知书或合同复印件等有关书面证明材</w:t>
      </w:r>
    </w:p>
    <w:p>
      <w:pPr>
        <w:snapToGrid w:val="0"/>
        <w:spacing w:before="120" w:line="360" w:lineRule="auto"/>
        <w:ind w:right="357"/>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料。</w:t>
      </w:r>
    </w:p>
    <w:p>
      <w:pPr>
        <w:pStyle w:val="30"/>
        <w:ind w:firstLine="240" w:firstLineChars="100"/>
        <w:rPr>
          <w:rFonts w:ascii="宋体" w:hAnsi="宋体" w:cs="宋体"/>
          <w:sz w:val="24"/>
          <w:szCs w:val="32"/>
          <w:highlight w:val="none"/>
          <w:shd w:val="clear" w:color="auto" w:fill="FFFFFF"/>
        </w:rPr>
      </w:pPr>
      <w:r>
        <w:rPr>
          <w:rFonts w:hint="eastAsia" w:ascii="宋体" w:hAnsi="宋体" w:cs="宋体"/>
          <w:sz w:val="24"/>
          <w:szCs w:val="32"/>
          <w:highlight w:val="none"/>
          <w:shd w:val="clear" w:color="auto" w:fill="FFFFFF"/>
        </w:rPr>
        <w:t>2.新成立的公司如无业绩证明材料需提供声明（格式自拟）。</w:t>
      </w:r>
    </w:p>
    <w:p>
      <w:pPr>
        <w:pStyle w:val="30"/>
        <w:rPr>
          <w:highlight w:val="none"/>
        </w:rPr>
      </w:pPr>
    </w:p>
    <w:p>
      <w:pPr>
        <w:pStyle w:val="22"/>
        <w:spacing w:line="360" w:lineRule="auto"/>
        <w:ind w:firstLine="480"/>
        <w:rPr>
          <w:rFonts w:hAnsi="宋体" w:cs="宋体"/>
          <w:sz w:val="24"/>
          <w:szCs w:val="24"/>
          <w:highlight w:val="none"/>
          <w:shd w:val="clear" w:color="auto" w:fill="FFFFFF"/>
        </w:rPr>
      </w:pPr>
    </w:p>
    <w:p>
      <w:pPr>
        <w:pStyle w:val="22"/>
        <w:spacing w:line="360" w:lineRule="auto"/>
        <w:ind w:firstLine="480"/>
        <w:rPr>
          <w:rFonts w:hAnsi="宋体" w:cs="宋体"/>
          <w:sz w:val="24"/>
          <w:szCs w:val="24"/>
          <w:highlight w:val="none"/>
          <w:shd w:val="clear" w:color="auto" w:fill="FFFFFF"/>
        </w:rPr>
      </w:pPr>
    </w:p>
    <w:p>
      <w:pPr>
        <w:pStyle w:val="22"/>
        <w:spacing w:line="360" w:lineRule="auto"/>
        <w:rPr>
          <w:rFonts w:hAnsi="宋体" w:cs="宋体"/>
          <w:sz w:val="24"/>
          <w:szCs w:val="24"/>
          <w:highlight w:val="none"/>
          <w:shd w:val="clear" w:color="auto" w:fill="FFFFFF"/>
        </w:rPr>
      </w:pPr>
    </w:p>
    <w:p>
      <w:pPr>
        <w:pStyle w:val="4"/>
        <w:spacing w:before="0" w:after="100" w:afterAutospacing="1"/>
        <w:rPr>
          <w:rFonts w:ascii="宋体" w:hAnsi="宋体" w:cs="宋体"/>
          <w:spacing w:val="10"/>
          <w:highlight w:val="none"/>
        </w:rPr>
      </w:pPr>
      <w:bookmarkStart w:id="551" w:name="_Toc433806381"/>
      <w:bookmarkStart w:id="552" w:name="_Toc456166280"/>
      <w:bookmarkStart w:id="553" w:name="_Toc32144"/>
      <w:bookmarkStart w:id="554" w:name="_Toc11978"/>
      <w:r>
        <w:rPr>
          <w:rFonts w:hint="eastAsia" w:ascii="宋体" w:hAnsi="宋体" w:cs="宋体"/>
          <w:spacing w:val="10"/>
          <w:highlight w:val="none"/>
        </w:rPr>
        <w:br w:type="page"/>
      </w:r>
      <w:bookmarkStart w:id="555" w:name="_Toc6830"/>
      <w:bookmarkStart w:id="556" w:name="_Toc22123"/>
      <w:bookmarkStart w:id="557" w:name="_Toc29402"/>
      <w:bookmarkStart w:id="558" w:name="_Toc21563"/>
      <w:r>
        <w:rPr>
          <w:rFonts w:hint="eastAsia" w:ascii="宋体" w:hAnsi="宋体" w:cs="宋体"/>
          <w:spacing w:val="10"/>
          <w:highlight w:val="none"/>
        </w:rPr>
        <w:t>1</w:t>
      </w:r>
      <w:r>
        <w:rPr>
          <w:rFonts w:hint="eastAsia" w:ascii="宋体" w:hAnsi="宋体" w:cs="宋体"/>
          <w:spacing w:val="10"/>
          <w:highlight w:val="none"/>
          <w:lang w:val="en-US" w:eastAsia="zh-CN"/>
        </w:rPr>
        <w:t>7</w:t>
      </w:r>
      <w:r>
        <w:rPr>
          <w:rFonts w:hint="eastAsia" w:ascii="宋体" w:hAnsi="宋体" w:cs="宋体"/>
          <w:spacing w:val="10"/>
          <w:highlight w:val="none"/>
        </w:rPr>
        <w:t>.</w:t>
      </w:r>
      <w:bookmarkEnd w:id="551"/>
      <w:bookmarkEnd w:id="552"/>
      <w:r>
        <w:rPr>
          <w:rFonts w:hint="eastAsia" w:ascii="宋体" w:hAnsi="宋体" w:cs="宋体"/>
          <w:spacing w:val="10"/>
          <w:highlight w:val="none"/>
        </w:rPr>
        <w:t>无违法记录声明</w:t>
      </w:r>
      <w:bookmarkEnd w:id="553"/>
      <w:bookmarkEnd w:id="554"/>
      <w:bookmarkEnd w:id="555"/>
      <w:bookmarkEnd w:id="556"/>
      <w:bookmarkEnd w:id="557"/>
      <w:bookmarkEnd w:id="558"/>
    </w:p>
    <w:p>
      <w:pPr>
        <w:spacing w:line="360" w:lineRule="auto"/>
        <w:ind w:left="480" w:hanging="480" w:hangingChars="200"/>
        <w:rPr>
          <w:rFonts w:hint="eastAsia" w:ascii="宋体" w:hAnsi="宋体" w:cs="宋体"/>
          <w:sz w:val="24"/>
          <w:highlight w:val="none"/>
        </w:rPr>
      </w:pPr>
      <w:bookmarkStart w:id="559" w:name="_Toc20408"/>
      <w:bookmarkStart w:id="560" w:name="_Toc15095"/>
      <w:bookmarkStart w:id="561" w:name="_Toc16308"/>
      <w:bookmarkStart w:id="562" w:name="_Toc15673"/>
      <w:bookmarkStart w:id="563" w:name="_Toc9735"/>
      <w:r>
        <w:rPr>
          <w:rFonts w:hint="eastAsia" w:ascii="宋体" w:hAnsi="宋体" w:cs="宋体"/>
          <w:sz w:val="24"/>
          <w:highlight w:val="none"/>
          <w:lang w:val="en-US" w:eastAsia="zh-CN"/>
        </w:rPr>
        <w:t>致</w:t>
      </w:r>
      <w:r>
        <w:rPr>
          <w:rFonts w:hint="eastAsia" w:ascii="宋体" w:hAnsi="宋体" w:cs="宋体"/>
          <w:sz w:val="24"/>
          <w:highlight w:val="none"/>
        </w:rPr>
        <w:t>：</w:t>
      </w:r>
      <w:r>
        <w:rPr>
          <w:rFonts w:hint="eastAsia" w:ascii="宋体" w:hAnsi="宋体" w:cs="宋体"/>
          <w:sz w:val="24"/>
          <w:highlight w:val="none"/>
        </w:rPr>
        <w:br w:type="textWrapping"/>
      </w:r>
      <w:r>
        <w:rPr>
          <w:rFonts w:hint="eastAsia" w:ascii="宋体" w:hAnsi="宋体" w:cs="宋体"/>
          <w:sz w:val="24"/>
          <w:highlight w:val="none"/>
        </w:rPr>
        <w:t>本投标人现参与项目（招标文件编号：）的采购活动，在参加本次</w:t>
      </w:r>
      <w:r>
        <w:rPr>
          <w:rFonts w:hint="eastAsia" w:ascii="宋体" w:hAnsi="宋体" w:cs="宋体"/>
          <w:sz w:val="24"/>
          <w:highlight w:val="none"/>
          <w:lang w:eastAsia="zh-CN"/>
        </w:rPr>
        <w:t>采购</w:t>
      </w:r>
      <w:r>
        <w:rPr>
          <w:rFonts w:hint="eastAsia" w:ascii="宋体" w:hAnsi="宋体" w:cs="宋体"/>
          <w:sz w:val="24"/>
          <w:highlight w:val="none"/>
        </w:rPr>
        <w:t>活动前</w:t>
      </w:r>
    </w:p>
    <w:p>
      <w:pPr>
        <w:spacing w:line="360" w:lineRule="auto"/>
        <w:ind w:left="480" w:hanging="480" w:hangingChars="200"/>
        <w:rPr>
          <w:rFonts w:ascii="宋体" w:hAnsi="宋体" w:cs="宋体"/>
          <w:sz w:val="24"/>
          <w:highlight w:val="none"/>
        </w:rPr>
      </w:pPr>
      <w:r>
        <w:rPr>
          <w:rFonts w:hint="eastAsia" w:ascii="宋体" w:hAnsi="宋体" w:cs="宋体"/>
          <w:sz w:val="24"/>
          <w:highlight w:val="none"/>
        </w:rPr>
        <w:t>三年内，在经营活动中更没有重大违法记录。</w:t>
      </w:r>
      <w:r>
        <w:rPr>
          <w:rFonts w:hint="eastAsia" w:ascii="宋体" w:hAnsi="宋体" w:cs="宋体"/>
          <w:sz w:val="24"/>
          <w:highlight w:val="none"/>
        </w:rPr>
        <w:br w:type="textWrapping"/>
      </w:r>
      <w:r>
        <w:rPr>
          <w:rFonts w:hint="eastAsia" w:ascii="宋体" w:hAnsi="宋体" w:cs="宋体"/>
          <w:sz w:val="24"/>
          <w:highlight w:val="none"/>
        </w:rPr>
        <w:t>如上述声明不真实，愿意按照</w:t>
      </w:r>
      <w:r>
        <w:rPr>
          <w:rFonts w:hint="eastAsia" w:ascii="宋体" w:hAnsi="宋体" w:cs="宋体"/>
          <w:sz w:val="24"/>
          <w:highlight w:val="none"/>
          <w:lang w:eastAsia="zh-CN"/>
        </w:rPr>
        <w:t>采购</w:t>
      </w:r>
      <w:r>
        <w:rPr>
          <w:rFonts w:hint="eastAsia" w:ascii="宋体" w:hAnsi="宋体" w:cs="宋体"/>
          <w:sz w:val="24"/>
          <w:highlight w:val="none"/>
        </w:rPr>
        <w:t>有关法律法规的规定接受处罚。</w:t>
      </w:r>
      <w:r>
        <w:rPr>
          <w:rFonts w:hint="eastAsia"/>
          <w:highlight w:val="none"/>
        </w:rPr>
        <w:br w:type="textWrapping"/>
      </w:r>
      <w:bookmarkEnd w:id="559"/>
      <w:bookmarkEnd w:id="560"/>
      <w:bookmarkEnd w:id="561"/>
      <w:bookmarkEnd w:id="562"/>
      <w:bookmarkEnd w:id="563"/>
    </w:p>
    <w:p>
      <w:pPr>
        <w:pStyle w:val="4"/>
        <w:spacing w:before="0" w:after="100" w:afterAutospacing="1"/>
        <w:ind w:firstLine="480"/>
        <w:jc w:val="left"/>
        <w:rPr>
          <w:rFonts w:ascii="宋体" w:hAnsi="宋体" w:cs="宋体"/>
          <w:b w:val="0"/>
          <w:sz w:val="24"/>
          <w:szCs w:val="24"/>
          <w:highlight w:val="none"/>
        </w:rPr>
      </w:pPr>
      <w:bookmarkStart w:id="564" w:name="_Toc9385"/>
      <w:bookmarkStart w:id="565" w:name="_Toc26039"/>
      <w:bookmarkStart w:id="566" w:name="_Toc7530"/>
      <w:bookmarkStart w:id="567" w:name="_Toc19846"/>
      <w:bookmarkStart w:id="568" w:name="_Toc408"/>
      <w:bookmarkStart w:id="569" w:name="_Toc19566"/>
      <w:bookmarkStart w:id="570" w:name="_Toc11320"/>
      <w:bookmarkStart w:id="571" w:name="_Toc1997"/>
      <w:bookmarkStart w:id="572" w:name="_Toc7758"/>
      <w:r>
        <w:rPr>
          <w:rFonts w:hint="eastAsia" w:ascii="宋体" w:hAnsi="宋体" w:cs="宋体"/>
          <w:b w:val="0"/>
          <w:sz w:val="24"/>
          <w:szCs w:val="24"/>
          <w:highlight w:val="none"/>
        </w:rPr>
        <w:t>特此声明。</w:t>
      </w:r>
      <w:r>
        <w:rPr>
          <w:rFonts w:hint="eastAsia" w:ascii="宋体" w:hAnsi="宋体" w:cs="宋体"/>
          <w:b w:val="0"/>
          <w:sz w:val="24"/>
          <w:szCs w:val="24"/>
          <w:highlight w:val="none"/>
        </w:rPr>
        <w:br w:type="textWrapping"/>
      </w:r>
      <w:bookmarkEnd w:id="564"/>
      <w:bookmarkEnd w:id="565"/>
      <w:bookmarkEnd w:id="566"/>
      <w:bookmarkEnd w:id="567"/>
      <w:bookmarkEnd w:id="568"/>
      <w:bookmarkEnd w:id="569"/>
      <w:bookmarkEnd w:id="570"/>
      <w:bookmarkEnd w:id="571"/>
      <w:bookmarkEnd w:id="572"/>
    </w:p>
    <w:p>
      <w:pPr>
        <w:pStyle w:val="4"/>
        <w:spacing w:before="0" w:after="100" w:afterAutospacing="1"/>
        <w:ind w:firstLine="480"/>
        <w:jc w:val="left"/>
        <w:rPr>
          <w:rFonts w:ascii="宋体" w:hAnsi="宋体" w:cs="宋体"/>
          <w:b w:val="0"/>
          <w:sz w:val="24"/>
          <w:szCs w:val="24"/>
          <w:highlight w:val="none"/>
        </w:rPr>
      </w:pPr>
    </w:p>
    <w:p>
      <w:pPr>
        <w:pStyle w:val="22"/>
        <w:spacing w:line="360" w:lineRule="auto"/>
        <w:rPr>
          <w:rFonts w:hAnsi="宋体" w:cs="宋体"/>
          <w:b/>
          <w:spacing w:val="10"/>
          <w:sz w:val="24"/>
          <w:szCs w:val="24"/>
          <w:highlight w:val="none"/>
        </w:rPr>
      </w:pPr>
      <w:bookmarkStart w:id="573" w:name="_Toc21316"/>
      <w:r>
        <w:rPr>
          <w:rFonts w:hint="eastAsia" w:hAnsi="宋体" w:cs="宋体"/>
          <w:sz w:val="24"/>
          <w:szCs w:val="24"/>
          <w:highlight w:val="none"/>
        </w:rPr>
        <w:t>投标人：</w:t>
      </w:r>
      <w:r>
        <w:rPr>
          <w:rFonts w:hint="eastAsia" w:hAnsi="宋体" w:cs="宋体"/>
          <w:sz w:val="24"/>
          <w:szCs w:val="24"/>
          <w:highlight w:val="none"/>
          <w:u w:val="single"/>
        </w:rPr>
        <w:t>（盖章）</w:t>
      </w:r>
      <w:r>
        <w:rPr>
          <w:rStyle w:val="218"/>
          <w:rFonts w:hint="eastAsia" w:ascii="宋体" w:hAnsi="宋体" w:eastAsia="宋体" w:cs="宋体"/>
          <w:color w:val="auto"/>
          <w:sz w:val="24"/>
          <w:szCs w:val="24"/>
          <w:highlight w:val="none"/>
        </w:rPr>
        <w:br w:type="textWrapping"/>
      </w:r>
      <w:r>
        <w:rPr>
          <w:rStyle w:val="218"/>
          <w:rFonts w:hint="eastAsia" w:ascii="宋体" w:hAnsi="宋体" w:eastAsia="宋体" w:cs="宋体"/>
          <w:color w:val="auto"/>
          <w:sz w:val="24"/>
          <w:szCs w:val="24"/>
          <w:highlight w:val="none"/>
        </w:rPr>
        <w:t>法定代表人或授权代表（签字或印章）</w:t>
      </w:r>
      <w:r>
        <w:rPr>
          <w:rFonts w:hint="eastAsia" w:hAnsi="宋体" w:cs="宋体"/>
          <w:sz w:val="24"/>
          <w:szCs w:val="24"/>
          <w:highlight w:val="none"/>
        </w:rPr>
        <w:t>：</w:t>
      </w:r>
      <w:r>
        <w:rPr>
          <w:rFonts w:hint="eastAsia" w:hAnsi="宋体" w:cs="宋体"/>
          <w:sz w:val="24"/>
          <w:szCs w:val="24"/>
          <w:highlight w:val="none"/>
          <w:u w:val="single"/>
        </w:rPr>
        <w:t>（签字或印章）</w:t>
      </w:r>
      <w:r>
        <w:rPr>
          <w:rFonts w:hint="eastAsia" w:hAnsi="宋体" w:cs="宋体"/>
          <w:sz w:val="24"/>
          <w:szCs w:val="24"/>
          <w:highlight w:val="none"/>
          <w:u w:val="single"/>
        </w:rPr>
        <w:br w:type="textWrapping"/>
      </w:r>
      <w:r>
        <w:rPr>
          <w:rFonts w:hint="eastAsia" w:hAnsi="宋体" w:cs="宋体"/>
          <w:sz w:val="24"/>
          <w:szCs w:val="24"/>
          <w:highlight w:val="none"/>
        </w:rPr>
        <w:t>日期：</w:t>
      </w:r>
      <w:bookmarkEnd w:id="573"/>
    </w:p>
    <w:p>
      <w:pPr>
        <w:snapToGrid w:val="0"/>
        <w:spacing w:line="360" w:lineRule="auto"/>
        <w:rPr>
          <w:rFonts w:ascii="宋体" w:hAnsi="宋体" w:cs="宋体"/>
          <w:b/>
          <w:spacing w:val="10"/>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spacing w:line="360" w:lineRule="auto"/>
        <w:ind w:right="600"/>
        <w:rPr>
          <w:rFonts w:ascii="宋体" w:hAnsi="宋体" w:cs="宋体"/>
          <w:b/>
          <w:sz w:val="24"/>
          <w:highlight w:val="none"/>
        </w:rPr>
      </w:pPr>
    </w:p>
    <w:p>
      <w:pPr>
        <w:pStyle w:val="3"/>
        <w:jc w:val="both"/>
        <w:rPr>
          <w:rFonts w:ascii="宋体" w:hAnsi="宋体" w:cs="宋体"/>
          <w:bCs w:val="0"/>
          <w:kern w:val="2"/>
          <w:sz w:val="24"/>
          <w:szCs w:val="24"/>
          <w:highlight w:val="none"/>
        </w:rPr>
      </w:pPr>
      <w:bookmarkStart w:id="574" w:name="_Toc2766"/>
      <w:bookmarkStart w:id="575" w:name="_Toc30984"/>
      <w:bookmarkStart w:id="576" w:name="_Toc14086"/>
      <w:bookmarkStart w:id="577" w:name="_Toc29602"/>
      <w:bookmarkStart w:id="578" w:name="_Toc21284"/>
      <w:bookmarkStart w:id="579" w:name="_Toc24287"/>
      <w:r>
        <w:rPr>
          <w:rFonts w:ascii="宋体" w:hAnsi="宋体" w:cs="宋体"/>
          <w:bCs w:val="0"/>
          <w:kern w:val="2"/>
          <w:sz w:val="24"/>
          <w:szCs w:val="24"/>
          <w:highlight w:val="none"/>
        </w:rPr>
        <w:br w:type="page"/>
      </w:r>
    </w:p>
    <w:p>
      <w:pPr>
        <w:pStyle w:val="3"/>
        <w:jc w:val="both"/>
        <w:rPr>
          <w:rFonts w:ascii="宋体" w:hAnsi="宋体" w:cs="宋体"/>
          <w:sz w:val="32"/>
          <w:szCs w:val="32"/>
          <w:highlight w:val="none"/>
        </w:rPr>
      </w:pPr>
      <w:r>
        <w:rPr>
          <w:rFonts w:hint="eastAsia" w:ascii="宋体" w:hAnsi="宋体" w:cs="宋体"/>
          <w:sz w:val="32"/>
          <w:szCs w:val="32"/>
          <w:highlight w:val="none"/>
        </w:rPr>
        <w:t>1</w:t>
      </w:r>
      <w:r>
        <w:rPr>
          <w:rFonts w:hint="eastAsia" w:ascii="宋体" w:hAnsi="宋体" w:cs="宋体"/>
          <w:sz w:val="32"/>
          <w:szCs w:val="32"/>
          <w:highlight w:val="none"/>
          <w:lang w:val="en-US" w:eastAsia="zh-CN"/>
        </w:rPr>
        <w:t>8</w:t>
      </w:r>
      <w:r>
        <w:rPr>
          <w:rFonts w:hint="eastAsia" w:ascii="宋体" w:hAnsi="宋体" w:cs="宋体"/>
          <w:sz w:val="32"/>
          <w:szCs w:val="32"/>
          <w:highlight w:val="none"/>
        </w:rPr>
        <w:t>.投标人具备履行合同所必需的设备和专业技术能力的证明材料</w:t>
      </w:r>
      <w:bookmarkEnd w:id="574"/>
      <w:bookmarkEnd w:id="575"/>
      <w:bookmarkEnd w:id="576"/>
      <w:bookmarkEnd w:id="577"/>
      <w:bookmarkEnd w:id="578"/>
      <w:bookmarkEnd w:id="579"/>
    </w:p>
    <w:p>
      <w:pPr>
        <w:pStyle w:val="3"/>
        <w:jc w:val="both"/>
        <w:rPr>
          <w:rFonts w:ascii="宋体" w:hAnsi="宋体" w:cs="宋体"/>
          <w:sz w:val="32"/>
          <w:szCs w:val="32"/>
          <w:highlight w:val="none"/>
        </w:rPr>
      </w:pPr>
    </w:p>
    <w:p>
      <w:pPr>
        <w:pStyle w:val="3"/>
        <w:jc w:val="both"/>
        <w:rPr>
          <w:rFonts w:ascii="宋体" w:hAnsi="宋体" w:cs="宋体"/>
          <w:sz w:val="32"/>
          <w:szCs w:val="32"/>
          <w:highlight w:val="none"/>
        </w:rPr>
      </w:pPr>
    </w:p>
    <w:p>
      <w:pPr>
        <w:pStyle w:val="3"/>
        <w:jc w:val="both"/>
        <w:rPr>
          <w:rFonts w:ascii="宋体" w:hAnsi="宋体" w:cs="宋体"/>
          <w:sz w:val="32"/>
          <w:szCs w:val="32"/>
          <w:highlight w:val="none"/>
        </w:rPr>
      </w:pPr>
    </w:p>
    <w:p>
      <w:pPr>
        <w:pStyle w:val="3"/>
        <w:jc w:val="both"/>
        <w:rPr>
          <w:rFonts w:ascii="宋体" w:hAnsi="宋体" w:cs="宋体"/>
          <w:sz w:val="32"/>
          <w:szCs w:val="32"/>
          <w:highlight w:val="none"/>
        </w:rPr>
      </w:pPr>
    </w:p>
    <w:p>
      <w:pPr>
        <w:pStyle w:val="3"/>
        <w:jc w:val="both"/>
        <w:rPr>
          <w:rFonts w:ascii="宋体" w:hAnsi="宋体" w:cs="宋体"/>
          <w:sz w:val="32"/>
          <w:szCs w:val="32"/>
          <w:highlight w:val="none"/>
        </w:rPr>
      </w:pPr>
    </w:p>
    <w:p>
      <w:pPr>
        <w:pStyle w:val="30"/>
        <w:rPr>
          <w:rFonts w:ascii="宋体" w:hAnsi="宋体" w:cs="宋体"/>
          <w:b/>
          <w:bCs/>
          <w:kern w:val="44"/>
          <w:sz w:val="32"/>
          <w:szCs w:val="32"/>
          <w:highlight w:val="none"/>
        </w:rPr>
      </w:pPr>
      <w:r>
        <w:rPr>
          <w:rFonts w:ascii="宋体" w:hAnsi="宋体" w:cs="宋体"/>
          <w:b/>
          <w:bCs/>
          <w:kern w:val="44"/>
          <w:sz w:val="32"/>
          <w:szCs w:val="32"/>
          <w:highlight w:val="none"/>
        </w:rPr>
        <w:br w:type="page"/>
      </w:r>
    </w:p>
    <w:p>
      <w:pPr>
        <w:pStyle w:val="3"/>
        <w:rPr>
          <w:rFonts w:ascii="宋体" w:hAnsi="宋体" w:cs="宋体"/>
          <w:sz w:val="32"/>
          <w:szCs w:val="32"/>
          <w:highlight w:val="none"/>
        </w:rPr>
      </w:pPr>
      <w:bookmarkStart w:id="580" w:name="_Toc27330"/>
      <w:bookmarkStart w:id="581" w:name="_Toc26775"/>
      <w:bookmarkStart w:id="582" w:name="_Toc30081"/>
      <w:bookmarkStart w:id="583" w:name="_Toc9202"/>
      <w:bookmarkStart w:id="584" w:name="_Toc27283"/>
      <w:bookmarkStart w:id="585" w:name="_Toc13452"/>
      <w:r>
        <w:rPr>
          <w:rFonts w:hint="eastAsia" w:ascii="宋体" w:hAnsi="宋体" w:cs="宋体"/>
          <w:sz w:val="32"/>
          <w:szCs w:val="32"/>
          <w:highlight w:val="none"/>
        </w:rPr>
        <w:t>1</w:t>
      </w:r>
      <w:r>
        <w:rPr>
          <w:rFonts w:hint="eastAsia" w:ascii="宋体" w:hAnsi="宋体" w:cs="宋体"/>
          <w:sz w:val="32"/>
          <w:szCs w:val="32"/>
          <w:highlight w:val="none"/>
          <w:lang w:val="en-US" w:eastAsia="zh-CN"/>
        </w:rPr>
        <w:t>9</w:t>
      </w:r>
      <w:r>
        <w:rPr>
          <w:rFonts w:hint="eastAsia" w:ascii="宋体" w:hAnsi="宋体" w:cs="宋体"/>
          <w:sz w:val="32"/>
          <w:szCs w:val="32"/>
          <w:highlight w:val="none"/>
        </w:rPr>
        <w:t>.售后服务（格式自拟）</w:t>
      </w:r>
      <w:bookmarkEnd w:id="580"/>
      <w:bookmarkEnd w:id="581"/>
      <w:bookmarkEnd w:id="582"/>
      <w:bookmarkEnd w:id="583"/>
      <w:bookmarkEnd w:id="584"/>
      <w:bookmarkEnd w:id="585"/>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rPr>
          <w:highlight w:val="none"/>
        </w:rPr>
      </w:pPr>
    </w:p>
    <w:p>
      <w:pPr>
        <w:pStyle w:val="30"/>
        <w:rPr>
          <w:highlight w:val="none"/>
        </w:rPr>
      </w:pPr>
    </w:p>
    <w:p>
      <w:pPr>
        <w:pStyle w:val="3"/>
        <w:rPr>
          <w:b w:val="0"/>
          <w:bCs w:val="0"/>
          <w:kern w:val="2"/>
          <w:sz w:val="21"/>
          <w:szCs w:val="24"/>
          <w:highlight w:val="none"/>
        </w:rPr>
      </w:pPr>
      <w:bookmarkStart w:id="586" w:name="_Toc14275"/>
      <w:bookmarkStart w:id="587" w:name="_Toc12326"/>
      <w:bookmarkStart w:id="588" w:name="_Toc4534"/>
      <w:bookmarkStart w:id="589" w:name="_Toc6908"/>
      <w:r>
        <w:rPr>
          <w:b w:val="0"/>
          <w:bCs w:val="0"/>
          <w:kern w:val="2"/>
          <w:sz w:val="21"/>
          <w:szCs w:val="24"/>
          <w:highlight w:val="none"/>
        </w:rPr>
        <w:br w:type="page"/>
      </w:r>
    </w:p>
    <w:bookmarkEnd w:id="586"/>
    <w:bookmarkEnd w:id="587"/>
    <w:bookmarkEnd w:id="588"/>
    <w:bookmarkEnd w:id="589"/>
    <w:p>
      <w:pPr>
        <w:pStyle w:val="3"/>
        <w:jc w:val="center"/>
        <w:rPr>
          <w:rFonts w:ascii="宋体" w:hAnsi="宋体" w:cs="宋体"/>
          <w:spacing w:val="10"/>
          <w:kern w:val="0"/>
          <w:sz w:val="32"/>
          <w:szCs w:val="32"/>
          <w:highlight w:val="none"/>
        </w:rPr>
      </w:pPr>
      <w:bookmarkStart w:id="590" w:name="_Toc17490"/>
      <w:bookmarkStart w:id="591" w:name="_Toc18193"/>
      <w:bookmarkStart w:id="592" w:name="_Toc11150"/>
      <w:bookmarkStart w:id="593" w:name="_Toc16412"/>
      <w:r>
        <w:rPr>
          <w:rFonts w:hint="eastAsia" w:ascii="宋体" w:hAnsi="宋体" w:cs="宋体"/>
          <w:spacing w:val="10"/>
          <w:kern w:val="0"/>
          <w:sz w:val="32"/>
          <w:szCs w:val="32"/>
          <w:highlight w:val="none"/>
        </w:rPr>
        <w:t>2</w:t>
      </w:r>
      <w:r>
        <w:rPr>
          <w:rFonts w:hint="eastAsia" w:ascii="宋体" w:hAnsi="宋体" w:cs="宋体"/>
          <w:spacing w:val="10"/>
          <w:kern w:val="0"/>
          <w:sz w:val="32"/>
          <w:szCs w:val="32"/>
          <w:highlight w:val="none"/>
          <w:lang w:val="en-US" w:eastAsia="zh-CN"/>
        </w:rPr>
        <w:t>0</w:t>
      </w:r>
      <w:r>
        <w:rPr>
          <w:rFonts w:hint="eastAsia" w:ascii="宋体" w:hAnsi="宋体" w:cs="宋体"/>
          <w:spacing w:val="10"/>
          <w:kern w:val="0"/>
          <w:sz w:val="32"/>
          <w:szCs w:val="32"/>
          <w:highlight w:val="none"/>
        </w:rPr>
        <w:t>.非联合体投标承诺函</w:t>
      </w:r>
      <w:bookmarkEnd w:id="590"/>
    </w:p>
    <w:p>
      <w:pPr>
        <w:rPr>
          <w:rFonts w:ascii="宋体" w:hAnsi="宋体" w:cs="宋体"/>
          <w:sz w:val="28"/>
          <w:highlight w:val="none"/>
        </w:rPr>
      </w:pPr>
    </w:p>
    <w:p>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我公司作为参加本次</w:t>
      </w:r>
      <w:r>
        <w:rPr>
          <w:rFonts w:hint="eastAsia" w:ascii="宋体" w:hAnsi="宋体" w:cs="宋体"/>
          <w:sz w:val="24"/>
          <w:highlight w:val="none"/>
          <w:u w:val="single"/>
        </w:rPr>
        <w:t xml:space="preserve">               </w:t>
      </w:r>
      <w:r>
        <w:rPr>
          <w:rFonts w:hint="eastAsia" w:ascii="宋体" w:hAnsi="宋体" w:cs="宋体"/>
          <w:sz w:val="24"/>
          <w:highlight w:val="none"/>
        </w:rPr>
        <w:t>项目(招标编号：</w:t>
      </w:r>
      <w:r>
        <w:rPr>
          <w:rFonts w:hint="eastAsia" w:ascii="宋体" w:hAnsi="宋体" w:cs="宋体"/>
          <w:sz w:val="24"/>
          <w:highlight w:val="none"/>
          <w:u w:val="single"/>
        </w:rPr>
        <w:t xml:space="preserve">        </w:t>
      </w:r>
      <w:r>
        <w:rPr>
          <w:rFonts w:hint="eastAsia" w:ascii="宋体" w:hAnsi="宋体" w:cs="宋体"/>
          <w:sz w:val="24"/>
          <w:highlight w:val="none"/>
        </w:rPr>
        <w:t xml:space="preserve">)的供应商，根据招标文件要求，现郑重声明如下：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我公司参加本次招标项目非联合体投标。</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本公司对上述承诺的内容事项真实性负责。如经查实上述承诺的内容事项存在虚假，我公司愿意接受以提供虚假材料谋取成交的法律责任。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特此承诺</w:t>
      </w:r>
    </w:p>
    <w:p>
      <w:pPr>
        <w:adjustRightInd w:val="0"/>
        <w:snapToGrid w:val="0"/>
        <w:spacing w:line="360" w:lineRule="auto"/>
        <w:ind w:firstLine="480" w:firstLineChars="200"/>
        <w:rPr>
          <w:rFonts w:ascii="宋体" w:hAnsi="宋体" w:cs="宋体"/>
          <w:sz w:val="24"/>
          <w:highlight w:val="none"/>
        </w:rPr>
      </w:pPr>
    </w:p>
    <w:p>
      <w:pPr>
        <w:wordWrap w:val="0"/>
        <w:adjustRightInd w:val="0"/>
        <w:snapToGrid w:val="0"/>
        <w:spacing w:line="360" w:lineRule="auto"/>
        <w:ind w:firstLine="480" w:firstLineChars="200"/>
        <w:jc w:val="right"/>
        <w:rPr>
          <w:rFonts w:ascii="宋体" w:hAnsi="宋体" w:cs="宋体"/>
          <w:sz w:val="24"/>
          <w:szCs w:val="32"/>
          <w:highlight w:val="none"/>
        </w:rPr>
      </w:pPr>
      <w:r>
        <w:rPr>
          <w:rFonts w:hint="eastAsia" w:ascii="宋体" w:hAnsi="宋体" w:cs="宋体"/>
          <w:sz w:val="24"/>
          <w:szCs w:val="32"/>
          <w:highlight w:val="none"/>
        </w:rPr>
        <w:t xml:space="preserve">               </w:t>
      </w: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3"/>
        <w:jc w:val="both"/>
        <w:rPr>
          <w:rFonts w:ascii="宋体" w:hAnsi="宋体" w:cs="宋体"/>
          <w:b w:val="0"/>
          <w:bCs w:val="0"/>
          <w:sz w:val="32"/>
          <w:szCs w:val="32"/>
          <w:highlight w:val="none"/>
        </w:rPr>
      </w:pPr>
      <w:r>
        <w:rPr>
          <w:rFonts w:hint="eastAsia" w:ascii="宋体" w:hAnsi="宋体" w:cs="宋体"/>
          <w:b w:val="0"/>
          <w:bCs w:val="0"/>
          <w:spacing w:val="10"/>
          <w:sz w:val="24"/>
          <w:highlight w:val="none"/>
        </w:rPr>
        <w:t>日期：  年  月   日</w:t>
      </w: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bookmarkStart w:id="594" w:name="_Toc5730"/>
      <w:r>
        <w:rPr>
          <w:rFonts w:ascii="宋体" w:hAnsi="宋体" w:cs="宋体"/>
          <w:sz w:val="32"/>
          <w:szCs w:val="32"/>
          <w:highlight w:val="none"/>
        </w:rPr>
        <w:br w:type="page"/>
      </w:r>
    </w:p>
    <w:p>
      <w:pPr>
        <w:pStyle w:val="3"/>
        <w:rPr>
          <w:rFonts w:ascii="宋体" w:hAnsi="宋体" w:cs="宋体"/>
          <w:spacing w:val="10"/>
          <w:kern w:val="0"/>
          <w:sz w:val="32"/>
          <w:szCs w:val="32"/>
          <w:highlight w:val="none"/>
        </w:rPr>
      </w:pPr>
      <w:r>
        <w:rPr>
          <w:rFonts w:hint="eastAsia" w:ascii="宋体" w:hAnsi="宋体" w:cs="宋体"/>
          <w:spacing w:val="10"/>
          <w:kern w:val="0"/>
          <w:sz w:val="32"/>
          <w:szCs w:val="32"/>
          <w:highlight w:val="none"/>
        </w:rPr>
        <w:t>2</w:t>
      </w:r>
      <w:r>
        <w:rPr>
          <w:rFonts w:hint="eastAsia" w:ascii="宋体" w:hAnsi="宋体" w:cs="宋体"/>
          <w:spacing w:val="10"/>
          <w:kern w:val="0"/>
          <w:sz w:val="32"/>
          <w:szCs w:val="32"/>
          <w:highlight w:val="none"/>
          <w:lang w:val="en-US" w:eastAsia="zh-CN"/>
        </w:rPr>
        <w:t>1</w:t>
      </w:r>
      <w:r>
        <w:rPr>
          <w:rFonts w:hint="eastAsia" w:ascii="宋体" w:hAnsi="宋体" w:cs="宋体"/>
          <w:spacing w:val="10"/>
          <w:kern w:val="0"/>
          <w:sz w:val="32"/>
          <w:szCs w:val="32"/>
          <w:highlight w:val="none"/>
        </w:rPr>
        <w:t>.具有履行合同所必须的设备和专业技术能力的承诺函</w:t>
      </w:r>
      <w:bookmarkEnd w:id="594"/>
    </w:p>
    <w:p>
      <w:pPr>
        <w:adjustRightInd w:val="0"/>
        <w:snapToGrid w:val="0"/>
        <w:spacing w:line="360" w:lineRule="auto"/>
        <w:ind w:firstLine="640" w:firstLineChars="200"/>
        <w:rPr>
          <w:rFonts w:ascii="宋体" w:hAnsi="宋体" w:cs="宋体"/>
          <w:sz w:val="32"/>
          <w:szCs w:val="32"/>
          <w:highlight w:val="none"/>
        </w:rPr>
      </w:pPr>
    </w:p>
    <w:p>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我公司仔细阅读了贵方关于</w:t>
      </w:r>
      <w:r>
        <w:rPr>
          <w:rFonts w:hint="eastAsia" w:ascii="宋体" w:hAnsi="宋体" w:cs="宋体"/>
          <w:sz w:val="24"/>
          <w:highlight w:val="none"/>
          <w:u w:val="single"/>
        </w:rPr>
        <w:t xml:space="preserve">          </w:t>
      </w:r>
      <w:r>
        <w:rPr>
          <w:rFonts w:hint="eastAsia" w:ascii="宋体" w:hAnsi="宋体" w:cs="宋体"/>
          <w:sz w:val="24"/>
          <w:highlight w:val="none"/>
        </w:rPr>
        <w:t>项目(招标编号：</w:t>
      </w:r>
      <w:r>
        <w:rPr>
          <w:rFonts w:hint="eastAsia" w:ascii="宋体" w:hAnsi="宋体" w:cs="宋体"/>
          <w:sz w:val="24"/>
          <w:highlight w:val="none"/>
          <w:u w:val="single"/>
        </w:rPr>
        <w:t xml:space="preserve">       </w:t>
      </w:r>
      <w:r>
        <w:rPr>
          <w:rFonts w:hint="eastAsia" w:ascii="宋体" w:hAnsi="宋体" w:cs="宋体"/>
          <w:sz w:val="24"/>
          <w:highlight w:val="none"/>
        </w:rPr>
        <w:t>)的招标公告，在完全理解本项目招标的技术要求、商务条款及其他内容后，决定参与该项目的投标活动。并承诺，我公司</w:t>
      </w:r>
      <w:r>
        <w:rPr>
          <w:rFonts w:hint="eastAsia" w:ascii="宋体" w:hAnsi="宋体" w:cs="宋体"/>
          <w:sz w:val="24"/>
          <w:highlight w:val="none"/>
          <w:lang w:eastAsia="zh-CN"/>
        </w:rPr>
        <w:t>具有</w:t>
      </w:r>
      <w:r>
        <w:rPr>
          <w:rFonts w:hint="eastAsia" w:ascii="宋体" w:hAnsi="宋体" w:cs="宋体"/>
          <w:sz w:val="24"/>
          <w:highlight w:val="none"/>
        </w:rPr>
        <w:t>履行合同所必须的设备和专业技术能力。如我方中标，我公司将提供足够的设备和专业技术能力保证本合同履行。</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本公司对上述承诺的真实性负责。如有虚假，我公司同意按我方合同违约处理，并依法承担相应法律责任。</w:t>
      </w:r>
    </w:p>
    <w:p>
      <w:pPr>
        <w:adjustRightInd w:val="0"/>
        <w:snapToGrid w:val="0"/>
        <w:spacing w:line="360" w:lineRule="auto"/>
        <w:ind w:firstLine="480" w:firstLineChars="200"/>
        <w:rPr>
          <w:rFonts w:ascii="宋体" w:hAnsi="宋体" w:cs="宋体"/>
          <w:sz w:val="24"/>
          <w:szCs w:val="32"/>
          <w:highlight w:val="none"/>
        </w:rPr>
      </w:pPr>
    </w:p>
    <w:p>
      <w:pPr>
        <w:adjustRightInd w:val="0"/>
        <w:snapToGrid w:val="0"/>
        <w:spacing w:line="360" w:lineRule="auto"/>
        <w:ind w:firstLine="480" w:firstLineChars="200"/>
        <w:rPr>
          <w:rFonts w:ascii="宋体" w:hAnsi="宋体" w:cs="宋体"/>
          <w:sz w:val="24"/>
          <w:szCs w:val="32"/>
          <w:highlight w:val="none"/>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3"/>
        <w:jc w:val="both"/>
        <w:rPr>
          <w:rFonts w:ascii="宋体" w:hAnsi="宋体" w:cs="宋体"/>
          <w:b w:val="0"/>
          <w:bCs w:val="0"/>
          <w:sz w:val="32"/>
          <w:szCs w:val="32"/>
          <w:highlight w:val="none"/>
        </w:rPr>
      </w:pPr>
      <w:bookmarkStart w:id="595" w:name="_Toc32539"/>
      <w:r>
        <w:rPr>
          <w:rFonts w:hint="eastAsia" w:ascii="宋体" w:hAnsi="宋体" w:cs="宋体"/>
          <w:b w:val="0"/>
          <w:bCs w:val="0"/>
          <w:spacing w:val="10"/>
          <w:sz w:val="24"/>
          <w:highlight w:val="none"/>
        </w:rPr>
        <w:t>日期：  年  月   日</w:t>
      </w:r>
      <w:bookmarkEnd w:id="595"/>
    </w:p>
    <w:p>
      <w:pPr>
        <w:pStyle w:val="3"/>
        <w:rPr>
          <w:rFonts w:ascii="宋体" w:hAnsi="宋体" w:cs="宋体"/>
          <w:sz w:val="32"/>
          <w:szCs w:val="32"/>
          <w:highlight w:val="none"/>
        </w:rPr>
      </w:pPr>
    </w:p>
    <w:p>
      <w:pPr>
        <w:rPr>
          <w:rFonts w:ascii="宋体" w:hAnsi="宋体" w:cs="宋体"/>
          <w:sz w:val="32"/>
          <w:szCs w:val="32"/>
          <w:highlight w:val="none"/>
        </w:rPr>
      </w:pPr>
    </w:p>
    <w:p>
      <w:pPr>
        <w:pStyle w:val="231"/>
        <w:ind w:firstLine="640"/>
        <w:rPr>
          <w:rFonts w:hAnsi="宋体" w:cs="宋体"/>
          <w:sz w:val="32"/>
          <w:szCs w:val="32"/>
          <w:highlight w:val="none"/>
        </w:rPr>
      </w:pPr>
    </w:p>
    <w:p>
      <w:pPr>
        <w:pStyle w:val="231"/>
        <w:ind w:firstLine="640"/>
        <w:rPr>
          <w:rFonts w:hAnsi="宋体" w:cs="宋体"/>
          <w:sz w:val="32"/>
          <w:szCs w:val="32"/>
          <w:highlight w:val="none"/>
        </w:rPr>
      </w:pPr>
    </w:p>
    <w:p>
      <w:pPr>
        <w:pStyle w:val="231"/>
        <w:ind w:firstLine="640"/>
        <w:rPr>
          <w:rFonts w:hAnsi="宋体" w:cs="宋体"/>
          <w:sz w:val="32"/>
          <w:szCs w:val="32"/>
          <w:highlight w:val="none"/>
        </w:rPr>
      </w:pPr>
    </w:p>
    <w:p>
      <w:pPr>
        <w:pStyle w:val="231"/>
        <w:ind w:firstLine="640"/>
        <w:rPr>
          <w:rFonts w:hAnsi="宋体" w:cs="宋体"/>
          <w:sz w:val="32"/>
          <w:szCs w:val="32"/>
          <w:highlight w:val="none"/>
        </w:rPr>
      </w:pPr>
    </w:p>
    <w:p>
      <w:pPr>
        <w:pStyle w:val="3"/>
        <w:rPr>
          <w:rFonts w:ascii="宋体" w:hAnsi="宋体" w:cs="宋体"/>
          <w:b w:val="0"/>
          <w:bCs w:val="0"/>
          <w:kern w:val="2"/>
          <w:sz w:val="32"/>
          <w:szCs w:val="32"/>
          <w:highlight w:val="none"/>
        </w:rPr>
      </w:pPr>
      <w:bookmarkStart w:id="596" w:name="_Toc23901"/>
      <w:r>
        <w:rPr>
          <w:rFonts w:ascii="宋体" w:hAnsi="宋体" w:cs="宋体"/>
          <w:b w:val="0"/>
          <w:bCs w:val="0"/>
          <w:kern w:val="2"/>
          <w:sz w:val="32"/>
          <w:szCs w:val="32"/>
          <w:highlight w:val="none"/>
        </w:rPr>
        <w:br w:type="page"/>
      </w:r>
    </w:p>
    <w:p>
      <w:pPr>
        <w:pStyle w:val="3"/>
        <w:rPr>
          <w:rFonts w:ascii="宋体" w:hAnsi="宋体" w:cs="宋体"/>
          <w:spacing w:val="10"/>
          <w:kern w:val="0"/>
          <w:sz w:val="32"/>
          <w:szCs w:val="32"/>
          <w:highlight w:val="none"/>
        </w:rPr>
      </w:pPr>
      <w:r>
        <w:rPr>
          <w:rFonts w:hint="eastAsia" w:ascii="宋体" w:hAnsi="宋体" w:cs="宋体"/>
          <w:spacing w:val="10"/>
          <w:kern w:val="0"/>
          <w:sz w:val="32"/>
          <w:szCs w:val="32"/>
          <w:highlight w:val="none"/>
          <w:lang w:val="en-US" w:eastAsia="zh-CN"/>
        </w:rPr>
        <w:t>22</w:t>
      </w:r>
      <w:r>
        <w:rPr>
          <w:rFonts w:hint="eastAsia" w:ascii="宋体" w:hAnsi="宋体" w:cs="宋体"/>
          <w:spacing w:val="10"/>
          <w:kern w:val="0"/>
          <w:sz w:val="32"/>
          <w:szCs w:val="32"/>
          <w:highlight w:val="none"/>
        </w:rPr>
        <w:t>.同意招标文件条款声明</w:t>
      </w:r>
      <w:bookmarkEnd w:id="596"/>
    </w:p>
    <w:p>
      <w:pPr>
        <w:spacing w:line="360" w:lineRule="auto"/>
        <w:rPr>
          <w:rFonts w:hint="eastAsia" w:ascii="宋体" w:hAnsi="宋体" w:eastAsia="宋体" w:cs="宋体"/>
          <w:sz w:val="24"/>
          <w:highlight w:val="none"/>
          <w:lang w:eastAsia="zh-CN"/>
        </w:rPr>
      </w:pPr>
      <w:r>
        <w:rPr>
          <w:rFonts w:ascii="宋体" w:hAnsi="宋体" w:cs="宋体"/>
          <w:sz w:val="24"/>
          <w:highlight w:val="none"/>
        </w:rPr>
        <w:t>致</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ascii="宋体" w:hAnsi="宋体" w:cs="宋体"/>
          <w:sz w:val="24"/>
          <w:highlight w:val="none"/>
        </w:rPr>
        <w:t>为响应你方组织的</w:t>
      </w:r>
      <w:r>
        <w:rPr>
          <w:rFonts w:hint="eastAsia" w:ascii="宋体" w:hAnsi="宋体" w:cs="宋体"/>
          <w:sz w:val="24"/>
          <w:highlight w:val="none"/>
          <w:u w:val="single"/>
        </w:rPr>
        <w:t>（</w:t>
      </w:r>
      <w:r>
        <w:rPr>
          <w:rFonts w:ascii="宋体" w:hAnsi="宋体" w:cs="宋体"/>
          <w:sz w:val="24"/>
          <w:highlight w:val="none"/>
          <w:u w:val="single"/>
        </w:rPr>
        <w:t>项目</w:t>
      </w:r>
      <w:r>
        <w:rPr>
          <w:rFonts w:hint="eastAsia" w:ascii="宋体" w:hAnsi="宋体" w:cs="宋体"/>
          <w:sz w:val="24"/>
          <w:highlight w:val="none"/>
          <w:u w:val="single"/>
        </w:rPr>
        <w:t>名称）</w:t>
      </w:r>
      <w:r>
        <w:rPr>
          <w:rFonts w:hint="eastAsia" w:ascii="宋体" w:hAnsi="宋体" w:cs="宋体"/>
          <w:sz w:val="24"/>
          <w:highlight w:val="none"/>
        </w:rPr>
        <w:t>的招标采购</w:t>
      </w:r>
      <w:r>
        <w:rPr>
          <w:rFonts w:ascii="宋体" w:hAnsi="宋体" w:cs="宋体"/>
          <w:sz w:val="24"/>
          <w:highlight w:val="none"/>
        </w:rPr>
        <w:t>，</w:t>
      </w:r>
      <w:r>
        <w:rPr>
          <w:rFonts w:hint="eastAsia" w:ascii="宋体" w:hAnsi="宋体" w:cs="宋体"/>
          <w:sz w:val="24"/>
          <w:highlight w:val="none"/>
        </w:rPr>
        <w:t>招标</w:t>
      </w:r>
      <w:r>
        <w:rPr>
          <w:rFonts w:ascii="宋体" w:hAnsi="宋体" w:cs="宋体"/>
          <w:sz w:val="24"/>
          <w:highlight w:val="none"/>
        </w:rPr>
        <w:t>编号为：</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ascii="宋体" w:hAnsi="宋体" w:cs="宋体"/>
          <w:sz w:val="24"/>
          <w:highlight w:val="none"/>
        </w:rPr>
        <w:t>,我方在参与投标前已详细研究了招标文件的所有内容，包括修改或更改（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ascii="宋体" w:hAnsi="宋体" w:cs="宋体"/>
          <w:sz w:val="24"/>
          <w:highlight w:val="none"/>
        </w:rPr>
        <w:t>特此声明！</w:t>
      </w:r>
    </w:p>
    <w:p>
      <w:pPr>
        <w:spacing w:line="360" w:lineRule="auto"/>
        <w:jc w:val="left"/>
        <w:rPr>
          <w:rFonts w:ascii="宋体" w:hAnsi="宋体" w:cs="宋体"/>
          <w:sz w:val="24"/>
          <w:highlight w:val="none"/>
          <w:shd w:val="clear" w:color="auto" w:fill="FFFFFF"/>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231"/>
        <w:ind w:firstLine="0" w:firstLineChars="0"/>
        <w:rPr>
          <w:rFonts w:hAnsi="宋体" w:cs="宋体"/>
          <w:sz w:val="32"/>
          <w:szCs w:val="32"/>
          <w:highlight w:val="none"/>
        </w:rPr>
      </w:pPr>
      <w:bookmarkStart w:id="597" w:name="_Toc6592"/>
      <w:r>
        <w:rPr>
          <w:rFonts w:hint="eastAsia" w:hAnsi="宋体" w:cs="宋体"/>
          <w:spacing w:val="10"/>
          <w:sz w:val="24"/>
          <w:highlight w:val="none"/>
        </w:rPr>
        <w:t>日期：  年  月   日</w:t>
      </w:r>
      <w:bookmarkEnd w:id="597"/>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bookmarkStart w:id="598" w:name="_Toc15825"/>
      <w:r>
        <w:rPr>
          <w:rFonts w:ascii="宋体" w:hAnsi="宋体" w:cs="宋体"/>
          <w:sz w:val="32"/>
          <w:szCs w:val="32"/>
          <w:highlight w:val="none"/>
        </w:rPr>
        <w:br w:type="page"/>
      </w:r>
    </w:p>
    <w:p>
      <w:pPr>
        <w:pStyle w:val="3"/>
        <w:rPr>
          <w:rFonts w:ascii="宋体" w:hAnsi="宋体" w:cs="宋体"/>
          <w:spacing w:val="10"/>
          <w:kern w:val="0"/>
          <w:sz w:val="32"/>
          <w:szCs w:val="32"/>
          <w:highlight w:val="none"/>
        </w:rPr>
      </w:pPr>
      <w:r>
        <w:rPr>
          <w:rFonts w:hint="eastAsia" w:ascii="宋体" w:hAnsi="宋体" w:cs="宋体"/>
          <w:spacing w:val="10"/>
          <w:kern w:val="0"/>
          <w:sz w:val="32"/>
          <w:szCs w:val="32"/>
          <w:highlight w:val="none"/>
          <w:lang w:val="en-US" w:eastAsia="zh-CN"/>
        </w:rPr>
        <w:t>23</w:t>
      </w:r>
      <w:r>
        <w:rPr>
          <w:rFonts w:hint="eastAsia" w:ascii="宋体" w:hAnsi="宋体" w:cs="宋体"/>
          <w:spacing w:val="10"/>
          <w:kern w:val="0"/>
          <w:sz w:val="32"/>
          <w:szCs w:val="32"/>
          <w:highlight w:val="none"/>
        </w:rPr>
        <w:t>.虚假应标承担责任声明</w:t>
      </w:r>
      <w:bookmarkEnd w:id="598"/>
    </w:p>
    <w:p>
      <w:pPr>
        <w:spacing w:line="360" w:lineRule="auto"/>
        <w:jc w:val="left"/>
        <w:rPr>
          <w:rFonts w:hint="eastAsia" w:ascii="宋体" w:hAnsi="宋体" w:eastAsia="宋体"/>
          <w:sz w:val="24"/>
          <w:szCs w:val="32"/>
          <w:highlight w:val="none"/>
          <w:lang w:eastAsia="zh-CN"/>
        </w:rPr>
      </w:pPr>
      <w:r>
        <w:rPr>
          <w:rFonts w:hint="eastAsia" w:ascii="宋体" w:hAnsi="宋体"/>
          <w:sz w:val="24"/>
          <w:szCs w:val="32"/>
          <w:highlight w:val="none"/>
        </w:rPr>
        <w:t xml:space="preserve">致: </w:t>
      </w:r>
    </w:p>
    <w:p>
      <w:pPr>
        <w:spacing w:line="360" w:lineRule="auto"/>
        <w:ind w:firstLine="480" w:firstLineChars="200"/>
        <w:jc w:val="left"/>
        <w:rPr>
          <w:rFonts w:ascii="宋体" w:hAnsi="宋体"/>
          <w:sz w:val="24"/>
          <w:szCs w:val="32"/>
          <w:highlight w:val="none"/>
        </w:rPr>
      </w:pPr>
      <w:r>
        <w:rPr>
          <w:rFonts w:hint="eastAsia" w:ascii="宋体" w:hAnsi="宋体"/>
          <w:sz w:val="24"/>
          <w:szCs w:val="32"/>
          <w:highlight w:val="none"/>
        </w:rPr>
        <w:t>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或采购代理机构作出的取消中标资格、罚没保证金等决定。</w:t>
      </w:r>
    </w:p>
    <w:p>
      <w:pPr>
        <w:pStyle w:val="3"/>
        <w:ind w:firstLine="422" w:firstLineChars="200"/>
        <w:jc w:val="both"/>
        <w:rPr>
          <w:rFonts w:ascii="宋体" w:hAnsi="宋体"/>
          <w:sz w:val="21"/>
          <w:highlight w:val="none"/>
        </w:rPr>
      </w:pPr>
    </w:p>
    <w:p>
      <w:pPr>
        <w:pStyle w:val="3"/>
        <w:ind w:firstLine="480" w:firstLineChars="200"/>
        <w:jc w:val="both"/>
        <w:rPr>
          <w:rFonts w:ascii="宋体" w:hAnsi="宋体" w:cs="宋体"/>
          <w:b w:val="0"/>
          <w:bCs w:val="0"/>
          <w:sz w:val="24"/>
          <w:szCs w:val="24"/>
          <w:highlight w:val="none"/>
        </w:rPr>
      </w:pPr>
      <w:bookmarkStart w:id="599" w:name="_Toc27107"/>
      <w:r>
        <w:rPr>
          <w:rFonts w:hint="eastAsia" w:ascii="宋体" w:hAnsi="宋体"/>
          <w:b w:val="0"/>
          <w:bCs w:val="0"/>
          <w:sz w:val="24"/>
          <w:szCs w:val="24"/>
          <w:highlight w:val="none"/>
        </w:rPr>
        <w:t>特此声明！</w:t>
      </w:r>
      <w:bookmarkEnd w:id="599"/>
    </w:p>
    <w:p>
      <w:pPr>
        <w:pStyle w:val="3"/>
        <w:jc w:val="both"/>
        <w:rPr>
          <w:rFonts w:ascii="宋体" w:hAnsi="宋体" w:cs="宋体"/>
          <w:sz w:val="32"/>
          <w:szCs w:val="32"/>
          <w:highlight w:val="none"/>
        </w:rPr>
      </w:pPr>
    </w:p>
    <w:p>
      <w:pPr>
        <w:spacing w:line="360" w:lineRule="auto"/>
        <w:jc w:val="left"/>
        <w:rPr>
          <w:rFonts w:ascii="宋体" w:hAnsi="宋体" w:cs="宋体"/>
          <w:sz w:val="24"/>
          <w:highlight w:val="none"/>
          <w:u w:val="single"/>
          <w:shd w:val="clear" w:color="auto" w:fill="FFFFFF"/>
        </w:rPr>
      </w:pPr>
      <w:r>
        <w:rPr>
          <w:rFonts w:hint="eastAsia" w:ascii="宋体" w:hAnsi="宋体" w:cs="宋体"/>
          <w:sz w:val="24"/>
          <w:highlight w:val="none"/>
          <w:shd w:val="clear" w:color="auto" w:fill="FFFFFF"/>
        </w:rPr>
        <w:t>投标人：</w:t>
      </w:r>
      <w:r>
        <w:rPr>
          <w:rFonts w:hint="eastAsia" w:ascii="宋体" w:hAnsi="宋体" w:cs="宋体"/>
          <w:sz w:val="24"/>
          <w:highlight w:val="none"/>
          <w:u w:val="single"/>
          <w:shd w:val="clear" w:color="auto" w:fill="FFFFFF"/>
        </w:rPr>
        <w:t>（加盖公章）</w:t>
      </w:r>
    </w:p>
    <w:p>
      <w:pPr>
        <w:spacing w:line="360" w:lineRule="auto"/>
        <w:rPr>
          <w:rFonts w:ascii="宋体" w:hAnsi="宋体" w:cs="宋体"/>
          <w:sz w:val="24"/>
          <w:highlight w:val="none"/>
          <w:shd w:val="clear" w:color="auto" w:fill="FFFFFF"/>
        </w:rPr>
      </w:pPr>
    </w:p>
    <w:p>
      <w:pPr>
        <w:spacing w:line="360" w:lineRule="auto"/>
        <w:rPr>
          <w:rFonts w:ascii="宋体" w:hAnsi="宋体" w:cs="宋体"/>
          <w:sz w:val="24"/>
          <w:highlight w:val="none"/>
          <w:u w:val="single"/>
          <w:shd w:val="clear" w:color="auto" w:fill="FFFFFF"/>
        </w:rPr>
      </w:pPr>
      <w:r>
        <w:rPr>
          <w:rFonts w:hint="eastAsia" w:ascii="宋体" w:hAnsi="宋体" w:cs="宋体"/>
          <w:spacing w:val="10"/>
          <w:sz w:val="24"/>
          <w:highlight w:val="none"/>
        </w:rPr>
        <w:t>法定代表人或被授权代表</w:t>
      </w:r>
      <w:r>
        <w:rPr>
          <w:rFonts w:hint="eastAsia" w:ascii="宋体" w:hAnsi="宋体" w:cs="宋体"/>
          <w:sz w:val="24"/>
          <w:highlight w:val="none"/>
        </w:rPr>
        <w:t>（签字或印章）</w:t>
      </w:r>
      <w:r>
        <w:rPr>
          <w:rFonts w:hint="eastAsia" w:ascii="宋体" w:hAnsi="宋体" w:cs="宋体"/>
          <w:sz w:val="24"/>
          <w:highlight w:val="none"/>
          <w:shd w:val="clear" w:color="auto" w:fill="FFFFFF"/>
        </w:rPr>
        <w:t>：</w:t>
      </w:r>
      <w:r>
        <w:rPr>
          <w:rFonts w:hint="eastAsia" w:ascii="宋体" w:hAnsi="宋体" w:cs="宋体"/>
          <w:sz w:val="24"/>
          <w:highlight w:val="none"/>
          <w:u w:val="single"/>
          <w:shd w:val="clear" w:color="auto" w:fill="FFFFFF"/>
        </w:rPr>
        <w:t xml:space="preserve">            </w:t>
      </w:r>
    </w:p>
    <w:p>
      <w:pPr>
        <w:spacing w:line="360" w:lineRule="auto"/>
        <w:jc w:val="left"/>
        <w:rPr>
          <w:rFonts w:ascii="宋体" w:hAnsi="宋体" w:cs="宋体"/>
          <w:sz w:val="24"/>
          <w:highlight w:val="none"/>
        </w:rPr>
      </w:pPr>
    </w:p>
    <w:p>
      <w:pPr>
        <w:pStyle w:val="3"/>
        <w:jc w:val="both"/>
        <w:rPr>
          <w:rFonts w:ascii="宋体" w:hAnsi="宋体" w:cs="宋体"/>
          <w:sz w:val="32"/>
          <w:szCs w:val="32"/>
          <w:highlight w:val="none"/>
        </w:rPr>
      </w:pPr>
      <w:r>
        <w:rPr>
          <w:rFonts w:hint="eastAsia" w:ascii="宋体" w:hAnsi="宋体" w:cs="宋体"/>
          <w:b w:val="0"/>
          <w:bCs w:val="0"/>
          <w:spacing w:val="10"/>
          <w:sz w:val="24"/>
          <w:highlight w:val="none"/>
        </w:rPr>
        <w:t>日期：  年  月   日</w:t>
      </w: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p>
    <w:p>
      <w:pPr>
        <w:pStyle w:val="3"/>
        <w:rPr>
          <w:rFonts w:ascii="宋体" w:hAnsi="宋体" w:cs="宋体"/>
          <w:sz w:val="32"/>
          <w:szCs w:val="32"/>
          <w:highlight w:val="none"/>
        </w:rPr>
      </w:pPr>
      <w:r>
        <w:rPr>
          <w:rFonts w:ascii="宋体" w:hAnsi="宋体" w:cs="宋体"/>
          <w:sz w:val="32"/>
          <w:szCs w:val="32"/>
          <w:highlight w:val="none"/>
        </w:rPr>
        <w:br w:type="page"/>
      </w:r>
    </w:p>
    <w:p>
      <w:pPr>
        <w:pStyle w:val="3"/>
        <w:rPr>
          <w:rFonts w:ascii="宋体" w:hAnsi="宋体" w:cs="宋体"/>
          <w:sz w:val="40"/>
          <w:szCs w:val="40"/>
          <w:highlight w:val="none"/>
          <w:lang w:val="zh-CN"/>
        </w:rPr>
      </w:pPr>
      <w:r>
        <w:rPr>
          <w:rFonts w:hint="eastAsia" w:ascii="宋体" w:hAnsi="宋体" w:cs="宋体"/>
          <w:sz w:val="40"/>
          <w:szCs w:val="40"/>
          <w:highlight w:val="none"/>
        </w:rPr>
        <w:t>第七章  合同条款及合同格式</w:t>
      </w:r>
      <w:bookmarkEnd w:id="591"/>
      <w:bookmarkEnd w:id="592"/>
      <w:bookmarkEnd w:id="593"/>
    </w:p>
    <w:p>
      <w:pPr>
        <w:widowControl/>
        <w:jc w:val="center"/>
        <w:rPr>
          <w:rFonts w:hint="eastAsia" w:asciiTheme="majorEastAsia" w:hAnsiTheme="majorEastAsia" w:eastAsiaTheme="majorEastAsia" w:cstheme="majorEastAsia"/>
          <w:b/>
          <w:bCs/>
          <w:color w:val="000000"/>
          <w:kern w:val="0"/>
          <w:sz w:val="52"/>
          <w:szCs w:val="52"/>
          <w:highlight w:val="none"/>
          <w:lang w:bidi="ar"/>
        </w:rPr>
      </w:pPr>
      <w:r>
        <w:rPr>
          <w:rFonts w:hint="eastAsia" w:asciiTheme="majorEastAsia" w:hAnsiTheme="majorEastAsia" w:eastAsiaTheme="majorEastAsia" w:cstheme="majorEastAsia"/>
          <w:b/>
          <w:bCs/>
          <w:color w:val="000000"/>
          <w:kern w:val="0"/>
          <w:sz w:val="52"/>
          <w:szCs w:val="52"/>
          <w:highlight w:val="none"/>
          <w:lang w:bidi="ar"/>
        </w:rPr>
        <w:t>甘肃省第二人民医院</w:t>
      </w:r>
      <w:r>
        <w:rPr>
          <w:rFonts w:hint="eastAsia" w:asciiTheme="majorEastAsia" w:hAnsiTheme="majorEastAsia" w:eastAsiaTheme="majorEastAsia" w:cstheme="majorEastAsia"/>
          <w:b/>
          <w:bCs/>
          <w:kern w:val="0"/>
          <w:sz w:val="52"/>
          <w:szCs w:val="52"/>
          <w:highlight w:val="none"/>
          <w:lang w:val="en-US" w:eastAsia="zh-CN" w:bidi="ar"/>
        </w:rPr>
        <w:t>****</w:t>
      </w:r>
      <w:r>
        <w:rPr>
          <w:rFonts w:hint="eastAsia" w:asciiTheme="majorEastAsia" w:hAnsiTheme="majorEastAsia" w:eastAsiaTheme="majorEastAsia" w:cstheme="majorEastAsia"/>
          <w:b/>
          <w:bCs/>
          <w:color w:val="000000"/>
          <w:kern w:val="0"/>
          <w:sz w:val="52"/>
          <w:szCs w:val="52"/>
          <w:highlight w:val="none"/>
          <w:lang w:bidi="ar"/>
        </w:rPr>
        <w:t>采购项目合同</w:t>
      </w:r>
    </w:p>
    <w:p>
      <w:pPr>
        <w:widowControl/>
        <w:jc w:val="center"/>
        <w:rPr>
          <w:rFonts w:hint="eastAsia" w:asciiTheme="majorEastAsia" w:hAnsiTheme="majorEastAsia" w:eastAsiaTheme="majorEastAsia" w:cstheme="majorEastAsia"/>
          <w:b/>
          <w:bCs/>
          <w:color w:val="000000"/>
          <w:kern w:val="0"/>
          <w:sz w:val="52"/>
          <w:szCs w:val="52"/>
          <w:highlight w:val="none"/>
          <w:lang w:bidi="ar"/>
        </w:rPr>
      </w:pPr>
    </w:p>
    <w:p>
      <w:pPr>
        <w:pStyle w:val="237"/>
        <w:rPr>
          <w:rFonts w:hint="eastAsia" w:asciiTheme="majorEastAsia" w:hAnsiTheme="majorEastAsia" w:eastAsiaTheme="majorEastAsia" w:cstheme="majorEastAsia"/>
          <w:highlight w:val="none"/>
        </w:rPr>
      </w:pPr>
    </w:p>
    <w:p>
      <w:pPr>
        <w:widowControl/>
        <w:jc w:val="left"/>
        <w:rPr>
          <w:rFonts w:hint="eastAsia" w:asciiTheme="majorEastAsia" w:hAnsiTheme="majorEastAsia" w:eastAsiaTheme="majorEastAsia" w:cstheme="majorEastAsia"/>
          <w:b/>
          <w:bCs/>
          <w:color w:val="000000"/>
          <w:kern w:val="0"/>
          <w:sz w:val="31"/>
          <w:szCs w:val="31"/>
          <w:highlight w:val="none"/>
          <w:lang w:bidi="ar"/>
        </w:rPr>
      </w:pPr>
    </w:p>
    <w:p>
      <w:pPr>
        <w:pStyle w:val="237"/>
        <w:rPr>
          <w:rFonts w:hint="eastAsia" w:asciiTheme="majorEastAsia" w:hAnsiTheme="majorEastAsia" w:eastAsiaTheme="majorEastAsia" w:cstheme="majorEastAsia"/>
          <w:b/>
          <w:color w:val="000000"/>
          <w:sz w:val="31"/>
          <w:szCs w:val="31"/>
          <w:highlight w:val="none"/>
          <w:lang w:bidi="ar"/>
        </w:rPr>
      </w:pPr>
    </w:p>
    <w:p>
      <w:pPr>
        <w:pStyle w:val="237"/>
        <w:rPr>
          <w:rFonts w:hint="eastAsia" w:asciiTheme="majorEastAsia" w:hAnsiTheme="majorEastAsia" w:eastAsiaTheme="majorEastAsia" w:cstheme="majorEastAsia"/>
          <w:b/>
          <w:color w:val="000000"/>
          <w:sz w:val="31"/>
          <w:szCs w:val="31"/>
          <w:highlight w:val="none"/>
          <w:lang w:bidi="ar"/>
        </w:rPr>
      </w:pPr>
    </w:p>
    <w:p>
      <w:pPr>
        <w:widowControl/>
        <w:spacing w:line="48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b/>
          <w:bCs/>
          <w:color w:val="000000"/>
          <w:kern w:val="0"/>
          <w:sz w:val="36"/>
          <w:szCs w:val="36"/>
          <w:highlight w:val="none"/>
          <w:lang w:bidi="ar"/>
        </w:rPr>
        <w:t>项目名称：甘肃省第二人民医院</w:t>
      </w:r>
      <w:r>
        <w:rPr>
          <w:rFonts w:hint="eastAsia" w:asciiTheme="majorEastAsia" w:hAnsiTheme="majorEastAsia" w:eastAsiaTheme="majorEastAsia" w:cstheme="majorEastAsia"/>
          <w:b/>
          <w:bCs/>
          <w:color w:val="000000"/>
          <w:kern w:val="0"/>
          <w:sz w:val="36"/>
          <w:szCs w:val="36"/>
          <w:highlight w:val="none"/>
          <w:lang w:val="en-US" w:eastAsia="zh-CN" w:bidi="ar"/>
        </w:rPr>
        <w:t>******</w:t>
      </w:r>
      <w:r>
        <w:rPr>
          <w:rFonts w:hint="eastAsia" w:asciiTheme="majorEastAsia" w:hAnsiTheme="majorEastAsia" w:eastAsiaTheme="majorEastAsia" w:cstheme="majorEastAsia"/>
          <w:b/>
          <w:bCs/>
          <w:color w:val="000000"/>
          <w:kern w:val="0"/>
          <w:sz w:val="36"/>
          <w:szCs w:val="36"/>
          <w:highlight w:val="none"/>
          <w:lang w:bidi="ar"/>
        </w:rPr>
        <w:t xml:space="preserve">采购项目 </w:t>
      </w:r>
    </w:p>
    <w:p>
      <w:pPr>
        <w:widowControl/>
        <w:spacing w:line="480" w:lineRule="auto"/>
        <w:jc w:val="left"/>
        <w:rPr>
          <w:rFonts w:hint="default" w:asciiTheme="majorEastAsia" w:hAnsiTheme="majorEastAsia" w:eastAsiaTheme="majorEastAsia" w:cstheme="majorEastAsia"/>
          <w:b/>
          <w:bCs/>
          <w:color w:val="000000"/>
          <w:kern w:val="0"/>
          <w:sz w:val="36"/>
          <w:szCs w:val="36"/>
          <w:highlight w:val="none"/>
          <w:lang w:val="en-US" w:eastAsia="zh-CN" w:bidi="ar"/>
        </w:rPr>
      </w:pPr>
      <w:r>
        <w:rPr>
          <w:rFonts w:hint="eastAsia" w:asciiTheme="majorEastAsia" w:hAnsiTheme="majorEastAsia" w:eastAsiaTheme="majorEastAsia" w:cstheme="majorEastAsia"/>
          <w:b/>
          <w:bCs/>
          <w:color w:val="000000"/>
          <w:kern w:val="0"/>
          <w:sz w:val="36"/>
          <w:szCs w:val="36"/>
          <w:highlight w:val="none"/>
          <w:lang w:bidi="ar"/>
        </w:rPr>
        <w:t>合同编号</w:t>
      </w:r>
      <w:r>
        <w:rPr>
          <w:rFonts w:hint="eastAsia" w:asciiTheme="majorEastAsia" w:hAnsiTheme="majorEastAsia" w:eastAsiaTheme="majorEastAsia" w:cstheme="majorEastAsia"/>
          <w:b/>
          <w:bCs/>
          <w:kern w:val="0"/>
          <w:sz w:val="36"/>
          <w:szCs w:val="36"/>
          <w:highlight w:val="none"/>
          <w:lang w:bidi="ar"/>
        </w:rPr>
        <w:t>：</w:t>
      </w:r>
      <w:r>
        <w:rPr>
          <w:rFonts w:hint="eastAsia" w:asciiTheme="majorEastAsia" w:hAnsiTheme="majorEastAsia" w:eastAsiaTheme="majorEastAsia" w:cstheme="majorEastAsia"/>
          <w:b/>
          <w:bCs/>
          <w:kern w:val="0"/>
          <w:sz w:val="36"/>
          <w:szCs w:val="36"/>
          <w:highlight w:val="none"/>
          <w:lang w:val="en-US" w:eastAsia="zh-CN" w:bidi="ar"/>
        </w:rPr>
        <w:t>*************</w:t>
      </w:r>
    </w:p>
    <w:p>
      <w:pPr>
        <w:pStyle w:val="237"/>
        <w:rPr>
          <w:rFonts w:hint="eastAsia" w:asciiTheme="majorEastAsia" w:hAnsiTheme="majorEastAsia" w:eastAsiaTheme="majorEastAsia" w:cstheme="majorEastAsia"/>
          <w:b/>
          <w:color w:val="000000"/>
          <w:sz w:val="36"/>
          <w:szCs w:val="36"/>
          <w:highlight w:val="none"/>
          <w:lang w:bidi="ar"/>
        </w:rPr>
      </w:pPr>
    </w:p>
    <w:p>
      <w:pPr>
        <w:pStyle w:val="237"/>
        <w:rPr>
          <w:rFonts w:hint="eastAsia" w:asciiTheme="majorEastAsia" w:hAnsiTheme="majorEastAsia" w:eastAsiaTheme="majorEastAsia" w:cstheme="majorEastAsia"/>
          <w:b/>
          <w:color w:val="000000"/>
          <w:sz w:val="36"/>
          <w:szCs w:val="36"/>
          <w:highlight w:val="none"/>
          <w:lang w:bidi="ar"/>
        </w:rPr>
      </w:pPr>
    </w:p>
    <w:p>
      <w:pPr>
        <w:widowControl/>
        <w:spacing w:line="480" w:lineRule="auto"/>
        <w:jc w:val="left"/>
        <w:rPr>
          <w:rFonts w:hint="eastAsia" w:asciiTheme="majorEastAsia" w:hAnsiTheme="majorEastAsia" w:eastAsiaTheme="majorEastAsia" w:cstheme="majorEastAsia"/>
          <w:color w:val="000000"/>
          <w:kern w:val="0"/>
          <w:sz w:val="31"/>
          <w:szCs w:val="31"/>
          <w:highlight w:val="none"/>
          <w:lang w:bidi="ar"/>
        </w:rPr>
      </w:pPr>
    </w:p>
    <w:p>
      <w:pPr>
        <w:pStyle w:val="237"/>
        <w:rPr>
          <w:rFonts w:hint="eastAsia" w:asciiTheme="majorEastAsia" w:hAnsiTheme="majorEastAsia" w:eastAsiaTheme="majorEastAsia" w:cstheme="majorEastAsia"/>
          <w:highlight w:val="none"/>
        </w:rPr>
      </w:pPr>
    </w:p>
    <w:p>
      <w:pPr>
        <w:pStyle w:val="237"/>
        <w:rPr>
          <w:rFonts w:hint="eastAsia" w:asciiTheme="majorEastAsia" w:hAnsiTheme="majorEastAsia" w:eastAsiaTheme="majorEastAsia" w:cstheme="majorEastAsia"/>
          <w:highlight w:val="none"/>
        </w:rPr>
      </w:pPr>
    </w:p>
    <w:p>
      <w:pPr>
        <w:pStyle w:val="237"/>
        <w:rPr>
          <w:rFonts w:hint="eastAsia" w:asciiTheme="majorEastAsia" w:hAnsiTheme="majorEastAsia" w:eastAsiaTheme="majorEastAsia" w:cstheme="majorEastAsia"/>
          <w:highlight w:val="none"/>
        </w:rPr>
      </w:pPr>
    </w:p>
    <w:p>
      <w:pPr>
        <w:pStyle w:val="237"/>
        <w:rPr>
          <w:rFonts w:hint="eastAsia" w:asciiTheme="majorEastAsia" w:hAnsiTheme="majorEastAsia" w:eastAsiaTheme="majorEastAsia" w:cstheme="majorEastAsia"/>
          <w:highlight w:val="none"/>
        </w:rPr>
      </w:pPr>
    </w:p>
    <w:p>
      <w:pPr>
        <w:widowControl/>
        <w:spacing w:line="480" w:lineRule="auto"/>
        <w:jc w:val="left"/>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 xml:space="preserve">甲方（采购方）：甘肃省第二人民医院 </w:t>
      </w:r>
    </w:p>
    <w:p>
      <w:pPr>
        <w:widowControl/>
        <w:spacing w:line="480" w:lineRule="auto"/>
        <w:jc w:val="left"/>
        <w:rPr>
          <w:rFonts w:hint="eastAsia" w:asciiTheme="majorEastAsia" w:hAnsiTheme="majorEastAsia" w:eastAsiaTheme="majorEastAsia" w:cstheme="majorEastAsia"/>
          <w:sz w:val="36"/>
          <w:szCs w:val="36"/>
          <w:highlight w:val="none"/>
          <w:lang w:val="en-US" w:eastAsia="zh-CN"/>
        </w:rPr>
      </w:pPr>
      <w:r>
        <w:rPr>
          <w:rFonts w:hint="eastAsia" w:asciiTheme="majorEastAsia" w:hAnsiTheme="majorEastAsia" w:eastAsiaTheme="majorEastAsia" w:cstheme="majorEastAsia"/>
          <w:color w:val="000000"/>
          <w:kern w:val="0"/>
          <w:sz w:val="36"/>
          <w:szCs w:val="36"/>
          <w:highlight w:val="none"/>
          <w:lang w:bidi="ar"/>
        </w:rPr>
        <w:t>乙方（中标人）：</w:t>
      </w:r>
      <w:r>
        <w:rPr>
          <w:rFonts w:hint="eastAsia" w:asciiTheme="majorEastAsia" w:hAnsiTheme="majorEastAsia" w:eastAsiaTheme="majorEastAsia" w:cstheme="majorEastAsia"/>
          <w:kern w:val="0"/>
          <w:sz w:val="36"/>
          <w:szCs w:val="36"/>
          <w:highlight w:val="none"/>
          <w:lang w:val="en-US" w:eastAsia="zh-CN" w:bidi="ar"/>
        </w:rPr>
        <w:t>***************</w:t>
      </w:r>
    </w:p>
    <w:p>
      <w:pPr>
        <w:widowControl/>
        <w:spacing w:line="480" w:lineRule="auto"/>
        <w:jc w:val="left"/>
        <w:rPr>
          <w:rFonts w:hint="eastAsia"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丙方（</w:t>
      </w:r>
      <w:r>
        <w:rPr>
          <w:rFonts w:hint="eastAsia" w:asciiTheme="majorEastAsia" w:hAnsiTheme="majorEastAsia" w:eastAsiaTheme="majorEastAsia" w:cstheme="majorEastAsia"/>
          <w:color w:val="000000"/>
          <w:kern w:val="0"/>
          <w:sz w:val="36"/>
          <w:szCs w:val="36"/>
          <w:highlight w:val="none"/>
          <w:lang w:eastAsia="zh-CN" w:bidi="ar"/>
        </w:rPr>
        <w:t>采购人</w:t>
      </w:r>
      <w:r>
        <w:rPr>
          <w:rFonts w:hint="eastAsia" w:asciiTheme="majorEastAsia" w:hAnsiTheme="majorEastAsia" w:eastAsiaTheme="majorEastAsia" w:cstheme="majorEastAsia"/>
          <w:color w:val="000000"/>
          <w:kern w:val="0"/>
          <w:sz w:val="36"/>
          <w:szCs w:val="36"/>
          <w:highlight w:val="none"/>
          <w:lang w:bidi="ar"/>
        </w:rPr>
        <w:t>）：</w:t>
      </w:r>
      <w:r>
        <w:rPr>
          <w:rFonts w:hint="eastAsia" w:asciiTheme="majorEastAsia" w:hAnsiTheme="majorEastAsia" w:eastAsiaTheme="majorEastAsia" w:cstheme="majorEastAsia"/>
          <w:color w:val="000000"/>
          <w:kern w:val="0"/>
          <w:sz w:val="36"/>
          <w:szCs w:val="36"/>
          <w:highlight w:val="none"/>
          <w:lang w:val="en-US" w:eastAsia="zh-CN" w:bidi="ar"/>
        </w:rPr>
        <w:t>************</w:t>
      </w:r>
      <w:r>
        <w:rPr>
          <w:rFonts w:hint="eastAsia" w:asciiTheme="majorEastAsia" w:hAnsiTheme="majorEastAsia" w:eastAsiaTheme="majorEastAsia" w:cstheme="majorEastAsia"/>
          <w:color w:val="000000"/>
          <w:kern w:val="0"/>
          <w:sz w:val="36"/>
          <w:szCs w:val="36"/>
          <w:highlight w:val="none"/>
          <w:lang w:bidi="ar"/>
        </w:rPr>
        <w:t xml:space="preserve"> </w:t>
      </w: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widowControl/>
        <w:jc w:val="center"/>
        <w:rPr>
          <w:rFonts w:hint="eastAsia" w:asciiTheme="majorEastAsia" w:hAnsiTheme="majorEastAsia" w:eastAsiaTheme="majorEastAsia" w:cstheme="majorEastAsia"/>
          <w:b/>
          <w:bCs/>
          <w:color w:val="000000"/>
          <w:kern w:val="0"/>
          <w:sz w:val="28"/>
          <w:szCs w:val="28"/>
          <w:highlight w:val="none"/>
          <w:lang w:bidi="ar"/>
        </w:rPr>
        <w:sectPr>
          <w:headerReference r:id="rId20" w:type="first"/>
          <w:footerReference r:id="rId23" w:type="first"/>
          <w:headerReference r:id="rId18" w:type="default"/>
          <w:footerReference r:id="rId21" w:type="default"/>
          <w:headerReference r:id="rId19" w:type="even"/>
          <w:footerReference r:id="rId22" w:type="even"/>
          <w:pgSz w:w="11906" w:h="16838"/>
          <w:pgMar w:top="1134" w:right="1134" w:bottom="1134" w:left="1134" w:header="851" w:footer="992" w:gutter="0"/>
          <w:pgNumType w:fmt="decimal"/>
          <w:cols w:space="425" w:num="1"/>
          <w:docGrid w:type="lines" w:linePitch="312" w:charSpace="0"/>
        </w:sectPr>
      </w:pPr>
    </w:p>
    <w:p>
      <w:pPr>
        <w:widowControl/>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8"/>
          <w:szCs w:val="28"/>
          <w:highlight w:val="none"/>
          <w:lang w:bidi="ar"/>
        </w:rPr>
        <w:t>甘肃省第二人民医院</w:t>
      </w:r>
      <w:r>
        <w:rPr>
          <w:rFonts w:hint="eastAsia" w:asciiTheme="majorEastAsia" w:hAnsiTheme="majorEastAsia" w:eastAsiaTheme="majorEastAsia" w:cstheme="majorEastAsia"/>
          <w:b/>
          <w:bCs/>
          <w:color w:val="000000"/>
          <w:kern w:val="0"/>
          <w:sz w:val="28"/>
          <w:szCs w:val="28"/>
          <w:highlight w:val="none"/>
          <w:lang w:val="en-US" w:eastAsia="zh-CN" w:bidi="ar"/>
        </w:rPr>
        <w:t>********</w:t>
      </w:r>
      <w:r>
        <w:rPr>
          <w:rFonts w:hint="eastAsia" w:asciiTheme="majorEastAsia" w:hAnsiTheme="majorEastAsia" w:eastAsiaTheme="majorEastAsia" w:cstheme="majorEastAsia"/>
          <w:b/>
          <w:bCs/>
          <w:color w:val="000000"/>
          <w:kern w:val="0"/>
          <w:sz w:val="28"/>
          <w:szCs w:val="28"/>
          <w:highlight w:val="none"/>
          <w:lang w:bidi="ar"/>
        </w:rPr>
        <w:t>采购项目合同</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甲方（采购方）：甘肃省第二人民医院 </w:t>
      </w:r>
    </w:p>
    <w:p>
      <w:pPr>
        <w:widowControl/>
        <w:spacing w:line="360" w:lineRule="auto"/>
        <w:jc w:val="left"/>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color w:val="000000"/>
          <w:kern w:val="0"/>
          <w:sz w:val="24"/>
          <w:highlight w:val="none"/>
          <w:lang w:bidi="ar"/>
        </w:rPr>
        <w:t>乙方（中标方）：</w:t>
      </w:r>
      <w:r>
        <w:rPr>
          <w:rFonts w:hint="eastAsia" w:asciiTheme="majorEastAsia" w:hAnsiTheme="majorEastAsia" w:eastAsiaTheme="majorEastAsia" w:cstheme="majorEastAsia"/>
          <w:kern w:val="0"/>
          <w:sz w:val="24"/>
          <w:highlight w:val="none"/>
          <w:lang w:val="en-US" w:eastAsia="zh-CN" w:bidi="ar"/>
        </w:rPr>
        <w:t>*************</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签约地点：兰州市城关区</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合同组成：本合同由合同协议书、通用条款、专用条款及附件组成。 </w:t>
      </w:r>
    </w:p>
    <w:p>
      <w:pPr>
        <w:widowControl/>
        <w:numPr>
          <w:ilvl w:val="0"/>
          <w:numId w:val="9"/>
        </w:numPr>
        <w:jc w:val="center"/>
        <w:rPr>
          <w:rFonts w:hint="eastAsia" w:asciiTheme="majorEastAsia" w:hAnsiTheme="majorEastAsia" w:eastAsiaTheme="majorEastAsia" w:cstheme="majorEastAsia"/>
          <w:b/>
          <w:bCs/>
          <w:color w:val="000000"/>
          <w:kern w:val="0"/>
          <w:sz w:val="28"/>
          <w:szCs w:val="28"/>
          <w:highlight w:val="none"/>
          <w:lang w:bidi="ar"/>
        </w:rPr>
      </w:pPr>
      <w:r>
        <w:rPr>
          <w:rFonts w:hint="eastAsia" w:asciiTheme="majorEastAsia" w:hAnsiTheme="majorEastAsia" w:eastAsiaTheme="majorEastAsia" w:cstheme="majorEastAsia"/>
          <w:b/>
          <w:bCs/>
          <w:color w:val="000000"/>
          <w:kern w:val="0"/>
          <w:sz w:val="28"/>
          <w:szCs w:val="28"/>
          <w:highlight w:val="none"/>
          <w:lang w:bidi="ar"/>
        </w:rPr>
        <w:t>合同协议书</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根据《中华人民共和国民法典》《中华人民共和国招标投标法》《中华人民共和国政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府采购法》《中华人民共和国</w:t>
      </w:r>
      <w:r>
        <w:rPr>
          <w:rFonts w:hint="eastAsia" w:asciiTheme="majorEastAsia" w:hAnsiTheme="majorEastAsia" w:eastAsiaTheme="majorEastAsia" w:cstheme="majorEastAsia"/>
          <w:color w:val="000000"/>
          <w:kern w:val="0"/>
          <w:sz w:val="24"/>
          <w:highlight w:val="none"/>
          <w:lang w:eastAsia="zh-CN" w:bidi="ar"/>
        </w:rPr>
        <w:t>采购</w:t>
      </w:r>
      <w:r>
        <w:rPr>
          <w:rFonts w:hint="eastAsia" w:asciiTheme="majorEastAsia" w:hAnsiTheme="majorEastAsia" w:eastAsiaTheme="majorEastAsia" w:cstheme="majorEastAsia"/>
          <w:color w:val="000000"/>
          <w:kern w:val="0"/>
          <w:sz w:val="24"/>
          <w:highlight w:val="none"/>
          <w:lang w:bidi="ar"/>
        </w:rPr>
        <w:t xml:space="preserve">法实施条例》及其他有关法律、法规、规章、规范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性文件的规定，甲乙双方经友好协商，根据平等、互利的原则签订本合同，并达成以下协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议：</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val="en-US" w:eastAsia="zh-CN" w:bidi="ar"/>
        </w:rPr>
        <w:t>1.</w:t>
      </w:r>
      <w:r>
        <w:rPr>
          <w:rFonts w:hint="eastAsia" w:asciiTheme="majorEastAsia" w:hAnsiTheme="majorEastAsia" w:eastAsiaTheme="majorEastAsia" w:cstheme="majorEastAsia"/>
          <w:color w:val="000000"/>
          <w:kern w:val="0"/>
          <w:sz w:val="24"/>
          <w:highlight w:val="none"/>
          <w:lang w:bidi="ar"/>
        </w:rPr>
        <w:t xml:space="preserve">根据甲方需求乙方提供具有优良质量的产品及安装等服务给甲方，供货明细及合同总 </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金额 详情如下：</w:t>
      </w:r>
    </w:p>
    <w:tbl>
      <w:tblPr>
        <w:tblStyle w:val="38"/>
        <w:tblW w:w="5499" w:type="pct"/>
        <w:tblInd w:w="-525" w:type="dxa"/>
        <w:tblLayout w:type="fixed"/>
        <w:tblCellMar>
          <w:top w:w="0" w:type="dxa"/>
          <w:left w:w="108" w:type="dxa"/>
          <w:bottom w:w="0" w:type="dxa"/>
          <w:right w:w="108" w:type="dxa"/>
        </w:tblCellMar>
      </w:tblPr>
      <w:tblGrid>
        <w:gridCol w:w="677"/>
        <w:gridCol w:w="1453"/>
        <w:gridCol w:w="1511"/>
        <w:gridCol w:w="1242"/>
        <w:gridCol w:w="825"/>
        <w:gridCol w:w="825"/>
        <w:gridCol w:w="688"/>
        <w:gridCol w:w="825"/>
        <w:gridCol w:w="1377"/>
        <w:gridCol w:w="1101"/>
      </w:tblGrid>
      <w:tr>
        <w:tblPrEx>
          <w:tblCellMar>
            <w:top w:w="0" w:type="dxa"/>
            <w:left w:w="108" w:type="dxa"/>
            <w:bottom w:w="0" w:type="dxa"/>
            <w:right w:w="108" w:type="dxa"/>
          </w:tblCellMar>
        </w:tblPrEx>
        <w:trPr>
          <w:trHeight w:val="59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货物名称</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型号规格品牌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生产厂家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kern w:val="0"/>
                <w:sz w:val="22"/>
                <w:szCs w:val="22"/>
                <w:highlight w:val="none"/>
                <w:lang w:bidi="ar"/>
              </w:rPr>
            </w:pPr>
            <w:r>
              <w:rPr>
                <w:rFonts w:hint="eastAsia" w:asciiTheme="majorEastAsia" w:hAnsiTheme="majorEastAsia" w:eastAsiaTheme="majorEastAsia" w:cstheme="majorEastAsia"/>
                <w:b/>
                <w:bCs/>
                <w:color w:val="000000"/>
                <w:kern w:val="0"/>
                <w:sz w:val="22"/>
                <w:szCs w:val="22"/>
                <w:highlight w:val="none"/>
                <w:lang w:bidi="ar"/>
              </w:rPr>
              <w:t>注册证号</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国别</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数量</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val="en-US" w:eastAsia="zh-CN" w:bidi="ar"/>
              </w:rPr>
              <w:t>中标单</w:t>
            </w:r>
            <w:r>
              <w:rPr>
                <w:rFonts w:hint="eastAsia" w:asciiTheme="majorEastAsia" w:hAnsiTheme="majorEastAsia" w:eastAsiaTheme="majorEastAsia" w:cstheme="majorEastAsia"/>
                <w:b/>
                <w:bCs/>
                <w:color w:val="000000"/>
                <w:kern w:val="0"/>
                <w:sz w:val="22"/>
                <w:szCs w:val="22"/>
                <w:highlight w:val="none"/>
                <w:lang w:bidi="ar"/>
              </w:rPr>
              <w:t>价（CNY/元）</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备注</w:t>
            </w: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lang w:eastAsia="zh-CN"/>
              </w:rPr>
            </w:pPr>
            <w:r>
              <w:rPr>
                <w:rFonts w:hint="eastAsia" w:asciiTheme="majorEastAsia" w:hAnsiTheme="majorEastAsia" w:eastAsiaTheme="majorEastAsia" w:cstheme="majorEastAsia"/>
                <w:highlight w:val="none"/>
                <w:lang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highlight w:val="none"/>
                <w:lang w:val="en-US"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52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合计</w:t>
            </w:r>
          </w:p>
        </w:tc>
        <w:tc>
          <w:tcPr>
            <w:tcW w:w="467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合同总额（大、小写）：</w:t>
            </w:r>
            <w:r>
              <w:rPr>
                <w:rFonts w:hint="eastAsia" w:asciiTheme="majorEastAsia" w:hAnsiTheme="majorEastAsia" w:eastAsiaTheme="majorEastAsia" w:cstheme="majorEastAsia"/>
                <w:b/>
                <w:bCs/>
                <w:kern w:val="0"/>
                <w:sz w:val="22"/>
                <w:szCs w:val="22"/>
                <w:highlight w:val="none"/>
                <w:lang w:bidi="ar"/>
              </w:rPr>
              <w:t>大写：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      </w:t>
            </w:r>
            <w:r>
              <w:rPr>
                <w:rFonts w:hint="eastAsia" w:asciiTheme="majorEastAsia" w:hAnsiTheme="majorEastAsia" w:eastAsiaTheme="majorEastAsia" w:cstheme="majorEastAsia"/>
                <w:b/>
                <w:bCs/>
                <w:kern w:val="0"/>
                <w:sz w:val="22"/>
                <w:szCs w:val="22"/>
                <w:highlight w:val="none"/>
                <w:lang w:val="en-US" w:eastAsia="zh-CN" w:bidi="ar"/>
              </w:rPr>
              <w:t xml:space="preserve">        </w:t>
            </w:r>
            <w:r>
              <w:rPr>
                <w:rFonts w:hint="eastAsia" w:asciiTheme="majorEastAsia" w:hAnsiTheme="majorEastAsia" w:eastAsiaTheme="majorEastAsia" w:cstheme="majorEastAsia"/>
                <w:b/>
                <w:bCs/>
                <w:kern w:val="0"/>
                <w:sz w:val="22"/>
                <w:szCs w:val="22"/>
                <w:highlight w:val="none"/>
                <w:lang w:bidi="ar"/>
              </w:rPr>
              <w:t xml:space="preserve">    小写：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元   </w:t>
            </w:r>
            <w:r>
              <w:rPr>
                <w:rFonts w:hint="eastAsia" w:asciiTheme="majorEastAsia" w:hAnsiTheme="majorEastAsia" w:eastAsiaTheme="majorEastAsia" w:cstheme="majorEastAsia"/>
                <w:b/>
                <w:bCs/>
                <w:color w:val="0000FF"/>
                <w:kern w:val="0"/>
                <w:sz w:val="22"/>
                <w:szCs w:val="22"/>
                <w:highlight w:val="none"/>
                <w:lang w:bidi="ar"/>
              </w:rPr>
              <w:t xml:space="preserve"> </w:t>
            </w:r>
          </w:p>
        </w:tc>
      </w:tr>
    </w:tbl>
    <w:p>
      <w:pPr>
        <w:widowControl/>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1.1 合同总额包括货物清单所有产品的运输费用、运输保险费、外包装清理费、装卸费、安装费、调试费、技术指导费、技术培训费、质保金、服务费、各项税费及合同实施过程中的不可预见费用等。</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1.2 乙方所供货物的质量必须同时符合国家强制标准、符合招投标文件的规定。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1.3 乙方所供的全部货物必须为原厂、全新、质量合格的产品；主机、配件、备件、附件、耗材及其零部件不能有以次充好、翻新、返修、质量不合格的产品。乙方对所供货物的质量负全责。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1.4 乙方负责所供货物的运输、装卸、验收前的保管、安装、调试、质保服务（包括但不限于维保修、故障排除、更换零部件、重新供货、退货等）、对甲方人员的培训。</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质保期及售后服务要求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2.1 本合同整体设备的质量保证期为自甲方验收合格之日</w:t>
      </w:r>
      <w:r>
        <w:rPr>
          <w:rFonts w:hint="eastAsia" w:asciiTheme="majorEastAsia" w:hAnsiTheme="majorEastAsia" w:eastAsiaTheme="majorEastAsia" w:cstheme="majorEastAsia"/>
          <w:kern w:val="0"/>
          <w:sz w:val="24"/>
          <w:highlight w:val="none"/>
          <w:lang w:bidi="ar"/>
        </w:rPr>
        <w:t>起</w:t>
      </w:r>
      <w:r>
        <w:rPr>
          <w:rFonts w:hint="eastAsia" w:asciiTheme="majorEastAsia" w:hAnsiTheme="majorEastAsia" w:eastAsiaTheme="majorEastAsia" w:cstheme="majorEastAsia"/>
          <w:kern w:val="0"/>
          <w:sz w:val="24"/>
          <w:highlight w:val="none"/>
          <w:u w:val="single"/>
          <w:lang w:val="en-US" w:eastAsia="zh-CN" w:bidi="ar"/>
        </w:rPr>
        <w:t>3</w:t>
      </w:r>
      <w:r>
        <w:rPr>
          <w:rFonts w:hint="eastAsia" w:asciiTheme="majorEastAsia" w:hAnsiTheme="majorEastAsia" w:eastAsiaTheme="majorEastAsia" w:cstheme="majorEastAsia"/>
          <w:kern w:val="0"/>
          <w:sz w:val="24"/>
          <w:highlight w:val="none"/>
          <w:lang w:bidi="ar"/>
        </w:rPr>
        <w:t>年（</w:t>
      </w:r>
      <w:r>
        <w:rPr>
          <w:rFonts w:hint="eastAsia" w:asciiTheme="majorEastAsia" w:hAnsiTheme="majorEastAsia" w:eastAsiaTheme="majorEastAsia" w:cstheme="majorEastAsia"/>
          <w:kern w:val="0"/>
          <w:sz w:val="24"/>
          <w:highlight w:val="none"/>
          <w:u w:val="single"/>
          <w:lang w:val="en-US" w:eastAsia="zh-CN" w:bidi="ar"/>
        </w:rPr>
        <w:t>36</w:t>
      </w:r>
      <w:r>
        <w:rPr>
          <w:rFonts w:hint="eastAsia" w:asciiTheme="majorEastAsia" w:hAnsiTheme="majorEastAsia" w:eastAsiaTheme="majorEastAsia" w:cstheme="majorEastAsia"/>
          <w:kern w:val="0"/>
          <w:sz w:val="24"/>
          <w:highlight w:val="none"/>
          <w:lang w:bidi="ar"/>
        </w:rPr>
        <w:t>个月）</w:t>
      </w:r>
      <w:r>
        <w:rPr>
          <w:rFonts w:hint="eastAsia" w:asciiTheme="majorEastAsia" w:hAnsiTheme="majorEastAsia" w:eastAsiaTheme="majorEastAsia" w:cstheme="majorEastAsia"/>
          <w:color w:val="000000"/>
          <w:kern w:val="0"/>
          <w:sz w:val="24"/>
          <w:highlight w:val="none"/>
          <w:lang w:bidi="ar"/>
        </w:rPr>
        <w:t xml:space="preserve">，乙方承诺，质保期内乙方对所供货物实行包修、包换、包退，不收取任何费用。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2.2 在质保期内有任何质量问题，乙方在接报后必须无条件予以退换。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2.3 乙方在接到甲方故障通知后，须在</w:t>
      </w:r>
      <w:r>
        <w:rPr>
          <w:rFonts w:hint="eastAsia" w:asciiTheme="majorEastAsia" w:hAnsiTheme="majorEastAsia" w:eastAsiaTheme="majorEastAsia" w:cstheme="majorEastAsia"/>
          <w:color w:val="000000"/>
          <w:kern w:val="0"/>
          <w:sz w:val="24"/>
          <w:highlight w:val="none"/>
          <w:lang w:val="en-US" w:eastAsia="zh-CN" w:bidi="ar"/>
        </w:rPr>
        <w:t>2</w:t>
      </w:r>
      <w:r>
        <w:rPr>
          <w:rFonts w:hint="eastAsia" w:asciiTheme="majorEastAsia" w:hAnsiTheme="majorEastAsia" w:eastAsiaTheme="majorEastAsia" w:cstheme="majorEastAsia"/>
          <w:color w:val="000000"/>
          <w:kern w:val="0"/>
          <w:sz w:val="24"/>
          <w:highlight w:val="none"/>
          <w:lang w:bidi="ar"/>
        </w:rPr>
        <w:t>小时内响应、</w:t>
      </w:r>
      <w:r>
        <w:rPr>
          <w:rFonts w:hint="eastAsia" w:asciiTheme="majorEastAsia" w:hAnsiTheme="majorEastAsia" w:eastAsiaTheme="majorEastAsia" w:cstheme="majorEastAsia"/>
          <w:color w:val="000000"/>
          <w:kern w:val="0"/>
          <w:sz w:val="24"/>
          <w:highlight w:val="none"/>
          <w:lang w:val="en-US" w:eastAsia="zh-CN" w:bidi="ar"/>
        </w:rPr>
        <w:t>24</w:t>
      </w:r>
      <w:r>
        <w:rPr>
          <w:rFonts w:hint="eastAsia" w:asciiTheme="majorEastAsia" w:hAnsiTheme="majorEastAsia" w:eastAsiaTheme="majorEastAsia" w:cstheme="majorEastAsia"/>
          <w:color w:val="000000"/>
          <w:kern w:val="0"/>
          <w:sz w:val="24"/>
          <w:highlight w:val="none"/>
          <w:lang w:bidi="ar"/>
        </w:rPr>
        <w:t xml:space="preserve">小时赶赴现场进行维修。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2.4 设备安装现场乙方须对使用人员进行培训，培训人数不限。质保期内乙方履行质保责任不得收费。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2.5 质量责任不因本合同的有效期届满、质保期届满而终止、免除。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3.其他服务约定：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乙方在合同签订生效日起</w:t>
      </w:r>
      <w:r>
        <w:rPr>
          <w:rFonts w:hint="eastAsia" w:asciiTheme="majorEastAsia" w:hAnsiTheme="majorEastAsia" w:eastAsiaTheme="majorEastAsia" w:cstheme="majorEastAsia"/>
          <w:kern w:val="0"/>
          <w:sz w:val="24"/>
          <w:highlight w:val="none"/>
          <w:lang w:bidi="ar"/>
        </w:rPr>
        <w:t>30日</w:t>
      </w:r>
      <w:r>
        <w:rPr>
          <w:rFonts w:hint="eastAsia" w:asciiTheme="majorEastAsia" w:hAnsiTheme="majorEastAsia" w:eastAsiaTheme="majorEastAsia" w:cstheme="majorEastAsia"/>
          <w:color w:val="000000"/>
          <w:kern w:val="0"/>
          <w:sz w:val="24"/>
          <w:highlight w:val="none"/>
          <w:lang w:bidi="ar"/>
        </w:rPr>
        <w:t xml:space="preserve">历天内完成交货并安装调试；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交货地点：甲方指定处。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3.3乙方按照合同规定将货物送达甲方指定地点后，由甲乙双方现场核查、清点，符合合同约定的进场要求，否则甲方有权拒绝，并要求乙方重新供货；货物在运输途中、装卸过程中、安装调试及试运行过程中发生毁损、灭失的风险由乙方承担；货物经现场核查、清点合格后方可进行装卸、安装、调试、试运行等，安装调试及试运行期间货物由乙方保管并承担费用，甲方提供场地；试运行期至少为 15 天，经试运行合格后双方共同对货物进行最终验收，验收合格后所有权及风险转移至甲方，验收不合格的乙方负责更换并承担费用，直至验收合格。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4.乙方保证按照合同及招标文件、投标文件、采购相关文件的规定向甲方提供全部的货物、验收、服务、</w:t>
      </w:r>
      <w:r>
        <w:rPr>
          <w:rFonts w:hint="eastAsia" w:asciiTheme="majorEastAsia" w:hAnsiTheme="majorEastAsia" w:eastAsiaTheme="majorEastAsia" w:cstheme="majorEastAsia"/>
          <w:color w:val="000000"/>
          <w:kern w:val="0"/>
          <w:sz w:val="24"/>
          <w:highlight w:val="none"/>
          <w:lang w:eastAsia="zh-CN" w:bidi="ar"/>
        </w:rPr>
        <w:t>维修</w:t>
      </w:r>
      <w:r>
        <w:rPr>
          <w:rFonts w:hint="eastAsia" w:asciiTheme="majorEastAsia" w:hAnsiTheme="majorEastAsia" w:eastAsiaTheme="majorEastAsia" w:cstheme="majorEastAsia"/>
          <w:color w:val="000000"/>
          <w:kern w:val="0"/>
          <w:sz w:val="24"/>
          <w:highlight w:val="none"/>
          <w:lang w:bidi="ar"/>
        </w:rPr>
        <w:t xml:space="preserve">等，并在质量保证期内承担货物质量保证责任。乙方履行合同义务后，甲方按照本合同规定向乙方支付款项。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二</w:t>
      </w:r>
      <w:r>
        <w:rPr>
          <w:rFonts w:hint="eastAsia" w:asciiTheme="majorEastAsia" w:hAnsiTheme="majorEastAsia" w:eastAsiaTheme="majorEastAsia" w:cstheme="majorEastAsia"/>
          <w:b/>
          <w:bCs/>
          <w:color w:val="000000"/>
          <w:kern w:val="0"/>
          <w:sz w:val="28"/>
          <w:szCs w:val="28"/>
          <w:highlight w:val="none"/>
          <w:lang w:bidi="ar"/>
        </w:rPr>
        <w:t xml:space="preserve">、合同通用条款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 定义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1.1 本合同下列术语应解释为：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1)“合同”系指采购方（以下简称甲方）及中标方（以下简称乙方）双方签署的、合同格式中载明的甲乙双方所达成的协议，包括所有的附件、附录和上述文件所提到的构成合同的所有文件。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2）“合同价”系指根据本合同规定乙方在正确地完全履行合同义务后甲方应支付给乙方得价款。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3）“货物”指乙方按合同要求，向甲方提供的一切设备、机械、仪器、备件、工具、手册及有关技术资料和材料。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4）“服务”指合同规定乙方需承担的运输、保险、安装、试验、调试、技术协助、校准、培训、质量保证以及其他类似的义务。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5）“合同条款”系指本合同条款。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6）“甲方”系指在合同专用条款中指明的购买货物和服务的单位。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7）“乙方”系指在合同专用条款中指明的提供合同项下货物和服务的公司或其他实体。</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8）“天”指日历天数。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2. 原产地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原产地系指货物的开采、生产地，或提供服务的来源地。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3. 标准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本合同下交付的货物符合“技术参数和图纸要求”要求所述的标准，如果没有提及使用标准，则应符合相关的全部国家强制性标准、规范、指南、技术要求所规定的标准；没有国家强制性标准的，适用相关的行业标准、规范、指南、技术要求；没有行业标准的，参照适用国际标准，有多个国际标准的，使用最高的国际标准（由乙方提供）。如果没有提及使用标准，则应符合中华人民共和国有关机构发布的最新版本的标准</w:t>
      </w:r>
      <w:r>
        <w:rPr>
          <w:rFonts w:hint="eastAsia" w:asciiTheme="majorEastAsia" w:hAnsiTheme="majorEastAsia" w:eastAsiaTheme="majorEastAsia" w:cstheme="majorEastAsia"/>
          <w:b/>
          <w:bCs/>
          <w:color w:val="000000"/>
          <w:kern w:val="0"/>
          <w:sz w:val="24"/>
          <w:highlight w:val="none"/>
          <w:lang w:bidi="ar"/>
        </w:rPr>
        <w:t xml:space="preserve">。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计量单位均采用中华人民共和国法定计量单位。 </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4. 包装要求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4.1 乙方所供货，标准原厂出厂包装必须完好、无破损、无污染、无拆封。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4.2 乙方所提供的全部货物须另行采用相应标准的保护措施进行包装。这类包装应适于长途运输，并有良好的防潮、防震、防锈和防野蛮装卸等保护措施，以确保货物安全运抵现场。乙方应承担由于其包装不妥而引起货物锈蚀、损坏和丢失的责任。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4.3 每件包装箱内应附有一份详细装箱单和质量证书。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4.4 包装物不计价、不回收，包装费用由乙方承担。因未按照本合同的约定进行包装的，甲方有权拒绝接受货物，造成货物毁损、灭失、质量瑕疵、质量缺陷、性能减低、外观受损等的，由乙方承担损失。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4.5 货物的包装物必须为原厂的出厂包装，乙方不得拆除、开封，运输途中及装卸过程中乙方为保证货物不受损可以在原包装上继续进行包装，试运行验收合格移交后，乙方须处理包装垃圾保证清洁出场。</w:t>
      </w:r>
    </w:p>
    <w:p>
      <w:pPr>
        <w:widowControl/>
        <w:spacing w:line="360" w:lineRule="auto"/>
        <w:ind w:firstLine="482"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5. 包装标记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5.1 乙方应在每一包装箱邻接的四个侧面用不易褪色的油漆以醒目的中文印刷字样标明以下各项：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 项目名称：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合同号：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 收货人：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 到站：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 货物的名称、包号、箱号：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 毛重/净重（公斤）：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(7) 尺寸（长×宽×高，以厘米计）：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 发货单位：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凡重达两吨或两吨以上的包装，乙方应在每件包装箱的两侧用中文和适当的运输标记，标明“重心”和“吊装点”，并根据货物的特点和运输的不同要求，以清晰字样在包装箱上注明“小心轻放”、“勿倒置”、“防潮”等适当的标志，以便装卸和搬运。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5.2 标识设备配置信息卡片。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6. 装运条件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6.1 乙方应在合同规定的交货期合理时间内以传真或邮件通知甲方合同号、货物名称、数量、包装件数、总毛重、总体积（立方米）和备妥待运日期。同时，乙方应以书面形式给甲方详细交货清单一式三份，包括合同号、货物名称、规格、数量、总毛重、总体积（立方米）和每一包装箱的尺寸（长×宽×高）、单价和总价、备妥待运日期，以及货物在运输和仓储中的特殊要求和注意事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6.2 乙方负责安排到站前内陆运输。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6.3 货物到达现场后，由乙方负责清点、检验合格并安装调试办理相关手续后得到日期应视为是货物的交货期。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6.4 乙方装运的货物不准超过合同规定的数量或重量，否则，一切后果均由乙方承担。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7. 装运通知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乙方应在货物装货后发运前 24 小时内以传真或邮件通知甲方合同号、货物名称、数量、毛重、体积（立方米）、发票金额、运输工具名称及启运日期。如果包装件重量超过20吨或尺寸达到或超过12米长、2.7米宽和3米高，乙方应将其重量或尺寸</w:t>
      </w:r>
      <w:r>
        <w:rPr>
          <w:rFonts w:hint="eastAsia" w:asciiTheme="majorEastAsia" w:hAnsiTheme="majorEastAsia" w:eastAsiaTheme="majorEastAsia" w:cstheme="majorEastAsia"/>
          <w:color w:val="000000"/>
          <w:kern w:val="0"/>
          <w:sz w:val="24"/>
          <w:highlight w:val="none"/>
          <w:lang w:val="en-US" w:eastAsia="zh-CN" w:bidi="ar"/>
        </w:rPr>
        <w:t>书面</w:t>
      </w:r>
      <w:r>
        <w:rPr>
          <w:rFonts w:hint="eastAsia" w:asciiTheme="majorEastAsia" w:hAnsiTheme="majorEastAsia" w:eastAsiaTheme="majorEastAsia" w:cstheme="majorEastAsia"/>
          <w:color w:val="000000"/>
          <w:kern w:val="0"/>
          <w:sz w:val="24"/>
          <w:highlight w:val="none"/>
          <w:lang w:bidi="ar"/>
        </w:rPr>
        <w:t>通知甲方。若货物中有易燃品或危险品，乙方也须将详细情况</w:t>
      </w:r>
      <w:r>
        <w:rPr>
          <w:rFonts w:hint="eastAsia" w:asciiTheme="majorEastAsia" w:hAnsiTheme="majorEastAsia" w:eastAsiaTheme="majorEastAsia" w:cstheme="majorEastAsia"/>
          <w:color w:val="000000"/>
          <w:kern w:val="0"/>
          <w:sz w:val="24"/>
          <w:highlight w:val="none"/>
          <w:lang w:val="en-US" w:eastAsia="zh-CN" w:bidi="ar"/>
        </w:rPr>
        <w:t>书面</w:t>
      </w:r>
      <w:r>
        <w:rPr>
          <w:rFonts w:hint="eastAsia" w:asciiTheme="majorEastAsia" w:hAnsiTheme="majorEastAsia" w:eastAsiaTheme="majorEastAsia" w:cstheme="majorEastAsia"/>
          <w:color w:val="000000"/>
          <w:kern w:val="0"/>
          <w:sz w:val="24"/>
          <w:highlight w:val="none"/>
          <w:lang w:bidi="ar"/>
        </w:rPr>
        <w:t>通知甲方。</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8．知识产权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乙方所供的货物，不得有任何侵犯第三方知识产权的情形；乙方应保证，甲方使用该货物或货物的任何一部分时，免受第三方提出的侵犯其专利权、商标权、著作权或其他知识产权的起诉、索赔、追偿等情形；因第三方以知识产权侵权为由起诉甲方的，乙方负责解决；第三方因知识产权侵权起诉甲方，甲方承担责任，造成甲方经济损失的，甲方有权按照三倍的标准向乙方追偿。同时乙方应承担甲方因处理纠纷所产生的诉讼费、仲裁费、保全费及保全保险费、律师费、差旅费、鉴定费等一切费用。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9．质量保证金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总货款的10%作为质量保证金，验收完成后，待货物正</w:t>
      </w:r>
      <w:r>
        <w:rPr>
          <w:rFonts w:hint="eastAsia" w:asciiTheme="majorEastAsia" w:hAnsiTheme="majorEastAsia" w:eastAsiaTheme="majorEastAsia" w:cstheme="majorEastAsia"/>
          <w:kern w:val="0"/>
          <w:sz w:val="24"/>
          <w:highlight w:val="none"/>
          <w:lang w:bidi="ar"/>
        </w:rPr>
        <w:t>常使用</w:t>
      </w:r>
      <w:r>
        <w:rPr>
          <w:rFonts w:hint="eastAsia" w:asciiTheme="majorEastAsia" w:hAnsiTheme="majorEastAsia" w:eastAsiaTheme="majorEastAsia" w:cstheme="majorEastAsia"/>
          <w:kern w:val="0"/>
          <w:sz w:val="24"/>
          <w:highlight w:val="none"/>
          <w:u w:val="single"/>
          <w:lang w:bidi="ar"/>
        </w:rPr>
        <w:t xml:space="preserve"> </w:t>
      </w:r>
      <w:r>
        <w:rPr>
          <w:rFonts w:hint="eastAsia" w:asciiTheme="majorEastAsia" w:hAnsiTheme="majorEastAsia" w:eastAsiaTheme="majorEastAsia" w:cstheme="majorEastAsia"/>
          <w:kern w:val="0"/>
          <w:sz w:val="24"/>
          <w:highlight w:val="none"/>
          <w:u w:val="single"/>
          <w:lang w:val="en-US" w:eastAsia="zh-CN" w:bidi="ar"/>
        </w:rPr>
        <w:t>5</w:t>
      </w:r>
      <w:r>
        <w:rPr>
          <w:rFonts w:hint="eastAsia" w:asciiTheme="majorEastAsia" w:hAnsiTheme="majorEastAsia" w:eastAsiaTheme="majorEastAsia" w:cstheme="majorEastAsia"/>
          <w:kern w:val="0"/>
          <w:sz w:val="24"/>
          <w:highlight w:val="none"/>
          <w:u w:val="single"/>
          <w:lang w:bidi="ar"/>
        </w:rPr>
        <w:t xml:space="preserve"> </w:t>
      </w:r>
      <w:r>
        <w:rPr>
          <w:rFonts w:hint="eastAsia" w:asciiTheme="majorEastAsia" w:hAnsiTheme="majorEastAsia" w:eastAsiaTheme="majorEastAsia" w:cstheme="majorEastAsia"/>
          <w:kern w:val="0"/>
          <w:sz w:val="24"/>
          <w:highlight w:val="none"/>
          <w:lang w:bidi="ar"/>
        </w:rPr>
        <w:t>年质量保证期内（</w:t>
      </w:r>
      <w:r>
        <w:rPr>
          <w:rFonts w:hint="eastAsia" w:asciiTheme="majorEastAsia" w:hAnsiTheme="majorEastAsia" w:eastAsiaTheme="majorEastAsia" w:cstheme="majorEastAsia"/>
          <w:kern w:val="0"/>
          <w:sz w:val="24"/>
          <w:highlight w:val="none"/>
          <w:u w:val="single"/>
          <w:lang w:val="en-US" w:eastAsia="zh-CN" w:bidi="ar"/>
        </w:rPr>
        <w:t>60</w:t>
      </w:r>
      <w:r>
        <w:rPr>
          <w:rFonts w:hint="eastAsia" w:asciiTheme="majorEastAsia" w:hAnsiTheme="majorEastAsia" w:eastAsiaTheme="majorEastAsia" w:cstheme="majorEastAsia"/>
          <w:kern w:val="0"/>
          <w:sz w:val="24"/>
          <w:highlight w:val="none"/>
          <w:lang w:bidi="ar"/>
        </w:rPr>
        <w:t>个月）没有任何质量问题时由甲方一次性无息支付，乙方违反质量保证责任的，质量保证金按照有关规定扣除；质量保证期内质量保证金不足总货款 10%时，乙方应当</w:t>
      </w:r>
      <w:r>
        <w:rPr>
          <w:rFonts w:hint="eastAsia" w:asciiTheme="majorEastAsia" w:hAnsiTheme="majorEastAsia" w:eastAsiaTheme="majorEastAsia" w:cstheme="majorEastAsia"/>
          <w:kern w:val="0"/>
          <w:sz w:val="24"/>
          <w:highlight w:val="none"/>
          <w:lang w:val="en-US" w:eastAsia="zh-CN" w:bidi="ar"/>
        </w:rPr>
        <w:t>无条件及时</w:t>
      </w:r>
      <w:r>
        <w:rPr>
          <w:rFonts w:hint="eastAsia" w:asciiTheme="majorEastAsia" w:hAnsiTheme="majorEastAsia" w:eastAsiaTheme="majorEastAsia" w:cstheme="majorEastAsia"/>
          <w:kern w:val="0"/>
          <w:sz w:val="24"/>
          <w:highlight w:val="none"/>
          <w:lang w:bidi="ar"/>
        </w:rPr>
        <w:t xml:space="preserve">补足。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10．检验和验收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10.1 甲方根据需要将派人参加中间监制和出厂验收或派代表参加交货地点清点、核查。</w:t>
      </w:r>
    </w:p>
    <w:p>
      <w:pPr>
        <w:widowControl/>
        <w:spacing w:line="360" w:lineRule="auto"/>
        <w:ind w:firstLine="480" w:firstLineChars="200"/>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10.2</w:t>
      </w:r>
      <w:r>
        <w:rPr>
          <w:rFonts w:hint="eastAsia" w:asciiTheme="majorEastAsia" w:hAnsiTheme="majorEastAsia" w:eastAsiaTheme="majorEastAsia" w:cstheme="majorEastAsia"/>
          <w:sz w:val="24"/>
          <w:highlight w:val="none"/>
        </w:rPr>
        <w:t>在交货前，制造商应对货物的质量、规格、性能、数量和重量等进行详细而全面的检验。乙方交货时必须一并提供制造商出厂的验收单、出厂标牌、合格证、保修卡等资料，否则甲方有权拒绝收货和付款。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10.3 安装完成并试运行期结束后，各方进行最终验收，验收不合格的，乙方采取维修、更换零部件、重新供货等方式，直至验收合格；经三次最终验收不合格的，甲方有权退货，并解除合同，由此给甲方造成的损失及费用全部由乙方承担赔偿责任。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10.4 如果在项目实施过程中直至质量保证期内，经过商检局或市场管理监督部门检验，发现货物的质量或规格与合同规定不符，或证明货物有缺陷，包括潜在的缺陷或使用不合适的材料，甲方有权根据第 14 条规定立即向乙方提出索赔。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10.5 最终验收合格，乙方仍应承担质量责任；最终验收合格不是乙方质量免责的事由。</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11．运输和保险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11.1 乙方负责办理将货物运抵甲方规定的交货地点的一切运输事项，相关费用应包括在合同总价中。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11.2 乙方所供货物在运输途中毁损、灭失的风险，由乙方承担；乙方应对所供货物投保运输相关的保险，乙方自行承担保险相关费用。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11.3 乙方应将货物交付有履约能力的承运人承运。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12．服务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12.1 在乙方的设备到达现场后，由乙方负责清点、保管，费用由乙方承担。甲方可提供存放地点。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12.2 根据项目的进度情况，乙方应及时派技术人员到现场负责安装、培训及调试等工作。</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13．保证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13.1 乙方应保证所供货物是全新的、未使用过、按照国家标准生产的，并完全符合合同规定的质量、规格和性能要求，不存在以次充好、以假充真的情形，不存在翻新、返修的情形，任何主、次零部件及配件、随机耗材不存在回收利用的情形。乙方应保证其设备在正确安装、正常运转和保养条件下，在其使用期内应具有高于正常开机率的性能。在质量保证期内、外乙方均应对由于设计、工艺或材料的任何瑕疵、缺陷而发生的任何质量问题或故障负责，其费用由乙方承担。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13.2 根据有关部门的检验结果，在项目实施过程中直至质量保证期内，如果设备的数量、质量、规格、型号、参数、性能、功能与合同不符，或证实设备是有瑕疵、缺陷的，包括潜在的缺陷或使用了不符合要求的材料、零部件、配件等，甲方均有权按本合同相关保证和索赔条款的约定、以书面形式或其他形式向乙方提出各项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13.3 乙方在收到通知后三天内应免费维修或更换有瑕疵、缺陷的货物或部件，十五天内支付索赔款项；对索赔有异议的，应在收到通知后的三天内提出，否则视为无异议。甲方向乙方本合同约定任一通讯地址或方式发出通知，均视为正当、合法、合理地履行了通知义务；发出通知后超过三天，乙方未做任何响应的，视为乙方收到通知并全部同意和接受甲方通知的内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13.4 如果乙方在收到通知后三天内没有维修、弥补瑕疵或缺陷，甲方可采取必要的补救措施，包括聘请第三方，但其风险和费用将由乙方承担。甲方根据合同规定对乙方行使的其他权利不受影响。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14. 索赔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14．1 甲方有权根据本地市场监督部门或有关部门出具的质检证书向供货方提出索赔、追偿，如责任由保险公司、承运人或其他第三方承担的，乙方应提供保险公司、承运人、第三方的一切信息，乙方不提供的，甲方有权向乙方索赔、追偿。</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14．2 在合同规定的检验期和质量保证期内，如果乙方对甲方提出的追偿、索赔负有责任，乙方应按照甲方同意的下列一种或多种方式解决追偿、</w:t>
      </w:r>
      <w:r>
        <w:rPr>
          <w:rFonts w:hint="eastAsia" w:asciiTheme="majorEastAsia" w:hAnsiTheme="majorEastAsia" w:eastAsiaTheme="majorEastAsia" w:cstheme="majorEastAsia"/>
          <w:kern w:val="0"/>
          <w:sz w:val="24"/>
          <w:highlight w:val="none"/>
          <w:lang w:val="en-US" w:eastAsia="zh-CN" w:bidi="ar"/>
        </w:rPr>
        <w:t>解</w:t>
      </w:r>
      <w:r>
        <w:rPr>
          <w:rFonts w:hint="eastAsia" w:asciiTheme="majorEastAsia" w:hAnsiTheme="majorEastAsia" w:eastAsiaTheme="majorEastAsia" w:cstheme="majorEastAsia"/>
          <w:kern w:val="0"/>
          <w:sz w:val="24"/>
          <w:highlight w:val="none"/>
          <w:lang w:bidi="ar"/>
        </w:rPr>
        <w:t xml:space="preserve">决索赔事宜。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乙方同意甲方拒收货物并退货，并将甲方已支付的货款原路退还给甲方，并承担由此发生的一切损失和费用，包括利息、银行手续费、运费、保险费、检验费、仓储费、装卸费以及为保护拒收货物产生的其他必要费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2）用符合规定要求的货物整体或者部分更换有瑕疵、缺陷的部分，乙方应承担—切风险并负担甲方所遭受的全部直接损失</w:t>
      </w:r>
      <w:r>
        <w:rPr>
          <w:rFonts w:hint="eastAsia" w:asciiTheme="majorEastAsia" w:hAnsiTheme="majorEastAsia" w:eastAsiaTheme="majorEastAsia" w:cstheme="majorEastAsia"/>
          <w:kern w:val="0"/>
          <w:sz w:val="24"/>
          <w:highlight w:val="none"/>
          <w:lang w:val="en-US" w:eastAsia="zh-CN" w:bidi="ar"/>
        </w:rPr>
        <w:t>及</w:t>
      </w:r>
      <w:r>
        <w:rPr>
          <w:rFonts w:hint="eastAsia" w:asciiTheme="majorEastAsia" w:hAnsiTheme="majorEastAsia" w:eastAsiaTheme="majorEastAsia" w:cstheme="majorEastAsia"/>
          <w:kern w:val="0"/>
          <w:sz w:val="24"/>
          <w:highlight w:val="none"/>
          <w:lang w:bidi="ar"/>
        </w:rPr>
        <w:t xml:space="preserve">费用。 </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14.3 如果在甲方发出索赔通知后3天内，乙方未做答复，上述索赔应视为已被乙方接受。如乙方未能在采购方提出索赔通知后 3 天内或甲方同意的延长时间内，按照本合同第14.2条规定的任何—种方式解决索赔事宜，甲方将从供货方质量保证金中扣回索赔金额，保证金数额不足的，乙方应补足，导致甲方通过诉讼方式实现权利的，应向甲方所在地有管辖权的人民法院提起诉讼。乙方应承担甲方因处理本协议项下纠纷所产生的诉讼费、仲裁费、保全费及保全保险费、律师费、差旅费、鉴定费等一切费用。</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 14.4 因乙方故意或重大过失造成甲方财产损失或因乙方原因造成人员伤亡事件时，由此产生的责任全部有乙方承担并赔偿甲方全部损失。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15．付款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本合同项下的付款方法和条件在“合同专用条款”中有规定。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16．交货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乙方在按照本合同约定向甲方提交货物和履行服务。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17．变更指令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17.1 甲方可以在任何时候书面向乙方发出指令，在本合同的一般范围内变更下述一项或几项：</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1）运输或包装的方法；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2）交货地点；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3）乙方提供的服务。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17.2 如果上述变更使乙方履行合同义务的费用或时间增加或减少，将对合同价或交货时间或两者进行公平的调整，同时相应修改合同。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18．合同修改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本合同签订后，任何一方不应对合同条款单方进行任何变更或修改，除非甲乙双方同意并签订书面的合同修改协议。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19．使用合同文件和资料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19.1 没有甲方事先书面同意，乙方不得将由甲方或代表甲方提供的有关合同或任何合同条文、规格、计划、图纸、模型、样品或资料提供</w:t>
      </w:r>
      <w:r>
        <w:rPr>
          <w:rFonts w:hint="eastAsia" w:asciiTheme="majorEastAsia" w:hAnsiTheme="majorEastAsia" w:eastAsiaTheme="majorEastAsia" w:cstheme="majorEastAsia"/>
          <w:kern w:val="0"/>
          <w:sz w:val="24"/>
          <w:highlight w:val="none"/>
          <w:lang w:eastAsia="zh-CN" w:bidi="ar"/>
        </w:rPr>
        <w:t>给予</w:t>
      </w:r>
      <w:r>
        <w:rPr>
          <w:rFonts w:hint="eastAsia" w:asciiTheme="majorEastAsia" w:hAnsiTheme="majorEastAsia" w:eastAsiaTheme="majorEastAsia" w:cstheme="majorEastAsia"/>
          <w:kern w:val="0"/>
          <w:sz w:val="24"/>
          <w:highlight w:val="none"/>
          <w:lang w:bidi="ar"/>
        </w:rPr>
        <w:t xml:space="preserve">履行本合同无关的任何其他人。即使向与履行本合同有关的人员提供，也应注意保密并限于履行合同必需的范围。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19.2 没有甲方事先书面同意，除了履行本合同外，乙方不应使用与本合同有关的任何文件和资料。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19.3 除与本合同有关的任何文件、资料均是甲方的财产。如果甲方有要求，乙方在完成合同后应将这些文件及全部复制件返还甲方，不能返还的应予以销毁，不得留存。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20．乙方履约延误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20.1 乙方应按照招标文件中规定的时间交货和提供服务。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20.2 在履行合同过程中，如果乙方遇到妨碍按时交货和提供服务的情况时，应及时将拖延的事实、可能拖延的时间和原因通知甲方。甲方在收到乙方通知后，应尽快对情况进行评价，并确定是否同意延长交货时间以及是否收取误期赔偿费。延期应通过修改合同的方式由甲乙双方认可。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21．误期赔偿费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乙方迟延交付货物或者提供服务的，甲方应从货款中扣除误期赔偿费而不影响合同项下的其他补救方法，赔偿费（违约金）按合同总价款每天5‰计收，迟延超过30日历天内的，甲方有权解除合同。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22．违约终止合同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22.1 在甲方对乙方违约而采取的任何补救措施不受影响的情况下，甲方可向乙方发出书面违约通知书，提出终止部分或全部合同：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1）如果乙方未能在合同规定的期限内或甲方根据合同条款的规定同意延长的期限内提供全部或部分货物；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2）如果乙方未能履行合同规定的其他任何义务。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3）如果甲方认为乙方在本合同的竞争和实施过程中有腐败和欺诈行为。为此目的，定义下述条件：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a)“腐败行为”是指提供、给予、接受或索取任何有价值的物品来影响甲方在采购过程或合同实施过程中的行为。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b)“欺诈行为”是指为了影响采购过程或合同实施过程而谎报或隐瞒事实，损害甲方利益的行为。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22.2 如果甲方根据上述第 21.1 条的规定，终止了全部或部分合同，甲方可以依其认为适当的条件和方法购买与未交货物类似的货物或服务，乙方应承担甲方因购买类似货物或服务而产生的额外支出。但是，乙方应继续执行合同中未终止的部分。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23．不可抗力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23.1 签约甲乙双方任何一方由于不可抗力事件的影响而不能执行合同时，履行合同的期限应予延长，其延长的期限应相当事件所影响的时间。不可抗力事件系指甲乙双方在缔结合同时所不能预见的，并且它的发生及其后果是无法避免和无法克服的事件，诸如战争、严重火灾、洪水、台风、地震等，甲乙双方应通过友好协商在合理的时间内达成进一步履行合同的协议。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23.2 因合同一方迟延履行合同后发生不可抗力的，不能免除迟延履行方的相应责任。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24．因破产而终止合同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如果乙方破产或无清偿能力，甲方可在任何时候以书面形式通知乙方，提出终止合同而不给乙方补偿。该合同的终止将不损害或影响甲方已经采取或将要采取的任何行动或补救措施的权利。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25．争议的解决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25.1 因执行本合同所发生的或与本合同有关的一切争议，甲乙双方应通过友好协商解决。如果协商开始后十五天还不能解决，任何一方均可按中华人民共和国有关法律的规定向甲方所在地有管辖权的人民法院提起诉讼。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25.2 甲方因基于本合同维权产生的诉讼费、保全费及保全担保费、律师费、差旅费、鉴定费等一切费用，均应由乙方负担。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25.3 在诉讼期间，除正在进行诉讼的部分外，本合同其他部分应继续执行。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26．合同语言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本合同语言为中文。甲乙双方交换的与合同有关的信函均用中文书写。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27．适用法律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本合同应按照中华人民共和国的法律进行解释。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28．通知与送达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4"/>
          <w:highlight w:val="none"/>
        </w:rPr>
        <w:t>甲乙双方因履行本合同或与本合同有关的一切通知或附件或往来材料等，以及因履行本合同产生诉讼后法院邮寄法律文件的有效送达地址，都必须按照本合同签署页中约定的通讯地址、电子邮箱，以书面信函形式或双方确认的传真或类似法院邮寄送达的通讯方式进行。采用信函形式的应使用EMS、挂号信或者具有良好信誉的快递送达。如使用传真、电子邮箱或类似的通讯方式，通知日期即为通讯发出日期，如使用挂号信件或快递，通知日期即为邮件寄出日期并以邮戳或快递日期为准。双方更新联系人或经办人应及时书面通知，否则因此致使本合同相关文件无法正确送达，未通知方承当相应责任，通知方按本合同签署页中约定的地址送达仍视为产生正常送达的法律效果。</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29．税款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按照中华人民共和国税法和有关部门的规定，与本合同有关的一切税费均应由乙方负担。</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30．合同文本及组成部分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招标文件、投标文件、招标答疑以及合同的其他条款共同构成合同的有效组成部分，具体包括但不限于以下文件：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 合同文本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 投标明细表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 技术响应表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1.4 开标一览表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1.5 中标通知书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1.6 按期交货承诺书、售后服务承诺、培训方案、质量保证期等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 招标文件及澄清文件 </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1.8 投标文件及乙方在招投标阶段作出的其他承诺、说明、声明、保证。</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1.9 按期交货承诺书</w:t>
      </w:r>
    </w:p>
    <w:p>
      <w:pPr>
        <w:widowControl/>
        <w:spacing w:line="360" w:lineRule="auto"/>
        <w:ind w:firstLine="480" w:firstLineChars="200"/>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上述文件按照时间在后优先的原则解释和适用，但涉及质量和服务的内容时，按照最有利于保证质量、最有利于保证服务提供的原则解释和适用。</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合同及协议性文件经双方签字盖章后生效，乙方单方作出的承诺、说明、声明、申明、保证等乙方一经作出即生效（作出的方式包括乙方盖章、乙方法定代表人或授权代表签字、乙方签字并盖章、电子邮件、口头等），须经招标单位签字、盖章后生效的文件，经招标单位签字、盖章后生效。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30.1 本合同经甲乙双方</w:t>
      </w:r>
      <w:r>
        <w:rPr>
          <w:rFonts w:hint="eastAsia" w:asciiTheme="majorEastAsia" w:hAnsiTheme="majorEastAsia" w:eastAsiaTheme="majorEastAsia" w:cstheme="majorEastAsia"/>
          <w:kern w:val="0"/>
          <w:sz w:val="24"/>
          <w:highlight w:val="none"/>
          <w:lang w:val="en-US" w:eastAsia="zh-CN" w:bidi="ar"/>
        </w:rPr>
        <w:t>法定代表人或授权代表</w:t>
      </w:r>
      <w:r>
        <w:rPr>
          <w:rFonts w:hint="eastAsia" w:asciiTheme="majorEastAsia" w:hAnsiTheme="majorEastAsia" w:eastAsiaTheme="majorEastAsia" w:cstheme="majorEastAsia"/>
          <w:kern w:val="0"/>
          <w:sz w:val="24"/>
          <w:highlight w:val="none"/>
          <w:lang w:bidi="ar"/>
        </w:rPr>
        <w:t>签字</w:t>
      </w:r>
      <w:r>
        <w:rPr>
          <w:rFonts w:hint="eastAsia" w:asciiTheme="majorEastAsia" w:hAnsiTheme="majorEastAsia" w:eastAsiaTheme="majorEastAsia" w:cstheme="majorEastAsia"/>
          <w:kern w:val="0"/>
          <w:sz w:val="24"/>
          <w:highlight w:val="none"/>
          <w:lang w:val="en-US" w:eastAsia="zh-CN" w:bidi="ar"/>
        </w:rPr>
        <w:t>并加盖各自公</w:t>
      </w:r>
      <w:r>
        <w:rPr>
          <w:rFonts w:hint="eastAsia" w:asciiTheme="majorEastAsia" w:hAnsiTheme="majorEastAsia" w:eastAsiaTheme="majorEastAsia" w:cstheme="majorEastAsia"/>
          <w:kern w:val="0"/>
          <w:sz w:val="24"/>
          <w:highlight w:val="none"/>
          <w:lang w:bidi="ar"/>
        </w:rPr>
        <w:t xml:space="preserve">章后生效。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30.2 如需修改合同内容，甲乙双方应签署书面修改或补充协议，该修改或补充协议作为本合同不可分割的组成部分。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30.3 本合同具有法律效力，受国家法律保护。 </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30.4 因乙方不具备签订、履行本合同的能力、资质、资格等的，造成本合同无效、撤销、解除的，乙方承担全部过错责任。 </w:t>
      </w:r>
    </w:p>
    <w:p>
      <w:pPr>
        <w:widowControl/>
        <w:spacing w:line="360" w:lineRule="auto"/>
        <w:ind w:firstLine="420" w:firstLineChars="175"/>
        <w:jc w:val="left"/>
        <w:rPr>
          <w:rFonts w:hint="eastAsia"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30.5 本合同一式六份，采购方三份，中标方两份，</w:t>
      </w:r>
      <w:r>
        <w:rPr>
          <w:rFonts w:hint="eastAsia" w:asciiTheme="majorEastAsia" w:hAnsiTheme="majorEastAsia" w:eastAsiaTheme="majorEastAsia" w:cstheme="majorEastAsia"/>
          <w:kern w:val="0"/>
          <w:sz w:val="24"/>
          <w:highlight w:val="none"/>
          <w:lang w:eastAsia="zh-CN" w:bidi="ar"/>
        </w:rPr>
        <w:t>采购人</w:t>
      </w:r>
      <w:r>
        <w:rPr>
          <w:rFonts w:hint="eastAsia" w:asciiTheme="majorEastAsia" w:hAnsiTheme="majorEastAsia" w:eastAsiaTheme="majorEastAsia" w:cstheme="majorEastAsia"/>
          <w:kern w:val="0"/>
          <w:sz w:val="24"/>
          <w:highlight w:val="none"/>
          <w:lang w:bidi="ar"/>
        </w:rPr>
        <w:t>一份。</w:t>
      </w:r>
    </w:p>
    <w:p>
      <w:pPr>
        <w:widowControl/>
        <w:spacing w:line="360" w:lineRule="auto"/>
        <w:ind w:firstLine="420" w:firstLineChars="175"/>
        <w:jc w:val="left"/>
        <w:rPr>
          <w:rFonts w:hint="eastAsia" w:asciiTheme="majorEastAsia" w:hAnsiTheme="majorEastAsia" w:eastAsiaTheme="majorEastAsia" w:cstheme="majorEastAsia"/>
          <w:color w:val="000000"/>
          <w:kern w:val="0"/>
          <w:sz w:val="24"/>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center"/>
        <w:rPr>
          <w:rFonts w:hint="eastAsia" w:asciiTheme="majorEastAsia" w:hAnsiTheme="majorEastAsia" w:eastAsiaTheme="majorEastAsia" w:cstheme="majorEastAsia"/>
          <w:b/>
          <w:bCs/>
          <w:color w:val="000000"/>
          <w:kern w:val="0"/>
          <w:sz w:val="43"/>
          <w:szCs w:val="43"/>
          <w:highlight w:val="none"/>
          <w:lang w:bidi="ar"/>
        </w:rPr>
      </w:pPr>
    </w:p>
    <w:p>
      <w:pPr>
        <w:widowControl/>
        <w:jc w:val="both"/>
        <w:rPr>
          <w:rFonts w:hint="eastAsia" w:asciiTheme="majorEastAsia" w:hAnsiTheme="majorEastAsia" w:eastAsiaTheme="majorEastAsia" w:cstheme="majorEastAsia"/>
          <w:b/>
          <w:bCs/>
          <w:color w:val="000000"/>
          <w:kern w:val="0"/>
          <w:sz w:val="43"/>
          <w:szCs w:val="43"/>
          <w:highlight w:val="none"/>
          <w:lang w:bidi="ar"/>
        </w:rPr>
      </w:pPr>
    </w:p>
    <w:p>
      <w:pPr>
        <w:widowControl/>
        <w:ind w:firstLine="2590" w:firstLineChars="600"/>
        <w:jc w:val="both"/>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43"/>
          <w:szCs w:val="43"/>
          <w:highlight w:val="none"/>
          <w:lang w:bidi="ar"/>
        </w:rPr>
        <w:t>三、合同专用条款</w:t>
      </w:r>
    </w:p>
    <w:p>
      <w:pPr>
        <w:widowControl/>
        <w:spacing w:line="360" w:lineRule="auto"/>
        <w:ind w:firstLine="480" w:firstLineChars="200"/>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本表关于招标货物的具体要求是对本合同条款的具体补充和修改，如有矛盾， 应以 </w:t>
      </w:r>
    </w:p>
    <w:p>
      <w:pPr>
        <w:widowControl/>
        <w:spacing w:line="36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本条款为准。</w:t>
      </w:r>
    </w:p>
    <w:tbl>
      <w:tblPr>
        <w:tblStyle w:val="38"/>
        <w:tblW w:w="9687" w:type="dxa"/>
        <w:tblInd w:w="93" w:type="dxa"/>
        <w:tblLayout w:type="autofit"/>
        <w:tblCellMar>
          <w:top w:w="0" w:type="dxa"/>
          <w:left w:w="108" w:type="dxa"/>
          <w:bottom w:w="0" w:type="dxa"/>
          <w:right w:w="108" w:type="dxa"/>
        </w:tblCellMar>
      </w:tblPr>
      <w:tblGrid>
        <w:gridCol w:w="1080"/>
        <w:gridCol w:w="8607"/>
      </w:tblGrid>
      <w:tr>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序号</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内容</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甲方（采购方）名称：甘肃省第二人民医院                                        甲方（采购方）地址：兰州市城关区和政西街 1 号</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2</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lang w:bidi="ar"/>
              </w:rPr>
              <w:t>乙方（中标人）名称：</w:t>
            </w:r>
            <w:r>
              <w:rPr>
                <w:rFonts w:hint="eastAsia" w:asciiTheme="majorEastAsia" w:hAnsiTheme="majorEastAsia" w:eastAsiaTheme="majorEastAsia" w:cstheme="majorEastAsia"/>
                <w:kern w:val="0"/>
                <w:sz w:val="24"/>
                <w:szCs w:val="24"/>
                <w:highlight w:val="none"/>
                <w:lang w:val="en-US" w:eastAsia="zh-CN" w:bidi="ar"/>
              </w:rPr>
              <w:t>*************</w:t>
            </w:r>
            <w:r>
              <w:rPr>
                <w:rFonts w:hint="eastAsia" w:asciiTheme="majorEastAsia" w:hAnsiTheme="majorEastAsia" w:eastAsiaTheme="majorEastAsia" w:cstheme="majorEastAsia"/>
                <w:kern w:val="0"/>
                <w:sz w:val="24"/>
                <w:szCs w:val="24"/>
                <w:highlight w:val="none"/>
                <w:lang w:bidi="ar"/>
              </w:rPr>
              <w:t xml:space="preserve">                                                   乙方（中标人）地址：</w:t>
            </w:r>
            <w:r>
              <w:rPr>
                <w:rFonts w:hint="eastAsia" w:asciiTheme="majorEastAsia" w:hAnsiTheme="majorEastAsia" w:eastAsiaTheme="majorEastAsia" w:cstheme="majorEastAsia"/>
                <w:kern w:val="0"/>
                <w:sz w:val="24"/>
                <w:szCs w:val="24"/>
                <w:highlight w:val="none"/>
                <w:lang w:val="en-US" w:eastAsia="zh-CN" w:bidi="ar"/>
              </w:rPr>
              <w:t>*************</w:t>
            </w:r>
          </w:p>
        </w:tc>
      </w:tr>
      <w:tr>
        <w:tblPrEx>
          <w:tblCellMar>
            <w:top w:w="0" w:type="dxa"/>
            <w:left w:w="108" w:type="dxa"/>
            <w:bottom w:w="0" w:type="dxa"/>
            <w:right w:w="108" w:type="dxa"/>
          </w:tblCellMar>
        </w:tblPrEx>
        <w:trPr>
          <w:trHeight w:val="2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3</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zh-CN" w:eastAsia="zh-CN"/>
              </w:rPr>
              <w:t xml:space="preserve">合同签订后，乙方向甲方缴纳中标金额的 </w:t>
            </w: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lang w:val="zh-CN" w:eastAsia="zh-CN"/>
              </w:rPr>
              <w:t>0%作为质量保证金，供货验收合格后，乙方开具全额发票，甲方支付 100%全额货款，质保期结束后，如无质量问题，甲方无息退还乙方剩余的 10%质保金。质量保证期内乙方违反质量保证责任，迟延、拖延履行质量保证责任的甲方有权扣除乙方的质量保证金，质量保证期相应顺延；乙方拒绝履行质量保证责任的，甲方可以聘请第三方进行维保，产生的维保费甲方有权向乙方主张，并扣除的全部质保金。</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4</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bidi="ar"/>
              </w:rPr>
              <w:t>中标金额（大写）：</w:t>
            </w:r>
            <w:r>
              <w:rPr>
                <w:rFonts w:hint="eastAsia" w:asciiTheme="majorEastAsia" w:hAnsiTheme="majorEastAsia" w:eastAsiaTheme="majorEastAsia" w:cstheme="majorEastAsia"/>
                <w:kern w:val="0"/>
                <w:sz w:val="24"/>
                <w:szCs w:val="24"/>
                <w:highlight w:val="none"/>
                <w:lang w:val="en-US" w:eastAsia="zh-CN" w:bidi="ar"/>
              </w:rPr>
              <w:t>*****************</w:t>
            </w:r>
            <w:r>
              <w:rPr>
                <w:rFonts w:hint="eastAsia" w:asciiTheme="majorEastAsia" w:hAnsiTheme="majorEastAsia" w:eastAsiaTheme="majorEastAsia" w:cstheme="majorEastAsia"/>
                <w:kern w:val="0"/>
                <w:sz w:val="24"/>
                <w:szCs w:val="24"/>
                <w:highlight w:val="none"/>
                <w:lang w:bidi="ar"/>
              </w:rPr>
              <w:t>小写：</w:t>
            </w:r>
            <w:r>
              <w:rPr>
                <w:rFonts w:hint="eastAsia" w:asciiTheme="majorEastAsia" w:hAnsiTheme="majorEastAsia" w:eastAsiaTheme="majorEastAsia" w:cstheme="majorEastAsia"/>
                <w:kern w:val="0"/>
                <w:sz w:val="24"/>
                <w:szCs w:val="24"/>
                <w:highlight w:val="none"/>
                <w:lang w:val="en-US" w:eastAsia="zh-CN" w:bidi="ar"/>
              </w:rPr>
              <w:t>*********</w:t>
            </w:r>
          </w:p>
        </w:tc>
      </w:tr>
      <w:tr>
        <w:tblPrEx>
          <w:tblCellMar>
            <w:top w:w="0" w:type="dxa"/>
            <w:left w:w="108" w:type="dxa"/>
            <w:bottom w:w="0" w:type="dxa"/>
            <w:right w:w="108" w:type="dxa"/>
          </w:tblCellMar>
        </w:tblPrEx>
        <w:trPr>
          <w:trHeight w:val="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5</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质量保证期：整机（含配套附件、附属设备等）质</w:t>
            </w:r>
            <w:r>
              <w:rPr>
                <w:rFonts w:hint="eastAsia" w:asciiTheme="majorEastAsia" w:hAnsiTheme="majorEastAsia" w:eastAsiaTheme="majorEastAsia" w:cstheme="majorEastAsia"/>
                <w:kern w:val="0"/>
                <w:sz w:val="24"/>
                <w:szCs w:val="24"/>
                <w:highlight w:val="none"/>
                <w:lang w:bidi="ar"/>
              </w:rPr>
              <w:t>保</w:t>
            </w:r>
            <w:r>
              <w:rPr>
                <w:rFonts w:hint="eastAsia" w:asciiTheme="majorEastAsia" w:hAnsiTheme="majorEastAsia" w:eastAsiaTheme="majorEastAsia" w:cstheme="majorEastAsia"/>
                <w:kern w:val="0"/>
                <w:sz w:val="24"/>
                <w:szCs w:val="24"/>
                <w:highlight w:val="none"/>
                <w:lang w:val="en-US" w:eastAsia="zh-CN" w:bidi="ar"/>
              </w:rPr>
              <w:t>2</w:t>
            </w:r>
            <w:r>
              <w:rPr>
                <w:rFonts w:hint="eastAsia" w:asciiTheme="majorEastAsia" w:hAnsiTheme="majorEastAsia" w:eastAsiaTheme="majorEastAsia" w:cstheme="majorEastAsia"/>
                <w:color w:val="000000"/>
                <w:kern w:val="0"/>
                <w:sz w:val="24"/>
                <w:szCs w:val="24"/>
                <w:highlight w:val="none"/>
                <w:lang w:bidi="ar"/>
              </w:rPr>
              <w:t>年，在质保期内进行售后服务不得收取任何费用，验收合格后质保期内每年（按365天计算）设备正常开机率≥95%，若达不到，不足的开机天数按照1：3相应延长质保期。</w:t>
            </w:r>
          </w:p>
        </w:tc>
      </w:tr>
      <w:tr>
        <w:tblPrEx>
          <w:tblCellMar>
            <w:top w:w="0" w:type="dxa"/>
            <w:left w:w="108" w:type="dxa"/>
            <w:bottom w:w="0" w:type="dxa"/>
            <w:right w:w="108" w:type="dxa"/>
          </w:tblCellMar>
        </w:tblPrEx>
        <w:trPr>
          <w:trHeight w:val="1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6</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如设备的主要技术性能指标达不到招投标文件中规定的指标要求，采购人有权 不再向乙方支付剩余合同价款，还将保留继续向中标人进一步索赔有关直接和 间接经济损失的权利，并承担甲方因处理本协议项下纠纷所产生的诉讼费、仲 裁费、保全费及保全担保费、律师费、差旅费、鉴定费等一切费用。甲方有权 向政府招投标、</w:t>
            </w:r>
            <w:r>
              <w:rPr>
                <w:rFonts w:hint="eastAsia" w:asciiTheme="majorEastAsia" w:hAnsiTheme="majorEastAsia" w:eastAsiaTheme="majorEastAsia" w:cstheme="majorEastAsia"/>
                <w:color w:val="000000"/>
                <w:kern w:val="0"/>
                <w:sz w:val="24"/>
                <w:szCs w:val="24"/>
                <w:highlight w:val="none"/>
                <w:lang w:eastAsia="zh-CN" w:bidi="ar"/>
              </w:rPr>
              <w:t>采购</w:t>
            </w:r>
            <w:r>
              <w:rPr>
                <w:rFonts w:hint="eastAsia" w:asciiTheme="majorEastAsia" w:hAnsiTheme="majorEastAsia" w:eastAsiaTheme="majorEastAsia" w:cstheme="majorEastAsia"/>
                <w:color w:val="000000"/>
                <w:kern w:val="0"/>
                <w:sz w:val="24"/>
                <w:szCs w:val="24"/>
                <w:highlight w:val="none"/>
                <w:lang w:bidi="ar"/>
              </w:rPr>
              <w:t>、行业主张机构申报、报告，将中标人列 入有关不良行为记录名单，并永久性不得参加甲方通过任何形式进行的采购。</w:t>
            </w:r>
          </w:p>
        </w:tc>
      </w:tr>
      <w:tr>
        <w:tblPrEx>
          <w:tblCellMar>
            <w:top w:w="0" w:type="dxa"/>
            <w:left w:w="108" w:type="dxa"/>
            <w:bottom w:w="0" w:type="dxa"/>
            <w:right w:w="108" w:type="dxa"/>
          </w:tblCellMar>
        </w:tblPrEx>
        <w:trPr>
          <w:trHeight w:val="10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7</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质量验收标准：质量要求须达到国家强制标准的合格等级以上，并符合甲方招 标文件技术参数及甲方其他质量要求；如果没有提及使用标准或者无国家强制 标准的，按照行业标准执行；无行业标准的参照国际标准，国际标准文件由乙 方提供，并承担相关费用。</w:t>
            </w:r>
          </w:p>
        </w:tc>
      </w:tr>
      <w:tr>
        <w:tblPrEx>
          <w:tblCellMar>
            <w:top w:w="0" w:type="dxa"/>
            <w:left w:w="108" w:type="dxa"/>
            <w:bottom w:w="0" w:type="dxa"/>
            <w:right w:w="108" w:type="dxa"/>
          </w:tblCellMar>
        </w:tblPrEx>
        <w:trPr>
          <w:trHeight w:val="4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8</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交货期：合同签订</w:t>
            </w:r>
            <w:r>
              <w:rPr>
                <w:rFonts w:hint="eastAsia" w:asciiTheme="majorEastAsia" w:hAnsiTheme="majorEastAsia" w:eastAsiaTheme="majorEastAsia" w:cstheme="majorEastAsia"/>
                <w:kern w:val="0"/>
                <w:sz w:val="24"/>
                <w:szCs w:val="24"/>
                <w:highlight w:val="none"/>
                <w:lang w:bidi="ar"/>
              </w:rPr>
              <w:t>后30日历天内.</w:t>
            </w:r>
          </w:p>
        </w:tc>
      </w:tr>
      <w:tr>
        <w:tblPrEx>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9</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交货地点：采购方指定地点。</w:t>
            </w:r>
          </w:p>
        </w:tc>
      </w:tr>
      <w:tr>
        <w:tblPrEx>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10</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260"/>
                <w:tab w:val="right" w:leader="dot" w:pos="9000"/>
              </w:tabs>
              <w:spacing w:line="360" w:lineRule="auto"/>
              <w:jc w:val="left"/>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kern w:val="0"/>
                <w:sz w:val="24"/>
                <w:szCs w:val="24"/>
                <w:highlight w:val="none"/>
                <w:lang w:bidi="ar"/>
              </w:rPr>
              <w:t>违约责任：乙方迟延交付货物的，按照合同金额每日 5‰的标准承担迟延交货违约 金，超过30日历天内的，甲方有权解除合同。乙方交付货物质量、提供服务不符合约定，致使甲方有权拒收或退回乙方提供的全部或部分货物并解除合同，乙方应承担拒收或退回货物价款30%的违约金；甲方也可选择通知乙方负责包退、包换，退、换后的货物仍不符合合同要求时，甲方可按前述</w:t>
            </w:r>
            <w:r>
              <w:rPr>
                <w:rFonts w:hint="eastAsia" w:asciiTheme="majorEastAsia" w:hAnsiTheme="majorEastAsia" w:eastAsiaTheme="majorEastAsia" w:cstheme="majorEastAsia"/>
                <w:color w:val="auto"/>
                <w:kern w:val="0"/>
                <w:sz w:val="24"/>
                <w:szCs w:val="24"/>
                <w:highlight w:val="none"/>
                <w:lang w:bidi="ar"/>
              </w:rPr>
              <w:t>规定行使权利。乙方所供货物、提供的服务存在质量缺陷的，乙方承担合同金额30%的违约金，如造成损害后果的并承担赔偿全部经济损失，如损失无法计算的按照三倍合同金额计算。质量保证期内，乙方违反质量保证责任，按照质量保证期、质量保证金的相关条款执行。其他违约情形按照《中华人民共和国民法典》及有关司法解释的规定执行。</w:t>
            </w:r>
            <w:r>
              <w:rPr>
                <w:rFonts w:hint="eastAsia" w:asciiTheme="majorEastAsia" w:hAnsiTheme="majorEastAsia" w:eastAsiaTheme="majorEastAsia" w:cstheme="majorEastAsia"/>
                <w:color w:val="auto"/>
                <w:sz w:val="24"/>
                <w:szCs w:val="24"/>
                <w:highlight w:val="none"/>
              </w:rPr>
              <w:t>因乙方故意或重大过失造成甲方财产损失或因乙方原因造成人员伤亡事件时，</w:t>
            </w:r>
            <w:r>
              <w:rPr>
                <w:rFonts w:hint="eastAsia" w:asciiTheme="majorEastAsia" w:hAnsiTheme="majorEastAsia" w:eastAsiaTheme="majorEastAsia" w:cstheme="majorEastAsia"/>
                <w:color w:val="auto"/>
                <w:sz w:val="24"/>
                <w:szCs w:val="24"/>
                <w:highlight w:val="none"/>
                <w:lang w:val="en-US" w:eastAsia="zh-CN"/>
              </w:rPr>
              <w:t>由此产生的责任全部有乙方承担并赔偿甲方全部损失</w:t>
            </w:r>
            <w:r>
              <w:rPr>
                <w:rFonts w:hint="eastAsia" w:asciiTheme="majorEastAsia" w:hAnsiTheme="majorEastAsia" w:eastAsiaTheme="majorEastAsia" w:cstheme="majorEastAsia"/>
                <w:color w:val="auto"/>
                <w:sz w:val="24"/>
                <w:szCs w:val="24"/>
                <w:highlight w:val="none"/>
              </w:rPr>
              <w:t>。</w:t>
            </w:r>
          </w:p>
        </w:tc>
      </w:tr>
    </w:tbl>
    <w:p>
      <w:pPr>
        <w:pStyle w:val="18"/>
        <w:autoSpaceDE w:val="0"/>
        <w:autoSpaceDN w:val="0"/>
        <w:spacing w:before="66" w:line="360" w:lineRule="auto"/>
        <w:ind w:firstLine="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（以下无正文）</w:t>
      </w:r>
    </w:p>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bidi="ar"/>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highlight w:val="none"/>
        </w:rPr>
      </w:pPr>
    </w:p>
    <w:p>
      <w:pPr>
        <w:pStyle w:val="7"/>
        <w:autoSpaceDE w:val="0"/>
        <w:autoSpaceDN w:val="0"/>
        <w:spacing w:after="156" w:afterLines="50" w:line="360" w:lineRule="auto"/>
        <w:ind w:right="-38" w:firstLine="480" w:firstLineChars="2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此页无正文，为甘肃省第二人民医院与</w:t>
      </w:r>
      <w:r>
        <w:rPr>
          <w:rFonts w:hint="eastAsia" w:asciiTheme="majorEastAsia" w:hAnsiTheme="majorEastAsia" w:eastAsiaTheme="majorEastAsia" w:cstheme="majorEastAsia"/>
          <w:b w:val="0"/>
          <w:bCs w:val="0"/>
          <w:sz w:val="24"/>
          <w:szCs w:val="24"/>
          <w:highlight w:val="none"/>
          <w:lang w:val="en-US" w:eastAsia="zh-CN" w:bidi="ar"/>
        </w:rPr>
        <w:t>***************</w:t>
      </w:r>
      <w:r>
        <w:rPr>
          <w:rFonts w:hint="eastAsia" w:asciiTheme="majorEastAsia" w:hAnsiTheme="majorEastAsia" w:eastAsiaTheme="majorEastAsia" w:cstheme="majorEastAsia"/>
          <w:b w:val="0"/>
          <w:bCs w:val="0"/>
          <w:sz w:val="24"/>
          <w:szCs w:val="24"/>
          <w:highlight w:val="none"/>
          <w:lang w:bidi="ar"/>
        </w:rPr>
        <w:t>之间《甘肃省第二人民医院</w:t>
      </w: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设备采购项目合同》﹝合同编号:*****</w:t>
      </w:r>
      <w:r>
        <w:rPr>
          <w:rFonts w:hint="eastAsia" w:asciiTheme="majorEastAsia" w:hAnsiTheme="majorEastAsia" w:eastAsiaTheme="majorEastAsia" w:cstheme="majorEastAsia"/>
          <w:sz w:val="24"/>
          <w:szCs w:val="28"/>
          <w:highlight w:val="none"/>
          <w:lang w:bidi="ar"/>
        </w:rPr>
        <w:t>﹞之</w:t>
      </w:r>
      <w:r>
        <w:rPr>
          <w:rFonts w:hint="eastAsia" w:asciiTheme="majorEastAsia" w:hAnsiTheme="majorEastAsia" w:eastAsiaTheme="majorEastAsia" w:cstheme="majorEastAsia"/>
          <w:b w:val="0"/>
          <w:bCs w:val="0"/>
          <w:sz w:val="24"/>
          <w:szCs w:val="24"/>
          <w:highlight w:val="none"/>
          <w:lang w:bidi="ar"/>
        </w:rPr>
        <w:t>签署页</w:t>
      </w:r>
      <w:r>
        <w:rPr>
          <w:rFonts w:hint="eastAsia" w:asciiTheme="majorEastAsia" w:hAnsiTheme="majorEastAsia" w:eastAsiaTheme="majorEastAsia" w:cstheme="majorEastAsia"/>
          <w:sz w:val="24"/>
          <w:szCs w:val="28"/>
          <w:highlight w:val="none"/>
          <w:lang w:bidi="ar"/>
        </w:rPr>
        <w:t>）</w:t>
      </w:r>
    </w:p>
    <w:tbl>
      <w:tblPr>
        <w:tblStyle w:val="39"/>
        <w:tblW w:w="1035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0"/>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5460" w:type="dxa"/>
          </w:tcPr>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甲方（公章）：甘肃省第二人民医院             </w:t>
            </w:r>
            <w:r>
              <w:rPr>
                <w:rFonts w:hint="eastAsia" w:asciiTheme="majorEastAsia" w:hAnsiTheme="majorEastAsia" w:eastAsiaTheme="majorEastAsia" w:cstheme="majorEastAsia"/>
                <w:sz w:val="24"/>
                <w:highlight w:val="none"/>
                <w:lang w:val="en-US" w:eastAsia="zh-CN"/>
              </w:rPr>
              <w:t>通讯</w:t>
            </w:r>
            <w:r>
              <w:rPr>
                <w:rFonts w:hint="eastAsia" w:asciiTheme="majorEastAsia" w:hAnsiTheme="majorEastAsia" w:eastAsiaTheme="majorEastAsia" w:cstheme="majorEastAsia"/>
                <w:sz w:val="24"/>
                <w:highlight w:val="none"/>
              </w:rPr>
              <w:t xml:space="preserve">地址：兰州市城关区和政西街1号 </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电话:0931-4923487                          </w:t>
            </w:r>
            <w:r>
              <w:rPr>
                <w:rFonts w:hint="eastAsia" w:asciiTheme="majorEastAsia" w:hAnsiTheme="majorEastAsia" w:eastAsiaTheme="majorEastAsia" w:cstheme="majorEastAsia"/>
                <w:sz w:val="24"/>
                <w:highlight w:val="none"/>
                <w:lang w:val="en-US" w:eastAsia="zh-CN"/>
              </w:rPr>
              <w:t>通讯电子邮箱</w:t>
            </w:r>
            <w:r>
              <w:rPr>
                <w:rFonts w:hint="eastAsia" w:asciiTheme="majorEastAsia" w:hAnsiTheme="majorEastAsia" w:eastAsiaTheme="majorEastAsia" w:cstheme="majorEastAsia"/>
                <w:sz w:val="24"/>
                <w:highlight w:val="none"/>
              </w:rPr>
              <w:t>:730000</w:t>
            </w:r>
          </w:p>
        </w:tc>
        <w:tc>
          <w:tcPr>
            <w:tcW w:w="4890" w:type="dxa"/>
          </w:tcPr>
          <w:p>
            <w:pPr>
              <w:spacing w:line="360" w:lineRule="auto"/>
              <w:jc w:val="left"/>
              <w:rPr>
                <w:rFonts w:hint="eastAsia" w:asciiTheme="majorEastAsia" w:hAnsiTheme="majorEastAsia" w:eastAsiaTheme="majorEastAsia" w:cstheme="majorEastAsia"/>
                <w:sz w:val="24"/>
                <w:highlight w:val="none"/>
                <w:lang w:val="en-US" w:eastAsia="zh-CN"/>
              </w:rPr>
            </w:pPr>
            <w:r>
              <w:rPr>
                <w:rFonts w:hint="eastAsia" w:asciiTheme="majorEastAsia" w:hAnsiTheme="majorEastAsia" w:eastAsiaTheme="majorEastAsia" w:cstheme="majorEastAsia"/>
                <w:sz w:val="24"/>
                <w:highlight w:val="none"/>
              </w:rPr>
              <w:t>乙方（公章）：</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val="en-US" w:eastAsia="zh-CN"/>
              </w:rPr>
              <w:t>通讯</w:t>
            </w:r>
            <w:r>
              <w:rPr>
                <w:rFonts w:hint="eastAsia" w:asciiTheme="majorEastAsia" w:hAnsiTheme="majorEastAsia" w:eastAsiaTheme="majorEastAsia" w:cstheme="majorEastAsia"/>
                <w:sz w:val="24"/>
                <w:highlight w:val="none"/>
              </w:rPr>
              <w:t xml:space="preserve">地址：                                  电话:                     </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val="en-US" w:eastAsia="zh-CN"/>
              </w:rPr>
              <w:t>通讯电子邮箱</w:t>
            </w:r>
            <w:r>
              <w:rPr>
                <w:rFonts w:hint="eastAsia" w:asciiTheme="majorEastAsia" w:hAnsiTheme="majorEastAsia" w:eastAsiaTheme="majorEastAsia" w:cstheme="majorEastAsia"/>
                <w:sz w:val="24"/>
                <w:highlight w:val="none"/>
              </w:rPr>
              <w:t>:</w:t>
            </w:r>
            <w:r>
              <w:rPr>
                <w:rFonts w:hint="eastAsia" w:asciiTheme="majorEastAsia" w:hAnsiTheme="majorEastAsia" w:eastAsiaTheme="majorEastAsia" w:cstheme="major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46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甲方法定代表人</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或授权委托人： </w:t>
            </w:r>
          </w:p>
          <w:p>
            <w:pPr>
              <w:widowControl/>
              <w:spacing w:line="360" w:lineRule="auto"/>
              <w:ind w:firstLine="1920" w:firstLineChars="8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2400" w:firstLineChars="10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c>
          <w:tcPr>
            <w:tcW w:w="489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乙方法定代表人或</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授权委托人： </w:t>
            </w:r>
          </w:p>
          <w:p>
            <w:pPr>
              <w:widowControl/>
              <w:spacing w:line="360" w:lineRule="auto"/>
              <w:ind w:firstLine="1200" w:firstLineChars="5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200" w:firstLineChars="5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5460" w:type="dxa"/>
          </w:tcPr>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pStyle w:val="237"/>
              <w:ind w:firstLine="1040" w:firstLineChars="400"/>
              <w:rPr>
                <w:rFonts w:hint="eastAsia" w:asciiTheme="majorEastAsia" w:hAnsiTheme="majorEastAsia" w:eastAsiaTheme="majorEastAsia" w:cstheme="majorEastAsia"/>
                <w:color w:val="000000"/>
                <w:kern w:val="0"/>
                <w:sz w:val="24"/>
                <w:highlight w:val="none"/>
                <w:lang w:bidi="ar"/>
              </w:rPr>
            </w:pPr>
          </w:p>
          <w:p>
            <w:pPr>
              <w:pStyle w:val="237"/>
              <w:ind w:firstLine="1040" w:firstLineChars="400"/>
              <w:rPr>
                <w:rFonts w:hint="eastAsia" w:asciiTheme="majorEastAsia" w:hAnsiTheme="majorEastAsia" w:eastAsiaTheme="majorEastAsia" w:cstheme="majorEastAsia"/>
                <w:color w:val="000000"/>
                <w:kern w:val="0"/>
                <w:sz w:val="24"/>
                <w:highlight w:val="none"/>
                <w:lang w:bidi="ar"/>
              </w:rPr>
            </w:pPr>
          </w:p>
          <w:p>
            <w:pPr>
              <w:pStyle w:val="237"/>
              <w:ind w:firstLine="2080" w:firstLineChars="8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c>
          <w:tcPr>
            <w:tcW w:w="4890" w:type="dxa"/>
          </w:tcPr>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720" w:firstLineChars="3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460" w:type="dxa"/>
          </w:tcPr>
          <w:p>
            <w:pPr>
              <w:widowControl/>
              <w:spacing w:line="36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237"/>
              <w:ind w:firstLine="1360" w:firstLineChars="400"/>
              <w:rPr>
                <w:rFonts w:hint="eastAsia" w:asciiTheme="majorEastAsia" w:hAnsiTheme="majorEastAsia" w:eastAsiaTheme="majorEastAsia" w:cstheme="majorEastAsia"/>
                <w:color w:val="000000"/>
                <w:sz w:val="32"/>
                <w:szCs w:val="32"/>
                <w:highlight w:val="none"/>
                <w:lang w:bidi="ar"/>
              </w:rPr>
            </w:pPr>
          </w:p>
          <w:p>
            <w:pPr>
              <w:widowControl/>
              <w:spacing w:line="360" w:lineRule="auto"/>
              <w:jc w:val="left"/>
              <w:rPr>
                <w:rFonts w:hint="eastAsia" w:asciiTheme="majorEastAsia" w:hAnsiTheme="majorEastAsia" w:eastAsiaTheme="majorEastAsia" w:cstheme="majorEastAsia"/>
                <w:color w:val="000000"/>
                <w:sz w:val="24"/>
                <w:szCs w:val="32"/>
                <w:highlight w:val="none"/>
                <w:lang w:bidi="ar"/>
              </w:rPr>
            </w:pPr>
          </w:p>
          <w:p>
            <w:pPr>
              <w:widowControl/>
              <w:spacing w:line="360" w:lineRule="auto"/>
              <w:ind w:firstLine="1920" w:firstLineChars="800"/>
              <w:jc w:val="left"/>
              <w:rPr>
                <w:rFonts w:hint="eastAsia"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年  </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月 </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日</w:t>
            </w:r>
          </w:p>
        </w:tc>
        <w:tc>
          <w:tcPr>
            <w:tcW w:w="4890" w:type="dxa"/>
          </w:tcPr>
          <w:p>
            <w:pPr>
              <w:widowControl/>
              <w:spacing w:line="360" w:lineRule="auto"/>
              <w:jc w:val="left"/>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237"/>
              <w:ind w:firstLine="1360" w:firstLineChars="400"/>
              <w:rPr>
                <w:rFonts w:hint="eastAsia" w:asciiTheme="majorEastAsia" w:hAnsiTheme="majorEastAsia" w:eastAsiaTheme="majorEastAsia" w:cstheme="majorEastAsia"/>
                <w:color w:val="000000"/>
                <w:sz w:val="32"/>
                <w:szCs w:val="32"/>
                <w:highlight w:val="none"/>
                <w:lang w:bidi="ar"/>
              </w:rPr>
            </w:pPr>
          </w:p>
          <w:p>
            <w:pPr>
              <w:widowControl/>
              <w:spacing w:line="360" w:lineRule="auto"/>
              <w:ind w:firstLine="480" w:firstLineChars="200"/>
              <w:jc w:val="left"/>
              <w:rPr>
                <w:rFonts w:hint="eastAsia" w:asciiTheme="majorEastAsia" w:hAnsiTheme="majorEastAsia" w:eastAsiaTheme="majorEastAsia" w:cstheme="majorEastAsia"/>
                <w:color w:val="000000"/>
                <w:sz w:val="24"/>
                <w:szCs w:val="32"/>
                <w:highlight w:val="none"/>
                <w:lang w:bidi="ar"/>
              </w:rPr>
            </w:pPr>
          </w:p>
          <w:p>
            <w:pPr>
              <w:widowControl/>
              <w:spacing w:line="360" w:lineRule="auto"/>
              <w:ind w:firstLine="1680" w:firstLineChars="700"/>
              <w:jc w:val="left"/>
              <w:rPr>
                <w:rFonts w:hint="eastAsia"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w:t>
            </w:r>
            <w:r>
              <w:rPr>
                <w:rFonts w:hint="eastAsia" w:asciiTheme="majorEastAsia" w:hAnsiTheme="majorEastAsia" w:eastAsiaTheme="majorEastAsia" w:cstheme="majorEastAsia"/>
                <w:color w:val="000000"/>
                <w:sz w:val="24"/>
                <w:szCs w:val="32"/>
                <w:highlight w:val="none"/>
                <w:lang w:val="en-US" w:eastAsia="zh-CN" w:bidi="ar"/>
              </w:rPr>
              <w:t xml:space="preserve">  </w:t>
            </w:r>
            <w:r>
              <w:rPr>
                <w:rFonts w:hint="eastAsia" w:asciiTheme="majorEastAsia" w:hAnsiTheme="majorEastAsia" w:eastAsiaTheme="majorEastAsia" w:cstheme="majorEastAsia"/>
                <w:color w:val="000000"/>
                <w:sz w:val="24"/>
                <w:szCs w:val="32"/>
                <w:highlight w:val="none"/>
                <w:lang w:bidi="ar"/>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460" w:type="dxa"/>
          </w:tcPr>
          <w:p>
            <w:pPr>
              <w:widowControl/>
              <w:spacing w:line="360" w:lineRule="auto"/>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开户行： </w:t>
            </w:r>
          </w:p>
          <w:p>
            <w:pPr>
              <w:widowControl/>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c>
          <w:tcPr>
            <w:tcW w:w="4890" w:type="dxa"/>
          </w:tcPr>
          <w:p>
            <w:pPr>
              <w:widowControl/>
              <w:spacing w:line="360" w:lineRule="auto"/>
              <w:ind w:firstLine="240" w:firstLineChars="100"/>
              <w:jc w:val="left"/>
              <w:rPr>
                <w:rFonts w:hint="eastAsia" w:asciiTheme="majorEastAsia" w:hAnsiTheme="majorEastAsia" w:eastAsiaTheme="majorEastAsia" w:cstheme="majorEastAsia"/>
                <w:color w:val="000000"/>
                <w:kern w:val="0"/>
                <w:sz w:val="24"/>
                <w:highlight w:val="none"/>
                <w:lang w:bidi="ar"/>
              </w:rPr>
            </w:pPr>
          </w:p>
          <w:p>
            <w:pPr>
              <w:widowControl/>
              <w:spacing w:line="360" w:lineRule="auto"/>
              <w:ind w:firstLine="240" w:firstLineChars="1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开户行：</w:t>
            </w:r>
          </w:p>
          <w:p>
            <w:pPr>
              <w:widowControl/>
              <w:spacing w:line="360" w:lineRule="auto"/>
              <w:ind w:firstLine="480" w:firstLineChars="200"/>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r>
    </w:tbl>
    <w:p>
      <w:pPr>
        <w:pStyle w:val="15"/>
        <w:ind w:left="0" w:leftChars="0" w:firstLine="0" w:firstLineChars="0"/>
        <w:rPr>
          <w:highlight w:val="none"/>
        </w:rPr>
      </w:pPr>
    </w:p>
    <w:sectPr>
      <w:headerReference r:id="rId25" w:type="first"/>
      <w:headerReference r:id="rId24" w:type="default"/>
      <w:footerReference r:id="rId26" w:type="default"/>
      <w:pgSz w:w="11905" w:h="16838"/>
      <w:pgMar w:top="1077" w:right="1134" w:bottom="1077" w:left="1417" w:header="850" w:footer="992" w:gutter="0"/>
      <w:pgNumType w:fmt="decimal"/>
      <w:cols w:space="0" w:num="1"/>
      <w:docGrid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lucida grand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3" o:spid="_x0000_s308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4" o:spid="_x0000_s308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5" o:spid="_x0000_s308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6" o:spid="_x0000_s308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7" o:spid="_x0000_s308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47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3088" o:spid="_x0000_s308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60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hint="eastAsia" w:ascii="华文楷体" w:hAnsi="华文楷体" w:eastAsia="华文楷体" w:cs="华文楷体"/>
        <w:sz w:val="21"/>
        <w:szCs w:val="21"/>
        <w:u w:val="single"/>
      </w:rPr>
      <w:t xml:space="preserve">                                                    公开招标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328"/>
      </w:tabs>
      <w:jc w:val="left"/>
    </w:pPr>
    <w:r>
      <w:rPr>
        <w:rFonts w:hint="eastAsia" w:ascii="华文楷体" w:hAnsi="华文楷体" w:eastAsia="华文楷体" w:cs="华文楷体"/>
        <w:sz w:val="21"/>
        <w:szCs w:val="21"/>
        <w:u w:val="single"/>
      </w:rPr>
      <w:t xml:space="preserve">                                                         公开招标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EE3D6"/>
    <w:multiLevelType w:val="singleLevel"/>
    <w:tmpl w:val="A36EE3D6"/>
    <w:lvl w:ilvl="0" w:tentative="0">
      <w:start w:val="1"/>
      <w:numFmt w:val="decimal"/>
      <w:suff w:val="nothing"/>
      <w:lvlText w:val="（%1）"/>
      <w:lvlJc w:val="left"/>
    </w:lvl>
  </w:abstractNum>
  <w:abstractNum w:abstractNumId="1">
    <w:nsid w:val="AA42A4A6"/>
    <w:multiLevelType w:val="singleLevel"/>
    <w:tmpl w:val="AA42A4A6"/>
    <w:lvl w:ilvl="0" w:tentative="0">
      <w:start w:val="1"/>
      <w:numFmt w:val="decimal"/>
      <w:lvlText w:val="%1."/>
      <w:lvlJc w:val="left"/>
      <w:pPr>
        <w:tabs>
          <w:tab w:val="left" w:pos="312"/>
        </w:tabs>
      </w:pPr>
      <w:rPr>
        <w:rFonts w:hint="default"/>
        <w:color w:val="000000" w:themeColor="text1"/>
      </w:rPr>
    </w:lvl>
  </w:abstractNum>
  <w:abstractNum w:abstractNumId="2">
    <w:nsid w:val="0000000B"/>
    <w:multiLevelType w:val="multilevel"/>
    <w:tmpl w:val="0000000B"/>
    <w:lvl w:ilvl="0" w:tentative="0">
      <w:start w:val="1"/>
      <w:numFmt w:val="decimal"/>
      <w:lvlText w:val="%1"/>
      <w:lvlJc w:val="left"/>
      <w:pPr>
        <w:tabs>
          <w:tab w:val="left" w:pos="170"/>
        </w:tabs>
        <w:ind w:left="-70" w:firstLine="170"/>
      </w:pPr>
      <w:rPr>
        <w:rFonts w:hint="default" w:cs="Times New Roman"/>
      </w:rPr>
    </w:lvl>
    <w:lvl w:ilvl="1" w:tentative="0">
      <w:start w:val="1"/>
      <w:numFmt w:val="decimal"/>
      <w:lvlText w:val="%2)"/>
      <w:lvlJc w:val="left"/>
      <w:pPr>
        <w:tabs>
          <w:tab w:val="left" w:pos="590"/>
        </w:tabs>
        <w:ind w:left="590" w:hanging="420"/>
      </w:pPr>
      <w:rPr>
        <w:rFonts w:hint="default"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japaneseCounting"/>
      <w:lvlText w:val="%4、"/>
      <w:lvlJc w:val="left"/>
      <w:pPr>
        <w:tabs>
          <w:tab w:val="left" w:pos="2220"/>
        </w:tabs>
        <w:ind w:left="2220" w:hanging="960"/>
      </w:pPr>
      <w:rPr>
        <w:rFonts w:hint="default" w:cs="Times New Roman"/>
      </w:rPr>
    </w:lvl>
    <w:lvl w:ilvl="4" w:tentative="0">
      <w:start w:val="1"/>
      <w:numFmt w:val="decimal"/>
      <w:lvlText w:val="%5）"/>
      <w:lvlJc w:val="left"/>
      <w:pPr>
        <w:tabs>
          <w:tab w:val="left" w:pos="2040"/>
        </w:tabs>
        <w:ind w:left="2040" w:hanging="36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9EBEE6F"/>
    <w:multiLevelType w:val="singleLevel"/>
    <w:tmpl w:val="39EBEE6F"/>
    <w:lvl w:ilvl="0" w:tentative="0">
      <w:start w:val="23"/>
      <w:numFmt w:val="decimal"/>
      <w:lvlText w:val="%1."/>
      <w:lvlJc w:val="left"/>
      <w:pPr>
        <w:tabs>
          <w:tab w:val="left" w:pos="312"/>
        </w:tabs>
      </w:pPr>
    </w:lvl>
  </w:abstractNum>
  <w:abstractNum w:abstractNumId="4">
    <w:nsid w:val="53E10F40"/>
    <w:multiLevelType w:val="singleLevel"/>
    <w:tmpl w:val="53E10F40"/>
    <w:lvl w:ilvl="0" w:tentative="0">
      <w:start w:val="1"/>
      <w:numFmt w:val="chineseCounting"/>
      <w:suff w:val="nothing"/>
      <w:lvlText w:val="%1、"/>
      <w:lvlJc w:val="left"/>
      <w:rPr>
        <w:rFonts w:hint="eastAsia"/>
      </w:rPr>
    </w:lvl>
  </w:abstractNum>
  <w:abstractNum w:abstractNumId="5">
    <w:nsid w:val="58EEE2A9"/>
    <w:multiLevelType w:val="singleLevel"/>
    <w:tmpl w:val="58EEE2A9"/>
    <w:lvl w:ilvl="0" w:tentative="0">
      <w:start w:val="1"/>
      <w:numFmt w:val="decimal"/>
      <w:suff w:val="space"/>
      <w:lvlText w:val="%1)"/>
      <w:lvlJc w:val="left"/>
    </w:lvl>
  </w:abstractNum>
  <w:abstractNum w:abstractNumId="6">
    <w:nsid w:val="59DF3391"/>
    <w:multiLevelType w:val="singleLevel"/>
    <w:tmpl w:val="59DF3391"/>
    <w:lvl w:ilvl="0" w:tentative="0">
      <w:start w:val="7"/>
      <w:numFmt w:val="decimal"/>
      <w:suff w:val="space"/>
      <w:lvlText w:val="%1."/>
      <w:lvlJc w:val="left"/>
    </w:lvl>
  </w:abstractNum>
  <w:abstractNum w:abstractNumId="7">
    <w:nsid w:val="67C040B1"/>
    <w:multiLevelType w:val="singleLevel"/>
    <w:tmpl w:val="67C040B1"/>
    <w:lvl w:ilvl="0" w:tentative="0">
      <w:start w:val="2"/>
      <w:numFmt w:val="decimal"/>
      <w:lvlText w:val="%1."/>
      <w:lvlJc w:val="left"/>
      <w:pPr>
        <w:tabs>
          <w:tab w:val="left" w:pos="312"/>
        </w:tabs>
      </w:pPr>
    </w:lvl>
  </w:abstractNum>
  <w:abstractNum w:abstractNumId="8">
    <w:nsid w:val="7DB1AA8B"/>
    <w:multiLevelType w:val="singleLevel"/>
    <w:tmpl w:val="7DB1AA8B"/>
    <w:lvl w:ilvl="0" w:tentative="0">
      <w:start w:val="3"/>
      <w:numFmt w:val="decimal"/>
      <w:suff w:val="nothing"/>
      <w:lvlText w:val="%1）"/>
      <w:lvlJc w:val="left"/>
    </w:lvl>
  </w:abstractNum>
  <w:num w:numId="1">
    <w:abstractNumId w:val="2"/>
  </w:num>
  <w:num w:numId="2">
    <w:abstractNumId w:val="5"/>
  </w:num>
  <w:num w:numId="3">
    <w:abstractNumId w:val="8"/>
  </w:num>
  <w:num w:numId="4">
    <w:abstractNumId w:val="6"/>
  </w:num>
  <w:num w:numId="5">
    <w:abstractNumId w:val="3"/>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WFlMTJkOTEyOTE1YThjZWNiZWI2N2I2MjgxZjNiZWYifQ=="/>
  </w:docVars>
  <w:rsids>
    <w:rsidRoot w:val="00172A27"/>
    <w:rsid w:val="00005E8B"/>
    <w:rsid w:val="00016540"/>
    <w:rsid w:val="00016EA8"/>
    <w:rsid w:val="000205D6"/>
    <w:rsid w:val="00023E78"/>
    <w:rsid w:val="00024036"/>
    <w:rsid w:val="0002633E"/>
    <w:rsid w:val="00027214"/>
    <w:rsid w:val="00027C89"/>
    <w:rsid w:val="00030BC0"/>
    <w:rsid w:val="00036C41"/>
    <w:rsid w:val="0006156D"/>
    <w:rsid w:val="00065929"/>
    <w:rsid w:val="000806F8"/>
    <w:rsid w:val="00090156"/>
    <w:rsid w:val="00095ADC"/>
    <w:rsid w:val="000A4723"/>
    <w:rsid w:val="000A54C6"/>
    <w:rsid w:val="000A7147"/>
    <w:rsid w:val="000B02D2"/>
    <w:rsid w:val="000B0B17"/>
    <w:rsid w:val="000B1057"/>
    <w:rsid w:val="000B37F1"/>
    <w:rsid w:val="000C2B40"/>
    <w:rsid w:val="000D2F70"/>
    <w:rsid w:val="000D74B3"/>
    <w:rsid w:val="000E1F78"/>
    <w:rsid w:val="000F0960"/>
    <w:rsid w:val="000F0FA8"/>
    <w:rsid w:val="000F56C8"/>
    <w:rsid w:val="000F7A85"/>
    <w:rsid w:val="00100BE5"/>
    <w:rsid w:val="00100D66"/>
    <w:rsid w:val="00102231"/>
    <w:rsid w:val="0011500D"/>
    <w:rsid w:val="00120F2E"/>
    <w:rsid w:val="001213FA"/>
    <w:rsid w:val="00122849"/>
    <w:rsid w:val="00123327"/>
    <w:rsid w:val="001240E3"/>
    <w:rsid w:val="00127D99"/>
    <w:rsid w:val="001413F5"/>
    <w:rsid w:val="00147D9B"/>
    <w:rsid w:val="00150B9D"/>
    <w:rsid w:val="0016381F"/>
    <w:rsid w:val="00164FD0"/>
    <w:rsid w:val="00172A27"/>
    <w:rsid w:val="0017446C"/>
    <w:rsid w:val="00174822"/>
    <w:rsid w:val="00180DAF"/>
    <w:rsid w:val="001813F9"/>
    <w:rsid w:val="00184EB4"/>
    <w:rsid w:val="00191639"/>
    <w:rsid w:val="00196C24"/>
    <w:rsid w:val="001973EF"/>
    <w:rsid w:val="001A1CAB"/>
    <w:rsid w:val="001A4458"/>
    <w:rsid w:val="001B0E71"/>
    <w:rsid w:val="001B1348"/>
    <w:rsid w:val="001C062A"/>
    <w:rsid w:val="001C4A48"/>
    <w:rsid w:val="001C6FB6"/>
    <w:rsid w:val="001D4AEB"/>
    <w:rsid w:val="001D61EF"/>
    <w:rsid w:val="001E17B2"/>
    <w:rsid w:val="001E7046"/>
    <w:rsid w:val="001F4B6B"/>
    <w:rsid w:val="001F53DE"/>
    <w:rsid w:val="002011B4"/>
    <w:rsid w:val="002069BA"/>
    <w:rsid w:val="00231718"/>
    <w:rsid w:val="002731A3"/>
    <w:rsid w:val="0028785B"/>
    <w:rsid w:val="002A5147"/>
    <w:rsid w:val="002A6D46"/>
    <w:rsid w:val="002B43E3"/>
    <w:rsid w:val="002B5C60"/>
    <w:rsid w:val="002C5AF7"/>
    <w:rsid w:val="002D1A1B"/>
    <w:rsid w:val="002E56F4"/>
    <w:rsid w:val="002E68A1"/>
    <w:rsid w:val="002F14E3"/>
    <w:rsid w:val="00306123"/>
    <w:rsid w:val="00306B69"/>
    <w:rsid w:val="00310639"/>
    <w:rsid w:val="00312AFC"/>
    <w:rsid w:val="00321D51"/>
    <w:rsid w:val="003276DF"/>
    <w:rsid w:val="00343320"/>
    <w:rsid w:val="00351EE6"/>
    <w:rsid w:val="00354FA5"/>
    <w:rsid w:val="00362FF6"/>
    <w:rsid w:val="003713EE"/>
    <w:rsid w:val="00381576"/>
    <w:rsid w:val="00383A43"/>
    <w:rsid w:val="00386768"/>
    <w:rsid w:val="00391524"/>
    <w:rsid w:val="003947E4"/>
    <w:rsid w:val="003A45ED"/>
    <w:rsid w:val="003A69E0"/>
    <w:rsid w:val="003C3821"/>
    <w:rsid w:val="003C50F6"/>
    <w:rsid w:val="003E6A99"/>
    <w:rsid w:val="003F0D4A"/>
    <w:rsid w:val="004048DD"/>
    <w:rsid w:val="00405496"/>
    <w:rsid w:val="00411847"/>
    <w:rsid w:val="004132B0"/>
    <w:rsid w:val="00414B4E"/>
    <w:rsid w:val="004210F8"/>
    <w:rsid w:val="004222FF"/>
    <w:rsid w:val="00425377"/>
    <w:rsid w:val="00426B9A"/>
    <w:rsid w:val="00433769"/>
    <w:rsid w:val="004364F3"/>
    <w:rsid w:val="00456445"/>
    <w:rsid w:val="00461720"/>
    <w:rsid w:val="00461F58"/>
    <w:rsid w:val="00477EBA"/>
    <w:rsid w:val="0048310F"/>
    <w:rsid w:val="00487E1B"/>
    <w:rsid w:val="004918A4"/>
    <w:rsid w:val="00492A9A"/>
    <w:rsid w:val="004946B4"/>
    <w:rsid w:val="004A013C"/>
    <w:rsid w:val="004A0B12"/>
    <w:rsid w:val="004A2FC5"/>
    <w:rsid w:val="004B08EF"/>
    <w:rsid w:val="004B7CBA"/>
    <w:rsid w:val="004D1F12"/>
    <w:rsid w:val="004D250C"/>
    <w:rsid w:val="004D5C06"/>
    <w:rsid w:val="004D5FD7"/>
    <w:rsid w:val="004E20E8"/>
    <w:rsid w:val="004E74E4"/>
    <w:rsid w:val="00507C46"/>
    <w:rsid w:val="00512652"/>
    <w:rsid w:val="00530AB3"/>
    <w:rsid w:val="00530B56"/>
    <w:rsid w:val="005334C1"/>
    <w:rsid w:val="00551038"/>
    <w:rsid w:val="00551A79"/>
    <w:rsid w:val="0055390E"/>
    <w:rsid w:val="00556ED6"/>
    <w:rsid w:val="005619F1"/>
    <w:rsid w:val="005642A4"/>
    <w:rsid w:val="00566DFD"/>
    <w:rsid w:val="00574557"/>
    <w:rsid w:val="0058302F"/>
    <w:rsid w:val="00586E8F"/>
    <w:rsid w:val="005905F8"/>
    <w:rsid w:val="00593826"/>
    <w:rsid w:val="005959EC"/>
    <w:rsid w:val="0059730A"/>
    <w:rsid w:val="005A179C"/>
    <w:rsid w:val="005C0563"/>
    <w:rsid w:val="005C0CEB"/>
    <w:rsid w:val="005C1368"/>
    <w:rsid w:val="005C1A02"/>
    <w:rsid w:val="005E0129"/>
    <w:rsid w:val="005E016F"/>
    <w:rsid w:val="005E0B9F"/>
    <w:rsid w:val="005F120A"/>
    <w:rsid w:val="005F3B6D"/>
    <w:rsid w:val="005F4C51"/>
    <w:rsid w:val="00600113"/>
    <w:rsid w:val="00603F3A"/>
    <w:rsid w:val="00611683"/>
    <w:rsid w:val="00613DDF"/>
    <w:rsid w:val="006244AD"/>
    <w:rsid w:val="00633A05"/>
    <w:rsid w:val="00633BA6"/>
    <w:rsid w:val="006340B7"/>
    <w:rsid w:val="0063555B"/>
    <w:rsid w:val="006419D9"/>
    <w:rsid w:val="00644B56"/>
    <w:rsid w:val="0064528D"/>
    <w:rsid w:val="00645331"/>
    <w:rsid w:val="00647ED2"/>
    <w:rsid w:val="006562A2"/>
    <w:rsid w:val="00661B0D"/>
    <w:rsid w:val="0067520F"/>
    <w:rsid w:val="0067795C"/>
    <w:rsid w:val="006878FB"/>
    <w:rsid w:val="00687A77"/>
    <w:rsid w:val="006A1263"/>
    <w:rsid w:val="006A771B"/>
    <w:rsid w:val="006B0325"/>
    <w:rsid w:val="006B5F4E"/>
    <w:rsid w:val="006D5D81"/>
    <w:rsid w:val="006D68E1"/>
    <w:rsid w:val="006E1A19"/>
    <w:rsid w:val="006E219A"/>
    <w:rsid w:val="006E2553"/>
    <w:rsid w:val="006E499E"/>
    <w:rsid w:val="006F13A8"/>
    <w:rsid w:val="006F2B6C"/>
    <w:rsid w:val="006F2C3B"/>
    <w:rsid w:val="006F7C23"/>
    <w:rsid w:val="00702AE7"/>
    <w:rsid w:val="007055B9"/>
    <w:rsid w:val="00705B03"/>
    <w:rsid w:val="00706A57"/>
    <w:rsid w:val="00712275"/>
    <w:rsid w:val="007142C6"/>
    <w:rsid w:val="00714CEC"/>
    <w:rsid w:val="00735F3C"/>
    <w:rsid w:val="00736F00"/>
    <w:rsid w:val="007431A6"/>
    <w:rsid w:val="00744B8A"/>
    <w:rsid w:val="00750770"/>
    <w:rsid w:val="007562AB"/>
    <w:rsid w:val="007579C1"/>
    <w:rsid w:val="007627A2"/>
    <w:rsid w:val="00765020"/>
    <w:rsid w:val="007752CF"/>
    <w:rsid w:val="0077797E"/>
    <w:rsid w:val="00785655"/>
    <w:rsid w:val="00792109"/>
    <w:rsid w:val="00796808"/>
    <w:rsid w:val="007B2CE4"/>
    <w:rsid w:val="007C35DA"/>
    <w:rsid w:val="007C47C8"/>
    <w:rsid w:val="007D0C6E"/>
    <w:rsid w:val="007F2126"/>
    <w:rsid w:val="007F4B0B"/>
    <w:rsid w:val="007F57AF"/>
    <w:rsid w:val="00801023"/>
    <w:rsid w:val="008046CB"/>
    <w:rsid w:val="00804826"/>
    <w:rsid w:val="0081357E"/>
    <w:rsid w:val="00816F6A"/>
    <w:rsid w:val="00821A2E"/>
    <w:rsid w:val="008253B1"/>
    <w:rsid w:val="00831F84"/>
    <w:rsid w:val="00832450"/>
    <w:rsid w:val="008564B8"/>
    <w:rsid w:val="00857450"/>
    <w:rsid w:val="0086025B"/>
    <w:rsid w:val="008664B3"/>
    <w:rsid w:val="008709D9"/>
    <w:rsid w:val="00873A53"/>
    <w:rsid w:val="00880199"/>
    <w:rsid w:val="00884D0C"/>
    <w:rsid w:val="008A0489"/>
    <w:rsid w:val="008B619D"/>
    <w:rsid w:val="008C1F74"/>
    <w:rsid w:val="008D0D03"/>
    <w:rsid w:val="008D3F90"/>
    <w:rsid w:val="008D7608"/>
    <w:rsid w:val="008E0FF2"/>
    <w:rsid w:val="008E305E"/>
    <w:rsid w:val="008E4308"/>
    <w:rsid w:val="008E747D"/>
    <w:rsid w:val="008F1AE6"/>
    <w:rsid w:val="008F7C95"/>
    <w:rsid w:val="009143F5"/>
    <w:rsid w:val="0092154D"/>
    <w:rsid w:val="0092216E"/>
    <w:rsid w:val="009222F5"/>
    <w:rsid w:val="00924BA4"/>
    <w:rsid w:val="009345BF"/>
    <w:rsid w:val="00936DA1"/>
    <w:rsid w:val="00937F75"/>
    <w:rsid w:val="00951747"/>
    <w:rsid w:val="0095585C"/>
    <w:rsid w:val="0096402E"/>
    <w:rsid w:val="00977A6D"/>
    <w:rsid w:val="009847C1"/>
    <w:rsid w:val="0099654A"/>
    <w:rsid w:val="009A09E4"/>
    <w:rsid w:val="009A280C"/>
    <w:rsid w:val="009B490B"/>
    <w:rsid w:val="009B7946"/>
    <w:rsid w:val="009C5087"/>
    <w:rsid w:val="009E09B3"/>
    <w:rsid w:val="009E18BD"/>
    <w:rsid w:val="009E3662"/>
    <w:rsid w:val="009E4B52"/>
    <w:rsid w:val="009E5993"/>
    <w:rsid w:val="009E75EE"/>
    <w:rsid w:val="009F7FF1"/>
    <w:rsid w:val="00A0093B"/>
    <w:rsid w:val="00A15A3A"/>
    <w:rsid w:val="00A16843"/>
    <w:rsid w:val="00A21D22"/>
    <w:rsid w:val="00A24166"/>
    <w:rsid w:val="00A45902"/>
    <w:rsid w:val="00A467F2"/>
    <w:rsid w:val="00A50D4C"/>
    <w:rsid w:val="00A62488"/>
    <w:rsid w:val="00A724B2"/>
    <w:rsid w:val="00A754A8"/>
    <w:rsid w:val="00A80109"/>
    <w:rsid w:val="00A8188C"/>
    <w:rsid w:val="00A861FE"/>
    <w:rsid w:val="00A90214"/>
    <w:rsid w:val="00A974D4"/>
    <w:rsid w:val="00AA464B"/>
    <w:rsid w:val="00AD015B"/>
    <w:rsid w:val="00AD084B"/>
    <w:rsid w:val="00AD0BF8"/>
    <w:rsid w:val="00AE01B2"/>
    <w:rsid w:val="00AE6443"/>
    <w:rsid w:val="00AF783B"/>
    <w:rsid w:val="00B0181F"/>
    <w:rsid w:val="00B01F7D"/>
    <w:rsid w:val="00B037E7"/>
    <w:rsid w:val="00B049CA"/>
    <w:rsid w:val="00B04C8C"/>
    <w:rsid w:val="00B04DA7"/>
    <w:rsid w:val="00B338AE"/>
    <w:rsid w:val="00B445F0"/>
    <w:rsid w:val="00B44814"/>
    <w:rsid w:val="00B520D5"/>
    <w:rsid w:val="00B5483C"/>
    <w:rsid w:val="00B552D4"/>
    <w:rsid w:val="00B56E4B"/>
    <w:rsid w:val="00B60932"/>
    <w:rsid w:val="00B60EEC"/>
    <w:rsid w:val="00B71DCC"/>
    <w:rsid w:val="00B747B0"/>
    <w:rsid w:val="00B8565E"/>
    <w:rsid w:val="00B974C1"/>
    <w:rsid w:val="00BA6346"/>
    <w:rsid w:val="00BA7728"/>
    <w:rsid w:val="00BB3CC3"/>
    <w:rsid w:val="00BB4D8A"/>
    <w:rsid w:val="00BB66B9"/>
    <w:rsid w:val="00BB7948"/>
    <w:rsid w:val="00BC07CF"/>
    <w:rsid w:val="00BD0038"/>
    <w:rsid w:val="00BD18B7"/>
    <w:rsid w:val="00BD36C7"/>
    <w:rsid w:val="00BD7872"/>
    <w:rsid w:val="00BE1E6E"/>
    <w:rsid w:val="00BE2611"/>
    <w:rsid w:val="00BE51E9"/>
    <w:rsid w:val="00BE533E"/>
    <w:rsid w:val="00BF4AE3"/>
    <w:rsid w:val="00C07CD9"/>
    <w:rsid w:val="00C249B2"/>
    <w:rsid w:val="00C25897"/>
    <w:rsid w:val="00C2710C"/>
    <w:rsid w:val="00C27E00"/>
    <w:rsid w:val="00C30737"/>
    <w:rsid w:val="00C33DE4"/>
    <w:rsid w:val="00C353BC"/>
    <w:rsid w:val="00C37402"/>
    <w:rsid w:val="00C402F4"/>
    <w:rsid w:val="00C45CBF"/>
    <w:rsid w:val="00C52356"/>
    <w:rsid w:val="00C52EF9"/>
    <w:rsid w:val="00C5742F"/>
    <w:rsid w:val="00C60428"/>
    <w:rsid w:val="00C65402"/>
    <w:rsid w:val="00C66C62"/>
    <w:rsid w:val="00C6738B"/>
    <w:rsid w:val="00C72E81"/>
    <w:rsid w:val="00C805B7"/>
    <w:rsid w:val="00C85C8C"/>
    <w:rsid w:val="00C86C7F"/>
    <w:rsid w:val="00C8726D"/>
    <w:rsid w:val="00CB0802"/>
    <w:rsid w:val="00CB22FE"/>
    <w:rsid w:val="00CC50D5"/>
    <w:rsid w:val="00CD2693"/>
    <w:rsid w:val="00CE247C"/>
    <w:rsid w:val="00CE33DA"/>
    <w:rsid w:val="00CE5E81"/>
    <w:rsid w:val="00CF061B"/>
    <w:rsid w:val="00CF0DDB"/>
    <w:rsid w:val="00CF3D44"/>
    <w:rsid w:val="00CF4E06"/>
    <w:rsid w:val="00D060C6"/>
    <w:rsid w:val="00D123D1"/>
    <w:rsid w:val="00D1489A"/>
    <w:rsid w:val="00D17641"/>
    <w:rsid w:val="00D27C0F"/>
    <w:rsid w:val="00D30DB4"/>
    <w:rsid w:val="00D44F0E"/>
    <w:rsid w:val="00D52128"/>
    <w:rsid w:val="00D60EFC"/>
    <w:rsid w:val="00D74E4D"/>
    <w:rsid w:val="00D7794F"/>
    <w:rsid w:val="00D8569E"/>
    <w:rsid w:val="00D935A3"/>
    <w:rsid w:val="00D935D6"/>
    <w:rsid w:val="00DA3595"/>
    <w:rsid w:val="00DA526C"/>
    <w:rsid w:val="00DA61D9"/>
    <w:rsid w:val="00DB1D40"/>
    <w:rsid w:val="00DB35ED"/>
    <w:rsid w:val="00DD1518"/>
    <w:rsid w:val="00DD2902"/>
    <w:rsid w:val="00DF0CFF"/>
    <w:rsid w:val="00DF1AAE"/>
    <w:rsid w:val="00DF6B8A"/>
    <w:rsid w:val="00DF7A25"/>
    <w:rsid w:val="00E06CFC"/>
    <w:rsid w:val="00E0787E"/>
    <w:rsid w:val="00E14BF1"/>
    <w:rsid w:val="00E15028"/>
    <w:rsid w:val="00E24839"/>
    <w:rsid w:val="00E27B8F"/>
    <w:rsid w:val="00E33A8D"/>
    <w:rsid w:val="00E40B53"/>
    <w:rsid w:val="00E441BE"/>
    <w:rsid w:val="00E471DF"/>
    <w:rsid w:val="00E6071E"/>
    <w:rsid w:val="00E60B2F"/>
    <w:rsid w:val="00E60B82"/>
    <w:rsid w:val="00E64203"/>
    <w:rsid w:val="00E67EC2"/>
    <w:rsid w:val="00E71CD0"/>
    <w:rsid w:val="00E722FF"/>
    <w:rsid w:val="00E80036"/>
    <w:rsid w:val="00E80984"/>
    <w:rsid w:val="00E8128F"/>
    <w:rsid w:val="00E90D56"/>
    <w:rsid w:val="00E917EA"/>
    <w:rsid w:val="00E960F1"/>
    <w:rsid w:val="00EA07A3"/>
    <w:rsid w:val="00EA54A2"/>
    <w:rsid w:val="00EB4A76"/>
    <w:rsid w:val="00EB5BB5"/>
    <w:rsid w:val="00EB7B06"/>
    <w:rsid w:val="00EC0415"/>
    <w:rsid w:val="00EC5A27"/>
    <w:rsid w:val="00ED7122"/>
    <w:rsid w:val="00ED7E26"/>
    <w:rsid w:val="00EE3256"/>
    <w:rsid w:val="00EF23A6"/>
    <w:rsid w:val="00F05742"/>
    <w:rsid w:val="00F106A6"/>
    <w:rsid w:val="00F124E6"/>
    <w:rsid w:val="00F16214"/>
    <w:rsid w:val="00F222A3"/>
    <w:rsid w:val="00F24241"/>
    <w:rsid w:val="00F25072"/>
    <w:rsid w:val="00F25859"/>
    <w:rsid w:val="00F267F9"/>
    <w:rsid w:val="00F31A29"/>
    <w:rsid w:val="00F50634"/>
    <w:rsid w:val="00F508A5"/>
    <w:rsid w:val="00F512BC"/>
    <w:rsid w:val="00F53661"/>
    <w:rsid w:val="00F62AE4"/>
    <w:rsid w:val="00F67B7D"/>
    <w:rsid w:val="00F72819"/>
    <w:rsid w:val="00F75B8C"/>
    <w:rsid w:val="00F76F23"/>
    <w:rsid w:val="00F81BC0"/>
    <w:rsid w:val="00FA3ED2"/>
    <w:rsid w:val="00FA7025"/>
    <w:rsid w:val="00FB5ADA"/>
    <w:rsid w:val="00FB66B4"/>
    <w:rsid w:val="00FC16BF"/>
    <w:rsid w:val="00FC32A1"/>
    <w:rsid w:val="00FC357C"/>
    <w:rsid w:val="00FE5BC8"/>
    <w:rsid w:val="00FF641F"/>
    <w:rsid w:val="00FF6B44"/>
    <w:rsid w:val="01000AEE"/>
    <w:rsid w:val="010019D0"/>
    <w:rsid w:val="01064D5A"/>
    <w:rsid w:val="01092778"/>
    <w:rsid w:val="010B7708"/>
    <w:rsid w:val="011879AB"/>
    <w:rsid w:val="011A701F"/>
    <w:rsid w:val="0125503D"/>
    <w:rsid w:val="012E2022"/>
    <w:rsid w:val="012E64B9"/>
    <w:rsid w:val="0131475D"/>
    <w:rsid w:val="01382CCC"/>
    <w:rsid w:val="01383F6E"/>
    <w:rsid w:val="013D6317"/>
    <w:rsid w:val="013F4A62"/>
    <w:rsid w:val="014563A3"/>
    <w:rsid w:val="0149092B"/>
    <w:rsid w:val="014B4033"/>
    <w:rsid w:val="014C58AC"/>
    <w:rsid w:val="014E2032"/>
    <w:rsid w:val="01544F48"/>
    <w:rsid w:val="015805B4"/>
    <w:rsid w:val="01595B31"/>
    <w:rsid w:val="015A3297"/>
    <w:rsid w:val="015E201D"/>
    <w:rsid w:val="015E6229"/>
    <w:rsid w:val="0164494D"/>
    <w:rsid w:val="0165452B"/>
    <w:rsid w:val="016579CA"/>
    <w:rsid w:val="01657DF4"/>
    <w:rsid w:val="01664FD7"/>
    <w:rsid w:val="01685F3B"/>
    <w:rsid w:val="01687CAF"/>
    <w:rsid w:val="016976E9"/>
    <w:rsid w:val="016A4A3B"/>
    <w:rsid w:val="016F7181"/>
    <w:rsid w:val="017032A3"/>
    <w:rsid w:val="01712862"/>
    <w:rsid w:val="01773E6F"/>
    <w:rsid w:val="01777ABF"/>
    <w:rsid w:val="01795A77"/>
    <w:rsid w:val="017C156F"/>
    <w:rsid w:val="017F762D"/>
    <w:rsid w:val="017F76AA"/>
    <w:rsid w:val="01815BF3"/>
    <w:rsid w:val="0183453D"/>
    <w:rsid w:val="01856F8A"/>
    <w:rsid w:val="018B11B8"/>
    <w:rsid w:val="018D025D"/>
    <w:rsid w:val="0192165F"/>
    <w:rsid w:val="01962998"/>
    <w:rsid w:val="0198424C"/>
    <w:rsid w:val="01991D8A"/>
    <w:rsid w:val="019B1941"/>
    <w:rsid w:val="019D382B"/>
    <w:rsid w:val="01A67073"/>
    <w:rsid w:val="01AE3E29"/>
    <w:rsid w:val="01B92F8C"/>
    <w:rsid w:val="01C24349"/>
    <w:rsid w:val="01C80F47"/>
    <w:rsid w:val="01C84AAD"/>
    <w:rsid w:val="01D45295"/>
    <w:rsid w:val="01DD7567"/>
    <w:rsid w:val="01DE2A94"/>
    <w:rsid w:val="01E26026"/>
    <w:rsid w:val="01E30256"/>
    <w:rsid w:val="01E421E3"/>
    <w:rsid w:val="01E70138"/>
    <w:rsid w:val="01EE495C"/>
    <w:rsid w:val="01FD4B1B"/>
    <w:rsid w:val="02073AF3"/>
    <w:rsid w:val="02095A24"/>
    <w:rsid w:val="02110EE6"/>
    <w:rsid w:val="0219436E"/>
    <w:rsid w:val="02207100"/>
    <w:rsid w:val="02266682"/>
    <w:rsid w:val="022E43A7"/>
    <w:rsid w:val="02337718"/>
    <w:rsid w:val="02376B93"/>
    <w:rsid w:val="023D0F0F"/>
    <w:rsid w:val="023D6541"/>
    <w:rsid w:val="02401A9F"/>
    <w:rsid w:val="02431959"/>
    <w:rsid w:val="024D126B"/>
    <w:rsid w:val="025367CF"/>
    <w:rsid w:val="02582E79"/>
    <w:rsid w:val="025C1FED"/>
    <w:rsid w:val="025F09D3"/>
    <w:rsid w:val="02617CD3"/>
    <w:rsid w:val="026636FD"/>
    <w:rsid w:val="027125EB"/>
    <w:rsid w:val="0277611D"/>
    <w:rsid w:val="027C0D70"/>
    <w:rsid w:val="027E052C"/>
    <w:rsid w:val="0285372F"/>
    <w:rsid w:val="02882FE0"/>
    <w:rsid w:val="028E207A"/>
    <w:rsid w:val="0292487B"/>
    <w:rsid w:val="02926D83"/>
    <w:rsid w:val="02AB7D2E"/>
    <w:rsid w:val="02AC2C71"/>
    <w:rsid w:val="02AE27AC"/>
    <w:rsid w:val="02AE727F"/>
    <w:rsid w:val="02B06DF4"/>
    <w:rsid w:val="02B479E7"/>
    <w:rsid w:val="02BB3B66"/>
    <w:rsid w:val="02BB5184"/>
    <w:rsid w:val="02C47ACC"/>
    <w:rsid w:val="02C7781E"/>
    <w:rsid w:val="02C97591"/>
    <w:rsid w:val="02D01B61"/>
    <w:rsid w:val="02D03F4F"/>
    <w:rsid w:val="02D40F7C"/>
    <w:rsid w:val="02E024FB"/>
    <w:rsid w:val="02E94FE9"/>
    <w:rsid w:val="02F422D4"/>
    <w:rsid w:val="02F528B7"/>
    <w:rsid w:val="02F872EF"/>
    <w:rsid w:val="02FA1BD7"/>
    <w:rsid w:val="02FF746E"/>
    <w:rsid w:val="030819D2"/>
    <w:rsid w:val="03115376"/>
    <w:rsid w:val="03122820"/>
    <w:rsid w:val="03182EA9"/>
    <w:rsid w:val="0319014C"/>
    <w:rsid w:val="031B3228"/>
    <w:rsid w:val="031D2510"/>
    <w:rsid w:val="03221295"/>
    <w:rsid w:val="03241CD2"/>
    <w:rsid w:val="03245892"/>
    <w:rsid w:val="032550A5"/>
    <w:rsid w:val="032647D7"/>
    <w:rsid w:val="03270D6B"/>
    <w:rsid w:val="03280690"/>
    <w:rsid w:val="03295143"/>
    <w:rsid w:val="032D6BF8"/>
    <w:rsid w:val="032E6EF7"/>
    <w:rsid w:val="03361A59"/>
    <w:rsid w:val="033C57A9"/>
    <w:rsid w:val="033C7075"/>
    <w:rsid w:val="033F4275"/>
    <w:rsid w:val="03447991"/>
    <w:rsid w:val="03456868"/>
    <w:rsid w:val="034648EC"/>
    <w:rsid w:val="03471851"/>
    <w:rsid w:val="034D15B6"/>
    <w:rsid w:val="035353EE"/>
    <w:rsid w:val="0357599C"/>
    <w:rsid w:val="03654806"/>
    <w:rsid w:val="037217D0"/>
    <w:rsid w:val="03733E3E"/>
    <w:rsid w:val="03786A42"/>
    <w:rsid w:val="037F5A21"/>
    <w:rsid w:val="038130F7"/>
    <w:rsid w:val="038A5598"/>
    <w:rsid w:val="038D68F9"/>
    <w:rsid w:val="039154DC"/>
    <w:rsid w:val="039310D3"/>
    <w:rsid w:val="0393348E"/>
    <w:rsid w:val="039764DF"/>
    <w:rsid w:val="039825B2"/>
    <w:rsid w:val="039B7F97"/>
    <w:rsid w:val="039D6E36"/>
    <w:rsid w:val="03A13F69"/>
    <w:rsid w:val="03AE09A1"/>
    <w:rsid w:val="03B53FD9"/>
    <w:rsid w:val="03BD37C2"/>
    <w:rsid w:val="03C6211C"/>
    <w:rsid w:val="03CB7F52"/>
    <w:rsid w:val="03D4491B"/>
    <w:rsid w:val="03D727E6"/>
    <w:rsid w:val="03DD41B4"/>
    <w:rsid w:val="03E13E4A"/>
    <w:rsid w:val="03E53DB5"/>
    <w:rsid w:val="03F13671"/>
    <w:rsid w:val="03F15986"/>
    <w:rsid w:val="03F5623A"/>
    <w:rsid w:val="03FB2919"/>
    <w:rsid w:val="04010667"/>
    <w:rsid w:val="04021248"/>
    <w:rsid w:val="0403166B"/>
    <w:rsid w:val="04075E77"/>
    <w:rsid w:val="040D42A9"/>
    <w:rsid w:val="040D6209"/>
    <w:rsid w:val="041731B2"/>
    <w:rsid w:val="04190715"/>
    <w:rsid w:val="041C204B"/>
    <w:rsid w:val="041D0FD5"/>
    <w:rsid w:val="041D6E28"/>
    <w:rsid w:val="041E2834"/>
    <w:rsid w:val="04210FFB"/>
    <w:rsid w:val="04226942"/>
    <w:rsid w:val="042416C7"/>
    <w:rsid w:val="04252F40"/>
    <w:rsid w:val="0427451B"/>
    <w:rsid w:val="0427616B"/>
    <w:rsid w:val="04286C42"/>
    <w:rsid w:val="042B5B68"/>
    <w:rsid w:val="042F7D71"/>
    <w:rsid w:val="04363CF5"/>
    <w:rsid w:val="043A55EC"/>
    <w:rsid w:val="04411CE4"/>
    <w:rsid w:val="04413CCA"/>
    <w:rsid w:val="044313CD"/>
    <w:rsid w:val="04474D74"/>
    <w:rsid w:val="044851B5"/>
    <w:rsid w:val="04486E82"/>
    <w:rsid w:val="044F28AD"/>
    <w:rsid w:val="04580417"/>
    <w:rsid w:val="045A27B5"/>
    <w:rsid w:val="045A6AA4"/>
    <w:rsid w:val="045C7166"/>
    <w:rsid w:val="0460612D"/>
    <w:rsid w:val="04641854"/>
    <w:rsid w:val="0469021B"/>
    <w:rsid w:val="046A7ADA"/>
    <w:rsid w:val="046B5CC7"/>
    <w:rsid w:val="046B7E43"/>
    <w:rsid w:val="046D0241"/>
    <w:rsid w:val="046D5206"/>
    <w:rsid w:val="047500C3"/>
    <w:rsid w:val="047574AB"/>
    <w:rsid w:val="04757823"/>
    <w:rsid w:val="04770FA0"/>
    <w:rsid w:val="0478690B"/>
    <w:rsid w:val="04792FAC"/>
    <w:rsid w:val="047B3C8F"/>
    <w:rsid w:val="048077D5"/>
    <w:rsid w:val="04830C43"/>
    <w:rsid w:val="04830D96"/>
    <w:rsid w:val="048375A1"/>
    <w:rsid w:val="048B7A8A"/>
    <w:rsid w:val="048C7B62"/>
    <w:rsid w:val="048D375C"/>
    <w:rsid w:val="048D62E9"/>
    <w:rsid w:val="048E406A"/>
    <w:rsid w:val="049411BE"/>
    <w:rsid w:val="04994D84"/>
    <w:rsid w:val="049A668E"/>
    <w:rsid w:val="049E141D"/>
    <w:rsid w:val="04A03D74"/>
    <w:rsid w:val="04A82EA2"/>
    <w:rsid w:val="04A933C5"/>
    <w:rsid w:val="04AA34DD"/>
    <w:rsid w:val="04AD1358"/>
    <w:rsid w:val="04AE2E46"/>
    <w:rsid w:val="04B10E97"/>
    <w:rsid w:val="04B64999"/>
    <w:rsid w:val="04B709AD"/>
    <w:rsid w:val="04B83FDE"/>
    <w:rsid w:val="04D167A1"/>
    <w:rsid w:val="04D44743"/>
    <w:rsid w:val="04DA5093"/>
    <w:rsid w:val="04DB2C54"/>
    <w:rsid w:val="04DF6B0E"/>
    <w:rsid w:val="04E177C1"/>
    <w:rsid w:val="04E90FEF"/>
    <w:rsid w:val="04EA1767"/>
    <w:rsid w:val="04EC6DCC"/>
    <w:rsid w:val="04EF5EC7"/>
    <w:rsid w:val="04F96794"/>
    <w:rsid w:val="04FA433E"/>
    <w:rsid w:val="05036367"/>
    <w:rsid w:val="051117FD"/>
    <w:rsid w:val="051342F0"/>
    <w:rsid w:val="0519211F"/>
    <w:rsid w:val="051C7B00"/>
    <w:rsid w:val="05203058"/>
    <w:rsid w:val="052A2D04"/>
    <w:rsid w:val="052E04FF"/>
    <w:rsid w:val="052F4ED3"/>
    <w:rsid w:val="05334141"/>
    <w:rsid w:val="0536066D"/>
    <w:rsid w:val="05364557"/>
    <w:rsid w:val="05385836"/>
    <w:rsid w:val="0540031A"/>
    <w:rsid w:val="054438E6"/>
    <w:rsid w:val="05497BAC"/>
    <w:rsid w:val="054C7002"/>
    <w:rsid w:val="054D63E6"/>
    <w:rsid w:val="054F6B73"/>
    <w:rsid w:val="055369B5"/>
    <w:rsid w:val="05553E3E"/>
    <w:rsid w:val="0558711E"/>
    <w:rsid w:val="055C4B94"/>
    <w:rsid w:val="055C7355"/>
    <w:rsid w:val="055E5223"/>
    <w:rsid w:val="056A6406"/>
    <w:rsid w:val="05731150"/>
    <w:rsid w:val="05746CC2"/>
    <w:rsid w:val="05787DDF"/>
    <w:rsid w:val="057C2E72"/>
    <w:rsid w:val="057F3D1D"/>
    <w:rsid w:val="058208AC"/>
    <w:rsid w:val="05850EF3"/>
    <w:rsid w:val="05890518"/>
    <w:rsid w:val="058A6D44"/>
    <w:rsid w:val="058C1BB1"/>
    <w:rsid w:val="058D2F0F"/>
    <w:rsid w:val="058E14B0"/>
    <w:rsid w:val="058E7317"/>
    <w:rsid w:val="05961EB1"/>
    <w:rsid w:val="0598133B"/>
    <w:rsid w:val="059C2E76"/>
    <w:rsid w:val="05A35FE8"/>
    <w:rsid w:val="05A577C1"/>
    <w:rsid w:val="05A91520"/>
    <w:rsid w:val="05AA4A8C"/>
    <w:rsid w:val="05C701ED"/>
    <w:rsid w:val="05C96666"/>
    <w:rsid w:val="05CA796E"/>
    <w:rsid w:val="05D376AA"/>
    <w:rsid w:val="05D37C42"/>
    <w:rsid w:val="05DD11E5"/>
    <w:rsid w:val="05DD4027"/>
    <w:rsid w:val="05DF2D9B"/>
    <w:rsid w:val="05E54DAD"/>
    <w:rsid w:val="05E944C9"/>
    <w:rsid w:val="05EB39E4"/>
    <w:rsid w:val="05FB46BC"/>
    <w:rsid w:val="05FD4B2B"/>
    <w:rsid w:val="06036F52"/>
    <w:rsid w:val="06101F38"/>
    <w:rsid w:val="06143C7A"/>
    <w:rsid w:val="06235360"/>
    <w:rsid w:val="06252CA8"/>
    <w:rsid w:val="0629657C"/>
    <w:rsid w:val="062B0282"/>
    <w:rsid w:val="062B14E2"/>
    <w:rsid w:val="062D730F"/>
    <w:rsid w:val="06326957"/>
    <w:rsid w:val="063379B0"/>
    <w:rsid w:val="06392CA3"/>
    <w:rsid w:val="063A07B2"/>
    <w:rsid w:val="063B12E3"/>
    <w:rsid w:val="06423213"/>
    <w:rsid w:val="0643312E"/>
    <w:rsid w:val="0647309E"/>
    <w:rsid w:val="064D16B2"/>
    <w:rsid w:val="0650303F"/>
    <w:rsid w:val="06511CDA"/>
    <w:rsid w:val="06520582"/>
    <w:rsid w:val="06525EDF"/>
    <w:rsid w:val="06562835"/>
    <w:rsid w:val="065E6DE0"/>
    <w:rsid w:val="06692BFA"/>
    <w:rsid w:val="066C7761"/>
    <w:rsid w:val="06700A49"/>
    <w:rsid w:val="0672490F"/>
    <w:rsid w:val="067A4160"/>
    <w:rsid w:val="067B4119"/>
    <w:rsid w:val="06850F68"/>
    <w:rsid w:val="06876D3F"/>
    <w:rsid w:val="06936B36"/>
    <w:rsid w:val="06AA5F53"/>
    <w:rsid w:val="06B43638"/>
    <w:rsid w:val="06B748D6"/>
    <w:rsid w:val="06B94D88"/>
    <w:rsid w:val="06BD3193"/>
    <w:rsid w:val="06CB7D29"/>
    <w:rsid w:val="06D365D0"/>
    <w:rsid w:val="06D7244E"/>
    <w:rsid w:val="06D8148D"/>
    <w:rsid w:val="06DC324E"/>
    <w:rsid w:val="06DD49EE"/>
    <w:rsid w:val="06DE236E"/>
    <w:rsid w:val="06E709A1"/>
    <w:rsid w:val="06EC2979"/>
    <w:rsid w:val="06FA46A2"/>
    <w:rsid w:val="06FC2EE7"/>
    <w:rsid w:val="06FE6507"/>
    <w:rsid w:val="07052515"/>
    <w:rsid w:val="070F4E40"/>
    <w:rsid w:val="07141CAA"/>
    <w:rsid w:val="07144014"/>
    <w:rsid w:val="07181785"/>
    <w:rsid w:val="071856CE"/>
    <w:rsid w:val="071E57AE"/>
    <w:rsid w:val="07220919"/>
    <w:rsid w:val="07223963"/>
    <w:rsid w:val="07233673"/>
    <w:rsid w:val="07245F35"/>
    <w:rsid w:val="072D7841"/>
    <w:rsid w:val="073033E9"/>
    <w:rsid w:val="07372B8D"/>
    <w:rsid w:val="07472771"/>
    <w:rsid w:val="074B78AB"/>
    <w:rsid w:val="074F5873"/>
    <w:rsid w:val="07504CC4"/>
    <w:rsid w:val="075064E9"/>
    <w:rsid w:val="07522ABF"/>
    <w:rsid w:val="075B45A5"/>
    <w:rsid w:val="075D0276"/>
    <w:rsid w:val="07616FC7"/>
    <w:rsid w:val="07686745"/>
    <w:rsid w:val="076C765C"/>
    <w:rsid w:val="07704196"/>
    <w:rsid w:val="07717B4A"/>
    <w:rsid w:val="07781F4D"/>
    <w:rsid w:val="07797F2C"/>
    <w:rsid w:val="077A4097"/>
    <w:rsid w:val="07822754"/>
    <w:rsid w:val="078278DC"/>
    <w:rsid w:val="0783463A"/>
    <w:rsid w:val="079779A2"/>
    <w:rsid w:val="07A04237"/>
    <w:rsid w:val="07A47370"/>
    <w:rsid w:val="07B05956"/>
    <w:rsid w:val="07B216E9"/>
    <w:rsid w:val="07B73EB6"/>
    <w:rsid w:val="07B82D40"/>
    <w:rsid w:val="07BB1549"/>
    <w:rsid w:val="07BE72CA"/>
    <w:rsid w:val="07C1371A"/>
    <w:rsid w:val="07C50E33"/>
    <w:rsid w:val="07C8062A"/>
    <w:rsid w:val="07D219CC"/>
    <w:rsid w:val="07D917EE"/>
    <w:rsid w:val="07E21CE9"/>
    <w:rsid w:val="07E936F3"/>
    <w:rsid w:val="07EA5FB4"/>
    <w:rsid w:val="07FA5FF6"/>
    <w:rsid w:val="07FF7DD0"/>
    <w:rsid w:val="08045C6B"/>
    <w:rsid w:val="080E49CE"/>
    <w:rsid w:val="080F552B"/>
    <w:rsid w:val="08134645"/>
    <w:rsid w:val="0814560F"/>
    <w:rsid w:val="08145E8F"/>
    <w:rsid w:val="081E3EDD"/>
    <w:rsid w:val="08247245"/>
    <w:rsid w:val="0827466F"/>
    <w:rsid w:val="082D40EB"/>
    <w:rsid w:val="082F1144"/>
    <w:rsid w:val="082F6C5A"/>
    <w:rsid w:val="08362B39"/>
    <w:rsid w:val="08371C1B"/>
    <w:rsid w:val="083D5FDE"/>
    <w:rsid w:val="084530A0"/>
    <w:rsid w:val="084C4243"/>
    <w:rsid w:val="08556BD2"/>
    <w:rsid w:val="08670970"/>
    <w:rsid w:val="086A2903"/>
    <w:rsid w:val="086E0002"/>
    <w:rsid w:val="086E054E"/>
    <w:rsid w:val="086E64B1"/>
    <w:rsid w:val="087161A6"/>
    <w:rsid w:val="087333EF"/>
    <w:rsid w:val="087A79E9"/>
    <w:rsid w:val="087F063C"/>
    <w:rsid w:val="088D4F1E"/>
    <w:rsid w:val="088E10C2"/>
    <w:rsid w:val="0891355D"/>
    <w:rsid w:val="08921904"/>
    <w:rsid w:val="08A559AE"/>
    <w:rsid w:val="08B26705"/>
    <w:rsid w:val="08B40D05"/>
    <w:rsid w:val="08B81396"/>
    <w:rsid w:val="08C85CAF"/>
    <w:rsid w:val="08D476C7"/>
    <w:rsid w:val="08D53CAB"/>
    <w:rsid w:val="08D66A59"/>
    <w:rsid w:val="08D71E39"/>
    <w:rsid w:val="08D9581C"/>
    <w:rsid w:val="08DB601C"/>
    <w:rsid w:val="08DC2E92"/>
    <w:rsid w:val="08DC3E7B"/>
    <w:rsid w:val="08EB0353"/>
    <w:rsid w:val="08EB3351"/>
    <w:rsid w:val="08EF1882"/>
    <w:rsid w:val="08EF32AA"/>
    <w:rsid w:val="08FD6050"/>
    <w:rsid w:val="09056A19"/>
    <w:rsid w:val="09066D87"/>
    <w:rsid w:val="09151D99"/>
    <w:rsid w:val="09170094"/>
    <w:rsid w:val="09271992"/>
    <w:rsid w:val="09272062"/>
    <w:rsid w:val="092954C6"/>
    <w:rsid w:val="092D69D8"/>
    <w:rsid w:val="093833DB"/>
    <w:rsid w:val="09402310"/>
    <w:rsid w:val="09410B81"/>
    <w:rsid w:val="0941450A"/>
    <w:rsid w:val="0946526B"/>
    <w:rsid w:val="094912F3"/>
    <w:rsid w:val="094E49E2"/>
    <w:rsid w:val="0952086F"/>
    <w:rsid w:val="09527A93"/>
    <w:rsid w:val="09570690"/>
    <w:rsid w:val="095D2626"/>
    <w:rsid w:val="09661DEE"/>
    <w:rsid w:val="0966450A"/>
    <w:rsid w:val="09666696"/>
    <w:rsid w:val="0967792E"/>
    <w:rsid w:val="096A3713"/>
    <w:rsid w:val="096D3DE7"/>
    <w:rsid w:val="096D6D31"/>
    <w:rsid w:val="096F002D"/>
    <w:rsid w:val="09720F2F"/>
    <w:rsid w:val="09722E9E"/>
    <w:rsid w:val="09725495"/>
    <w:rsid w:val="09730A6F"/>
    <w:rsid w:val="0979651B"/>
    <w:rsid w:val="097A649E"/>
    <w:rsid w:val="098A59A3"/>
    <w:rsid w:val="098F33C5"/>
    <w:rsid w:val="099029F0"/>
    <w:rsid w:val="09936E23"/>
    <w:rsid w:val="09942C57"/>
    <w:rsid w:val="09957D86"/>
    <w:rsid w:val="0996495E"/>
    <w:rsid w:val="09966115"/>
    <w:rsid w:val="09987FD5"/>
    <w:rsid w:val="099A2588"/>
    <w:rsid w:val="099F41BF"/>
    <w:rsid w:val="09A41B44"/>
    <w:rsid w:val="09A45552"/>
    <w:rsid w:val="09A514F7"/>
    <w:rsid w:val="09A6265B"/>
    <w:rsid w:val="09A80439"/>
    <w:rsid w:val="09AA756C"/>
    <w:rsid w:val="09AE7223"/>
    <w:rsid w:val="09C10A63"/>
    <w:rsid w:val="09C212F2"/>
    <w:rsid w:val="09C524ED"/>
    <w:rsid w:val="09CC19B3"/>
    <w:rsid w:val="09CC4C39"/>
    <w:rsid w:val="09D144C4"/>
    <w:rsid w:val="09D21244"/>
    <w:rsid w:val="09D670D1"/>
    <w:rsid w:val="09D85560"/>
    <w:rsid w:val="09E37DF5"/>
    <w:rsid w:val="09EC104F"/>
    <w:rsid w:val="09EC1555"/>
    <w:rsid w:val="09F07F08"/>
    <w:rsid w:val="09F37073"/>
    <w:rsid w:val="09F6001C"/>
    <w:rsid w:val="09F679FF"/>
    <w:rsid w:val="09F75C16"/>
    <w:rsid w:val="09F77C68"/>
    <w:rsid w:val="09FB2BC5"/>
    <w:rsid w:val="0A006AB3"/>
    <w:rsid w:val="0A020654"/>
    <w:rsid w:val="0A0C319D"/>
    <w:rsid w:val="0A192E2F"/>
    <w:rsid w:val="0A1B2C73"/>
    <w:rsid w:val="0A1D7EF8"/>
    <w:rsid w:val="0A231AA5"/>
    <w:rsid w:val="0A2C0B05"/>
    <w:rsid w:val="0A2E025F"/>
    <w:rsid w:val="0A33328B"/>
    <w:rsid w:val="0A360B6E"/>
    <w:rsid w:val="0A3C436B"/>
    <w:rsid w:val="0A3E1512"/>
    <w:rsid w:val="0A411CC7"/>
    <w:rsid w:val="0A426492"/>
    <w:rsid w:val="0A440B2C"/>
    <w:rsid w:val="0A4D6D6D"/>
    <w:rsid w:val="0A5433CB"/>
    <w:rsid w:val="0A550915"/>
    <w:rsid w:val="0A555B00"/>
    <w:rsid w:val="0A5A3A55"/>
    <w:rsid w:val="0A5B0357"/>
    <w:rsid w:val="0A615441"/>
    <w:rsid w:val="0A616EDB"/>
    <w:rsid w:val="0A673C3F"/>
    <w:rsid w:val="0A6C32DA"/>
    <w:rsid w:val="0A706714"/>
    <w:rsid w:val="0A762AD4"/>
    <w:rsid w:val="0A785B82"/>
    <w:rsid w:val="0A7E7613"/>
    <w:rsid w:val="0A7F62E6"/>
    <w:rsid w:val="0A851B82"/>
    <w:rsid w:val="0A882AB7"/>
    <w:rsid w:val="0A887F7C"/>
    <w:rsid w:val="0A8A2BD2"/>
    <w:rsid w:val="0A8B038E"/>
    <w:rsid w:val="0A8D2887"/>
    <w:rsid w:val="0A900BD7"/>
    <w:rsid w:val="0A9154FB"/>
    <w:rsid w:val="0A937603"/>
    <w:rsid w:val="0A937C11"/>
    <w:rsid w:val="0A970026"/>
    <w:rsid w:val="0A987365"/>
    <w:rsid w:val="0A9F5942"/>
    <w:rsid w:val="0AA51633"/>
    <w:rsid w:val="0AA91926"/>
    <w:rsid w:val="0AAA4FA4"/>
    <w:rsid w:val="0AAB54D4"/>
    <w:rsid w:val="0AAD1B25"/>
    <w:rsid w:val="0AAE213E"/>
    <w:rsid w:val="0AB2168A"/>
    <w:rsid w:val="0AB51F74"/>
    <w:rsid w:val="0AB66811"/>
    <w:rsid w:val="0AC60A55"/>
    <w:rsid w:val="0AC65944"/>
    <w:rsid w:val="0ACC64CF"/>
    <w:rsid w:val="0AD75200"/>
    <w:rsid w:val="0AEA1D1E"/>
    <w:rsid w:val="0AEE23D6"/>
    <w:rsid w:val="0AF10CC0"/>
    <w:rsid w:val="0AF62CD9"/>
    <w:rsid w:val="0AFE7324"/>
    <w:rsid w:val="0B017E54"/>
    <w:rsid w:val="0B0878AC"/>
    <w:rsid w:val="0B0F71F2"/>
    <w:rsid w:val="0B146762"/>
    <w:rsid w:val="0B187E76"/>
    <w:rsid w:val="0B1A65C7"/>
    <w:rsid w:val="0B1F2676"/>
    <w:rsid w:val="0B2A6A79"/>
    <w:rsid w:val="0B386EC1"/>
    <w:rsid w:val="0B3C06B9"/>
    <w:rsid w:val="0B420B19"/>
    <w:rsid w:val="0B4F7E63"/>
    <w:rsid w:val="0B592437"/>
    <w:rsid w:val="0B5A6300"/>
    <w:rsid w:val="0B5B0855"/>
    <w:rsid w:val="0B6C6E7D"/>
    <w:rsid w:val="0B717D32"/>
    <w:rsid w:val="0B7B7E7E"/>
    <w:rsid w:val="0B81588A"/>
    <w:rsid w:val="0B825253"/>
    <w:rsid w:val="0B865A0C"/>
    <w:rsid w:val="0B875C98"/>
    <w:rsid w:val="0B8F37BC"/>
    <w:rsid w:val="0B9311B7"/>
    <w:rsid w:val="0B9375CD"/>
    <w:rsid w:val="0B991D09"/>
    <w:rsid w:val="0B9F1873"/>
    <w:rsid w:val="0BA91349"/>
    <w:rsid w:val="0BAA44B5"/>
    <w:rsid w:val="0BAC3D49"/>
    <w:rsid w:val="0BB34D19"/>
    <w:rsid w:val="0BB8106C"/>
    <w:rsid w:val="0BC30AB0"/>
    <w:rsid w:val="0BC3408F"/>
    <w:rsid w:val="0BD72F76"/>
    <w:rsid w:val="0BDD1826"/>
    <w:rsid w:val="0BDF063D"/>
    <w:rsid w:val="0BE108ED"/>
    <w:rsid w:val="0BE52263"/>
    <w:rsid w:val="0BEA673C"/>
    <w:rsid w:val="0BEB73FB"/>
    <w:rsid w:val="0BF94EB2"/>
    <w:rsid w:val="0BFF5E7C"/>
    <w:rsid w:val="0C0521C9"/>
    <w:rsid w:val="0C0523F5"/>
    <w:rsid w:val="0C0C2F5A"/>
    <w:rsid w:val="0C105115"/>
    <w:rsid w:val="0C124CC6"/>
    <w:rsid w:val="0C1445DB"/>
    <w:rsid w:val="0C150D20"/>
    <w:rsid w:val="0C19319B"/>
    <w:rsid w:val="0C2516E0"/>
    <w:rsid w:val="0C2C02B0"/>
    <w:rsid w:val="0C2C0CF4"/>
    <w:rsid w:val="0C2C2B71"/>
    <w:rsid w:val="0C332C04"/>
    <w:rsid w:val="0C352A43"/>
    <w:rsid w:val="0C3A55CB"/>
    <w:rsid w:val="0C4072B2"/>
    <w:rsid w:val="0C414412"/>
    <w:rsid w:val="0C4503AC"/>
    <w:rsid w:val="0C4A3CB6"/>
    <w:rsid w:val="0C4E2708"/>
    <w:rsid w:val="0C52292D"/>
    <w:rsid w:val="0C544F43"/>
    <w:rsid w:val="0C577E78"/>
    <w:rsid w:val="0C5907EC"/>
    <w:rsid w:val="0C5E3CF1"/>
    <w:rsid w:val="0C626144"/>
    <w:rsid w:val="0C68246F"/>
    <w:rsid w:val="0C6C40F7"/>
    <w:rsid w:val="0C6C5FED"/>
    <w:rsid w:val="0C6D3B6E"/>
    <w:rsid w:val="0C6E6F26"/>
    <w:rsid w:val="0C7340F3"/>
    <w:rsid w:val="0C7954D6"/>
    <w:rsid w:val="0C802762"/>
    <w:rsid w:val="0C841314"/>
    <w:rsid w:val="0C8633B4"/>
    <w:rsid w:val="0C89023A"/>
    <w:rsid w:val="0C905166"/>
    <w:rsid w:val="0C93515B"/>
    <w:rsid w:val="0C9461AC"/>
    <w:rsid w:val="0C9475F1"/>
    <w:rsid w:val="0CA35382"/>
    <w:rsid w:val="0CAA6FE6"/>
    <w:rsid w:val="0CAB03EF"/>
    <w:rsid w:val="0CAB3C0C"/>
    <w:rsid w:val="0CB33DBB"/>
    <w:rsid w:val="0CB754F8"/>
    <w:rsid w:val="0CBE0832"/>
    <w:rsid w:val="0CBE4B43"/>
    <w:rsid w:val="0CC91F93"/>
    <w:rsid w:val="0CCA0D2B"/>
    <w:rsid w:val="0CCC6655"/>
    <w:rsid w:val="0CCE710D"/>
    <w:rsid w:val="0CCF4A17"/>
    <w:rsid w:val="0CD11184"/>
    <w:rsid w:val="0CD64B8B"/>
    <w:rsid w:val="0CDB2E8E"/>
    <w:rsid w:val="0CDB7A55"/>
    <w:rsid w:val="0CDD420F"/>
    <w:rsid w:val="0CDF4D1D"/>
    <w:rsid w:val="0CEE0B42"/>
    <w:rsid w:val="0CEF752B"/>
    <w:rsid w:val="0CF93B46"/>
    <w:rsid w:val="0CFA0C56"/>
    <w:rsid w:val="0D005950"/>
    <w:rsid w:val="0D044436"/>
    <w:rsid w:val="0D085ADD"/>
    <w:rsid w:val="0D0A367B"/>
    <w:rsid w:val="0D133A04"/>
    <w:rsid w:val="0D137DD3"/>
    <w:rsid w:val="0D1416B4"/>
    <w:rsid w:val="0D196D1F"/>
    <w:rsid w:val="0D2B017D"/>
    <w:rsid w:val="0D354364"/>
    <w:rsid w:val="0D466824"/>
    <w:rsid w:val="0D472F27"/>
    <w:rsid w:val="0D476494"/>
    <w:rsid w:val="0D487943"/>
    <w:rsid w:val="0D497900"/>
    <w:rsid w:val="0D5171D5"/>
    <w:rsid w:val="0D562CB3"/>
    <w:rsid w:val="0D5672CE"/>
    <w:rsid w:val="0D5832A9"/>
    <w:rsid w:val="0D5A6039"/>
    <w:rsid w:val="0D5E15D8"/>
    <w:rsid w:val="0D6022E5"/>
    <w:rsid w:val="0D6269E3"/>
    <w:rsid w:val="0D6359BA"/>
    <w:rsid w:val="0D6A0DE0"/>
    <w:rsid w:val="0D6C6655"/>
    <w:rsid w:val="0D6F4ED7"/>
    <w:rsid w:val="0D764711"/>
    <w:rsid w:val="0D816FC3"/>
    <w:rsid w:val="0D827744"/>
    <w:rsid w:val="0D8834AD"/>
    <w:rsid w:val="0D8A145F"/>
    <w:rsid w:val="0D8A4D93"/>
    <w:rsid w:val="0D8E2A9D"/>
    <w:rsid w:val="0D900FE2"/>
    <w:rsid w:val="0D930B5E"/>
    <w:rsid w:val="0D933682"/>
    <w:rsid w:val="0D93500D"/>
    <w:rsid w:val="0D93545C"/>
    <w:rsid w:val="0D93583A"/>
    <w:rsid w:val="0D982FCF"/>
    <w:rsid w:val="0D9F15B2"/>
    <w:rsid w:val="0DA56ACA"/>
    <w:rsid w:val="0DB20F9A"/>
    <w:rsid w:val="0DB652E1"/>
    <w:rsid w:val="0DB92DA5"/>
    <w:rsid w:val="0DBA7200"/>
    <w:rsid w:val="0DBD04D8"/>
    <w:rsid w:val="0DC03ACB"/>
    <w:rsid w:val="0DCD0121"/>
    <w:rsid w:val="0DD61C08"/>
    <w:rsid w:val="0DDB7660"/>
    <w:rsid w:val="0DE5172F"/>
    <w:rsid w:val="0DE94F53"/>
    <w:rsid w:val="0DEA2CDC"/>
    <w:rsid w:val="0DEC74FD"/>
    <w:rsid w:val="0DED6692"/>
    <w:rsid w:val="0DF073EC"/>
    <w:rsid w:val="0DF423BB"/>
    <w:rsid w:val="0DF92B26"/>
    <w:rsid w:val="0DFB76DC"/>
    <w:rsid w:val="0DFE23D3"/>
    <w:rsid w:val="0DFF4075"/>
    <w:rsid w:val="0E0009AA"/>
    <w:rsid w:val="0E152204"/>
    <w:rsid w:val="0E175B5D"/>
    <w:rsid w:val="0E19661F"/>
    <w:rsid w:val="0E21575B"/>
    <w:rsid w:val="0E2367B3"/>
    <w:rsid w:val="0E245572"/>
    <w:rsid w:val="0E2A7A25"/>
    <w:rsid w:val="0E302670"/>
    <w:rsid w:val="0E387AE3"/>
    <w:rsid w:val="0E3D5F94"/>
    <w:rsid w:val="0E4674DC"/>
    <w:rsid w:val="0E4859A2"/>
    <w:rsid w:val="0E4D7959"/>
    <w:rsid w:val="0E5034A0"/>
    <w:rsid w:val="0E522428"/>
    <w:rsid w:val="0E6E7057"/>
    <w:rsid w:val="0E70139F"/>
    <w:rsid w:val="0E704BCE"/>
    <w:rsid w:val="0E7142A8"/>
    <w:rsid w:val="0E7A535B"/>
    <w:rsid w:val="0E7C0E22"/>
    <w:rsid w:val="0E7F1F65"/>
    <w:rsid w:val="0E802730"/>
    <w:rsid w:val="0E845A59"/>
    <w:rsid w:val="0E853B47"/>
    <w:rsid w:val="0E873E2A"/>
    <w:rsid w:val="0E883C68"/>
    <w:rsid w:val="0E89322A"/>
    <w:rsid w:val="0E8D3DC5"/>
    <w:rsid w:val="0E8E371A"/>
    <w:rsid w:val="0E94303B"/>
    <w:rsid w:val="0E9478AD"/>
    <w:rsid w:val="0E961883"/>
    <w:rsid w:val="0E9C65E3"/>
    <w:rsid w:val="0E9D2EE9"/>
    <w:rsid w:val="0EA541CC"/>
    <w:rsid w:val="0EB41D91"/>
    <w:rsid w:val="0EBF365F"/>
    <w:rsid w:val="0EC71750"/>
    <w:rsid w:val="0EC970EA"/>
    <w:rsid w:val="0ECB4111"/>
    <w:rsid w:val="0ECC1E93"/>
    <w:rsid w:val="0ECE1DDB"/>
    <w:rsid w:val="0ED526DE"/>
    <w:rsid w:val="0ED54E3A"/>
    <w:rsid w:val="0ED917CF"/>
    <w:rsid w:val="0EE255F2"/>
    <w:rsid w:val="0EE41B12"/>
    <w:rsid w:val="0EE658D8"/>
    <w:rsid w:val="0EEA0283"/>
    <w:rsid w:val="0EEB4406"/>
    <w:rsid w:val="0EEC6648"/>
    <w:rsid w:val="0EEE38D7"/>
    <w:rsid w:val="0EEE6E01"/>
    <w:rsid w:val="0EF31CA3"/>
    <w:rsid w:val="0EF70BC3"/>
    <w:rsid w:val="0EF91C12"/>
    <w:rsid w:val="0EFA251D"/>
    <w:rsid w:val="0EFA292C"/>
    <w:rsid w:val="0F03264C"/>
    <w:rsid w:val="0F0617DF"/>
    <w:rsid w:val="0F064543"/>
    <w:rsid w:val="0F066EF2"/>
    <w:rsid w:val="0F09513D"/>
    <w:rsid w:val="0F0E2D9C"/>
    <w:rsid w:val="0F0E35A3"/>
    <w:rsid w:val="0F0F68CE"/>
    <w:rsid w:val="0F122683"/>
    <w:rsid w:val="0F142DB0"/>
    <w:rsid w:val="0F1554D7"/>
    <w:rsid w:val="0F1B7D00"/>
    <w:rsid w:val="0F392BA4"/>
    <w:rsid w:val="0F3A0EEB"/>
    <w:rsid w:val="0F3A3A27"/>
    <w:rsid w:val="0F3A4FCB"/>
    <w:rsid w:val="0F3A7103"/>
    <w:rsid w:val="0F3E099E"/>
    <w:rsid w:val="0F417EA9"/>
    <w:rsid w:val="0F435E5B"/>
    <w:rsid w:val="0F4A3658"/>
    <w:rsid w:val="0F5152EB"/>
    <w:rsid w:val="0F541FEE"/>
    <w:rsid w:val="0F5470BF"/>
    <w:rsid w:val="0F5575B0"/>
    <w:rsid w:val="0F5E380B"/>
    <w:rsid w:val="0F605169"/>
    <w:rsid w:val="0F6463BF"/>
    <w:rsid w:val="0F65782D"/>
    <w:rsid w:val="0F6F41B2"/>
    <w:rsid w:val="0F711915"/>
    <w:rsid w:val="0F7306FB"/>
    <w:rsid w:val="0F7464E2"/>
    <w:rsid w:val="0F7747A7"/>
    <w:rsid w:val="0F7B3887"/>
    <w:rsid w:val="0F8130CF"/>
    <w:rsid w:val="0F82674B"/>
    <w:rsid w:val="0F83751A"/>
    <w:rsid w:val="0F844A3D"/>
    <w:rsid w:val="0F8659AF"/>
    <w:rsid w:val="0F8762F3"/>
    <w:rsid w:val="0F917F4A"/>
    <w:rsid w:val="0F944B45"/>
    <w:rsid w:val="0F972FAC"/>
    <w:rsid w:val="0F9B50CF"/>
    <w:rsid w:val="0F9C1178"/>
    <w:rsid w:val="0FA5706F"/>
    <w:rsid w:val="0FA768C0"/>
    <w:rsid w:val="0FAF472E"/>
    <w:rsid w:val="0FB3770C"/>
    <w:rsid w:val="0FC27CA2"/>
    <w:rsid w:val="0FC3720C"/>
    <w:rsid w:val="0FC82B35"/>
    <w:rsid w:val="0FCA3169"/>
    <w:rsid w:val="0FCB625E"/>
    <w:rsid w:val="0FCB7562"/>
    <w:rsid w:val="0FCD7C5A"/>
    <w:rsid w:val="0FCF5FE3"/>
    <w:rsid w:val="0FD16934"/>
    <w:rsid w:val="0FD84D66"/>
    <w:rsid w:val="0FD90065"/>
    <w:rsid w:val="0FDA2B59"/>
    <w:rsid w:val="0FDB47CC"/>
    <w:rsid w:val="0FDC5080"/>
    <w:rsid w:val="0FDF3E8F"/>
    <w:rsid w:val="0FE234F6"/>
    <w:rsid w:val="0FE914C7"/>
    <w:rsid w:val="0FF503AB"/>
    <w:rsid w:val="0FF82F78"/>
    <w:rsid w:val="0FF875C0"/>
    <w:rsid w:val="0FF955A6"/>
    <w:rsid w:val="0FFB1117"/>
    <w:rsid w:val="0FFB5CE6"/>
    <w:rsid w:val="10043429"/>
    <w:rsid w:val="100F4DB9"/>
    <w:rsid w:val="10113172"/>
    <w:rsid w:val="10117BD7"/>
    <w:rsid w:val="10157E89"/>
    <w:rsid w:val="101752C2"/>
    <w:rsid w:val="10180DD4"/>
    <w:rsid w:val="101E50D4"/>
    <w:rsid w:val="102312B2"/>
    <w:rsid w:val="10245565"/>
    <w:rsid w:val="102C50D0"/>
    <w:rsid w:val="102F3266"/>
    <w:rsid w:val="103034CC"/>
    <w:rsid w:val="10313D95"/>
    <w:rsid w:val="1032412B"/>
    <w:rsid w:val="103732CF"/>
    <w:rsid w:val="103A00BD"/>
    <w:rsid w:val="103A48A5"/>
    <w:rsid w:val="103B44B3"/>
    <w:rsid w:val="103C1677"/>
    <w:rsid w:val="10432CE0"/>
    <w:rsid w:val="10460DA5"/>
    <w:rsid w:val="10466716"/>
    <w:rsid w:val="104D07E1"/>
    <w:rsid w:val="10504590"/>
    <w:rsid w:val="10583F25"/>
    <w:rsid w:val="10587D81"/>
    <w:rsid w:val="105D0057"/>
    <w:rsid w:val="10633A9B"/>
    <w:rsid w:val="106607BD"/>
    <w:rsid w:val="10686C6A"/>
    <w:rsid w:val="10772BA4"/>
    <w:rsid w:val="10865D20"/>
    <w:rsid w:val="108C50BF"/>
    <w:rsid w:val="108D27C1"/>
    <w:rsid w:val="109B2FCF"/>
    <w:rsid w:val="10A77CD7"/>
    <w:rsid w:val="10A85506"/>
    <w:rsid w:val="10AB7444"/>
    <w:rsid w:val="10B6538C"/>
    <w:rsid w:val="10BA2A48"/>
    <w:rsid w:val="10BA4CB3"/>
    <w:rsid w:val="10C22A13"/>
    <w:rsid w:val="10C43E48"/>
    <w:rsid w:val="10C77F65"/>
    <w:rsid w:val="10C90E33"/>
    <w:rsid w:val="10CB78D2"/>
    <w:rsid w:val="10D54574"/>
    <w:rsid w:val="10D60686"/>
    <w:rsid w:val="10DD3FE3"/>
    <w:rsid w:val="10DE6214"/>
    <w:rsid w:val="10EE05DF"/>
    <w:rsid w:val="10EF3357"/>
    <w:rsid w:val="10F57ED3"/>
    <w:rsid w:val="10FA0E00"/>
    <w:rsid w:val="11011816"/>
    <w:rsid w:val="110272F1"/>
    <w:rsid w:val="110A7731"/>
    <w:rsid w:val="110F7267"/>
    <w:rsid w:val="111324F5"/>
    <w:rsid w:val="111366F2"/>
    <w:rsid w:val="111926DC"/>
    <w:rsid w:val="111A5BE2"/>
    <w:rsid w:val="11232A6D"/>
    <w:rsid w:val="1126015C"/>
    <w:rsid w:val="11261A83"/>
    <w:rsid w:val="112A5623"/>
    <w:rsid w:val="112D267D"/>
    <w:rsid w:val="114034C6"/>
    <w:rsid w:val="11427819"/>
    <w:rsid w:val="11441CE9"/>
    <w:rsid w:val="11451E71"/>
    <w:rsid w:val="11452FF6"/>
    <w:rsid w:val="114B029E"/>
    <w:rsid w:val="114E26D2"/>
    <w:rsid w:val="11501936"/>
    <w:rsid w:val="11506138"/>
    <w:rsid w:val="115119A9"/>
    <w:rsid w:val="11544EA4"/>
    <w:rsid w:val="115C2DFD"/>
    <w:rsid w:val="1166194E"/>
    <w:rsid w:val="116F58D0"/>
    <w:rsid w:val="11715830"/>
    <w:rsid w:val="117C309E"/>
    <w:rsid w:val="118E6C43"/>
    <w:rsid w:val="118F6F94"/>
    <w:rsid w:val="118F7EE4"/>
    <w:rsid w:val="119F3FF5"/>
    <w:rsid w:val="11A05AB9"/>
    <w:rsid w:val="11A56FFC"/>
    <w:rsid w:val="11A60330"/>
    <w:rsid w:val="11A7551F"/>
    <w:rsid w:val="11A7680E"/>
    <w:rsid w:val="11B03046"/>
    <w:rsid w:val="11BA104C"/>
    <w:rsid w:val="11C06D46"/>
    <w:rsid w:val="11D325A8"/>
    <w:rsid w:val="11D91FF3"/>
    <w:rsid w:val="11D94561"/>
    <w:rsid w:val="11DD73F0"/>
    <w:rsid w:val="11E17F9A"/>
    <w:rsid w:val="11E43D53"/>
    <w:rsid w:val="11E57758"/>
    <w:rsid w:val="11ED1A6A"/>
    <w:rsid w:val="11F35D43"/>
    <w:rsid w:val="11F4425C"/>
    <w:rsid w:val="11F77BF9"/>
    <w:rsid w:val="120120CF"/>
    <w:rsid w:val="12021FFC"/>
    <w:rsid w:val="12042505"/>
    <w:rsid w:val="12080ACB"/>
    <w:rsid w:val="1209591E"/>
    <w:rsid w:val="12095DFC"/>
    <w:rsid w:val="120A0758"/>
    <w:rsid w:val="120B4339"/>
    <w:rsid w:val="120C63C8"/>
    <w:rsid w:val="120F434B"/>
    <w:rsid w:val="1214041B"/>
    <w:rsid w:val="121F07DC"/>
    <w:rsid w:val="1222060D"/>
    <w:rsid w:val="1225380A"/>
    <w:rsid w:val="122B1B56"/>
    <w:rsid w:val="122E4DD6"/>
    <w:rsid w:val="12342B63"/>
    <w:rsid w:val="12373052"/>
    <w:rsid w:val="123A0EE7"/>
    <w:rsid w:val="12406223"/>
    <w:rsid w:val="1242176A"/>
    <w:rsid w:val="12492844"/>
    <w:rsid w:val="124D605F"/>
    <w:rsid w:val="124E3ADA"/>
    <w:rsid w:val="1251671E"/>
    <w:rsid w:val="12630356"/>
    <w:rsid w:val="12680B90"/>
    <w:rsid w:val="126D4CC7"/>
    <w:rsid w:val="126E5C0D"/>
    <w:rsid w:val="127101F6"/>
    <w:rsid w:val="12744159"/>
    <w:rsid w:val="127C41AB"/>
    <w:rsid w:val="12817345"/>
    <w:rsid w:val="128319FF"/>
    <w:rsid w:val="128451EA"/>
    <w:rsid w:val="128659C5"/>
    <w:rsid w:val="128663CD"/>
    <w:rsid w:val="1289512F"/>
    <w:rsid w:val="12897106"/>
    <w:rsid w:val="128B5A70"/>
    <w:rsid w:val="1295598B"/>
    <w:rsid w:val="12984E59"/>
    <w:rsid w:val="129A6CC3"/>
    <w:rsid w:val="12A03173"/>
    <w:rsid w:val="12B10EFD"/>
    <w:rsid w:val="12B1666D"/>
    <w:rsid w:val="12BC7932"/>
    <w:rsid w:val="12C50ADF"/>
    <w:rsid w:val="12C516A9"/>
    <w:rsid w:val="12C51CF0"/>
    <w:rsid w:val="12C64799"/>
    <w:rsid w:val="12C702EE"/>
    <w:rsid w:val="12C808EE"/>
    <w:rsid w:val="12D13828"/>
    <w:rsid w:val="12E256A4"/>
    <w:rsid w:val="12E4264C"/>
    <w:rsid w:val="12E44FE1"/>
    <w:rsid w:val="12E945AE"/>
    <w:rsid w:val="12F90C93"/>
    <w:rsid w:val="12FC1EBA"/>
    <w:rsid w:val="12FE2AED"/>
    <w:rsid w:val="1304550E"/>
    <w:rsid w:val="130776B0"/>
    <w:rsid w:val="130A1A44"/>
    <w:rsid w:val="130C2920"/>
    <w:rsid w:val="13164C2D"/>
    <w:rsid w:val="131827A7"/>
    <w:rsid w:val="131B0438"/>
    <w:rsid w:val="131C1F60"/>
    <w:rsid w:val="131F1DFF"/>
    <w:rsid w:val="13231100"/>
    <w:rsid w:val="13286921"/>
    <w:rsid w:val="13294640"/>
    <w:rsid w:val="132B2716"/>
    <w:rsid w:val="132C5649"/>
    <w:rsid w:val="132D5EED"/>
    <w:rsid w:val="134100D0"/>
    <w:rsid w:val="13494A6D"/>
    <w:rsid w:val="134D2F7E"/>
    <w:rsid w:val="13536B1D"/>
    <w:rsid w:val="135D6118"/>
    <w:rsid w:val="135F33DC"/>
    <w:rsid w:val="13605C8F"/>
    <w:rsid w:val="13643351"/>
    <w:rsid w:val="13653193"/>
    <w:rsid w:val="136F17A9"/>
    <w:rsid w:val="137354DA"/>
    <w:rsid w:val="13764403"/>
    <w:rsid w:val="137E10FF"/>
    <w:rsid w:val="13843C78"/>
    <w:rsid w:val="1385054A"/>
    <w:rsid w:val="13864A95"/>
    <w:rsid w:val="13885CCD"/>
    <w:rsid w:val="138F37C6"/>
    <w:rsid w:val="139308A3"/>
    <w:rsid w:val="13964162"/>
    <w:rsid w:val="139941DE"/>
    <w:rsid w:val="139A3BA8"/>
    <w:rsid w:val="139D6B36"/>
    <w:rsid w:val="13A12C42"/>
    <w:rsid w:val="13A16C03"/>
    <w:rsid w:val="13B068E2"/>
    <w:rsid w:val="13B11F42"/>
    <w:rsid w:val="13BD5C07"/>
    <w:rsid w:val="13C37A72"/>
    <w:rsid w:val="13C46F40"/>
    <w:rsid w:val="13C73AB5"/>
    <w:rsid w:val="13C871FC"/>
    <w:rsid w:val="13C96471"/>
    <w:rsid w:val="13CA22A7"/>
    <w:rsid w:val="13CC30DE"/>
    <w:rsid w:val="13CF4645"/>
    <w:rsid w:val="13D41BA4"/>
    <w:rsid w:val="13D660CF"/>
    <w:rsid w:val="13DC07E7"/>
    <w:rsid w:val="13E0234C"/>
    <w:rsid w:val="13E54E34"/>
    <w:rsid w:val="13ED6B84"/>
    <w:rsid w:val="13F07B66"/>
    <w:rsid w:val="13F07D4C"/>
    <w:rsid w:val="13F2603E"/>
    <w:rsid w:val="140213CF"/>
    <w:rsid w:val="14052D5C"/>
    <w:rsid w:val="14062653"/>
    <w:rsid w:val="1406331C"/>
    <w:rsid w:val="140B0152"/>
    <w:rsid w:val="140B4A7A"/>
    <w:rsid w:val="14137160"/>
    <w:rsid w:val="14183EC5"/>
    <w:rsid w:val="1418506D"/>
    <w:rsid w:val="141D3368"/>
    <w:rsid w:val="141D6D38"/>
    <w:rsid w:val="1422206D"/>
    <w:rsid w:val="14257293"/>
    <w:rsid w:val="142951BF"/>
    <w:rsid w:val="142E1CD6"/>
    <w:rsid w:val="142F703A"/>
    <w:rsid w:val="143318DF"/>
    <w:rsid w:val="14344AF7"/>
    <w:rsid w:val="143D05D9"/>
    <w:rsid w:val="143E382D"/>
    <w:rsid w:val="143F3DCD"/>
    <w:rsid w:val="143F65D4"/>
    <w:rsid w:val="1450236A"/>
    <w:rsid w:val="1456789F"/>
    <w:rsid w:val="145C4D24"/>
    <w:rsid w:val="14716B3D"/>
    <w:rsid w:val="14800E5F"/>
    <w:rsid w:val="148259DE"/>
    <w:rsid w:val="14841E69"/>
    <w:rsid w:val="14902626"/>
    <w:rsid w:val="1499270B"/>
    <w:rsid w:val="14993B8B"/>
    <w:rsid w:val="14995B3F"/>
    <w:rsid w:val="14A47B8A"/>
    <w:rsid w:val="14A739B6"/>
    <w:rsid w:val="14A83210"/>
    <w:rsid w:val="14AD6BF7"/>
    <w:rsid w:val="14B25D86"/>
    <w:rsid w:val="14B3323F"/>
    <w:rsid w:val="14B60BFB"/>
    <w:rsid w:val="14BE0398"/>
    <w:rsid w:val="14BE19DF"/>
    <w:rsid w:val="14C912D2"/>
    <w:rsid w:val="14CE606D"/>
    <w:rsid w:val="14D9361D"/>
    <w:rsid w:val="14DA403C"/>
    <w:rsid w:val="14DA72B8"/>
    <w:rsid w:val="14DD1CA9"/>
    <w:rsid w:val="14DD7286"/>
    <w:rsid w:val="14E125B2"/>
    <w:rsid w:val="14E26B1E"/>
    <w:rsid w:val="14ED173F"/>
    <w:rsid w:val="14F00421"/>
    <w:rsid w:val="14F46F6A"/>
    <w:rsid w:val="14FB1180"/>
    <w:rsid w:val="14FB4049"/>
    <w:rsid w:val="15045FC7"/>
    <w:rsid w:val="1506029A"/>
    <w:rsid w:val="15062D98"/>
    <w:rsid w:val="15063F40"/>
    <w:rsid w:val="150774A7"/>
    <w:rsid w:val="15081124"/>
    <w:rsid w:val="150D48DA"/>
    <w:rsid w:val="150E0D65"/>
    <w:rsid w:val="151E1A6E"/>
    <w:rsid w:val="15206546"/>
    <w:rsid w:val="15264787"/>
    <w:rsid w:val="152651DF"/>
    <w:rsid w:val="1534314D"/>
    <w:rsid w:val="153B598D"/>
    <w:rsid w:val="153C5521"/>
    <w:rsid w:val="153E24FF"/>
    <w:rsid w:val="153F693C"/>
    <w:rsid w:val="15492542"/>
    <w:rsid w:val="15497B07"/>
    <w:rsid w:val="154B690C"/>
    <w:rsid w:val="154E05A0"/>
    <w:rsid w:val="15511059"/>
    <w:rsid w:val="15530622"/>
    <w:rsid w:val="15541A0E"/>
    <w:rsid w:val="155F4211"/>
    <w:rsid w:val="15600EE0"/>
    <w:rsid w:val="15665A05"/>
    <w:rsid w:val="156D5C06"/>
    <w:rsid w:val="157142A9"/>
    <w:rsid w:val="15722696"/>
    <w:rsid w:val="1578575C"/>
    <w:rsid w:val="15793D5E"/>
    <w:rsid w:val="15816CAC"/>
    <w:rsid w:val="158C3EB1"/>
    <w:rsid w:val="158C7A4C"/>
    <w:rsid w:val="1593304B"/>
    <w:rsid w:val="159C085C"/>
    <w:rsid w:val="15A22C8E"/>
    <w:rsid w:val="15B21510"/>
    <w:rsid w:val="15B65643"/>
    <w:rsid w:val="15BB13F9"/>
    <w:rsid w:val="15BD6C49"/>
    <w:rsid w:val="15BD7DC9"/>
    <w:rsid w:val="15BF5123"/>
    <w:rsid w:val="15C45334"/>
    <w:rsid w:val="15C80014"/>
    <w:rsid w:val="15C80682"/>
    <w:rsid w:val="15D77F07"/>
    <w:rsid w:val="15DA39B3"/>
    <w:rsid w:val="15DF3A65"/>
    <w:rsid w:val="15E63EDD"/>
    <w:rsid w:val="15ED1A1A"/>
    <w:rsid w:val="15EF5C35"/>
    <w:rsid w:val="15EF647A"/>
    <w:rsid w:val="15F2205F"/>
    <w:rsid w:val="15F83D70"/>
    <w:rsid w:val="15FB4C45"/>
    <w:rsid w:val="15FB4F1F"/>
    <w:rsid w:val="15FD50CF"/>
    <w:rsid w:val="15FE75DB"/>
    <w:rsid w:val="16066764"/>
    <w:rsid w:val="160B3B93"/>
    <w:rsid w:val="16133AAC"/>
    <w:rsid w:val="16166F4B"/>
    <w:rsid w:val="161A0111"/>
    <w:rsid w:val="162515CA"/>
    <w:rsid w:val="162547AD"/>
    <w:rsid w:val="16271AD5"/>
    <w:rsid w:val="16276743"/>
    <w:rsid w:val="162955B1"/>
    <w:rsid w:val="162A0AEE"/>
    <w:rsid w:val="162A393C"/>
    <w:rsid w:val="162E123F"/>
    <w:rsid w:val="162E419F"/>
    <w:rsid w:val="16352B0E"/>
    <w:rsid w:val="1636546A"/>
    <w:rsid w:val="16385BA1"/>
    <w:rsid w:val="16396D0A"/>
    <w:rsid w:val="163C2796"/>
    <w:rsid w:val="163D5AC4"/>
    <w:rsid w:val="163E4521"/>
    <w:rsid w:val="16423908"/>
    <w:rsid w:val="164F31F7"/>
    <w:rsid w:val="165610AC"/>
    <w:rsid w:val="16570A45"/>
    <w:rsid w:val="165D09CA"/>
    <w:rsid w:val="165F66C5"/>
    <w:rsid w:val="16603041"/>
    <w:rsid w:val="166062C3"/>
    <w:rsid w:val="16632ED2"/>
    <w:rsid w:val="166B204D"/>
    <w:rsid w:val="166C4595"/>
    <w:rsid w:val="166D2E7D"/>
    <w:rsid w:val="167335FE"/>
    <w:rsid w:val="16767511"/>
    <w:rsid w:val="167719FD"/>
    <w:rsid w:val="16820E6C"/>
    <w:rsid w:val="16821120"/>
    <w:rsid w:val="168E0F22"/>
    <w:rsid w:val="16923F00"/>
    <w:rsid w:val="16942028"/>
    <w:rsid w:val="16953B21"/>
    <w:rsid w:val="16966989"/>
    <w:rsid w:val="169879CC"/>
    <w:rsid w:val="16991DF8"/>
    <w:rsid w:val="16991EA8"/>
    <w:rsid w:val="169B61FD"/>
    <w:rsid w:val="169F0A96"/>
    <w:rsid w:val="169F50B4"/>
    <w:rsid w:val="16A02C50"/>
    <w:rsid w:val="16A31B81"/>
    <w:rsid w:val="16A70986"/>
    <w:rsid w:val="16B01C26"/>
    <w:rsid w:val="16C02F79"/>
    <w:rsid w:val="16C5049D"/>
    <w:rsid w:val="16C73863"/>
    <w:rsid w:val="16C81743"/>
    <w:rsid w:val="16CB7FA8"/>
    <w:rsid w:val="16CD19B0"/>
    <w:rsid w:val="16D519A5"/>
    <w:rsid w:val="16DB2480"/>
    <w:rsid w:val="16DC2542"/>
    <w:rsid w:val="16E0257E"/>
    <w:rsid w:val="16E259DC"/>
    <w:rsid w:val="16E8612E"/>
    <w:rsid w:val="16E8660E"/>
    <w:rsid w:val="16EA1677"/>
    <w:rsid w:val="16EB0076"/>
    <w:rsid w:val="16ED5BE2"/>
    <w:rsid w:val="16F03735"/>
    <w:rsid w:val="16F11AAC"/>
    <w:rsid w:val="16FD1C14"/>
    <w:rsid w:val="16FE2A44"/>
    <w:rsid w:val="17001488"/>
    <w:rsid w:val="1709149F"/>
    <w:rsid w:val="170979B6"/>
    <w:rsid w:val="170E6C90"/>
    <w:rsid w:val="17104FA4"/>
    <w:rsid w:val="17201EC7"/>
    <w:rsid w:val="17205A73"/>
    <w:rsid w:val="17227DFC"/>
    <w:rsid w:val="172A00B8"/>
    <w:rsid w:val="172C20DC"/>
    <w:rsid w:val="172D52B1"/>
    <w:rsid w:val="172F7172"/>
    <w:rsid w:val="1737289F"/>
    <w:rsid w:val="173A3233"/>
    <w:rsid w:val="173B5F05"/>
    <w:rsid w:val="173D3CA7"/>
    <w:rsid w:val="173E23C5"/>
    <w:rsid w:val="173F439E"/>
    <w:rsid w:val="173F5625"/>
    <w:rsid w:val="17433596"/>
    <w:rsid w:val="174A0B5A"/>
    <w:rsid w:val="17590E7F"/>
    <w:rsid w:val="175B1081"/>
    <w:rsid w:val="175C2BCC"/>
    <w:rsid w:val="17665F99"/>
    <w:rsid w:val="176A493D"/>
    <w:rsid w:val="17753D80"/>
    <w:rsid w:val="17774B19"/>
    <w:rsid w:val="177750D5"/>
    <w:rsid w:val="17775C53"/>
    <w:rsid w:val="177B5B88"/>
    <w:rsid w:val="177C2725"/>
    <w:rsid w:val="178058B9"/>
    <w:rsid w:val="17807471"/>
    <w:rsid w:val="1786688E"/>
    <w:rsid w:val="178C6515"/>
    <w:rsid w:val="17945992"/>
    <w:rsid w:val="1796608A"/>
    <w:rsid w:val="179848ED"/>
    <w:rsid w:val="17A209ED"/>
    <w:rsid w:val="17A46DAA"/>
    <w:rsid w:val="17A9592D"/>
    <w:rsid w:val="17AB5408"/>
    <w:rsid w:val="17AE1AA1"/>
    <w:rsid w:val="17B115CE"/>
    <w:rsid w:val="17B14132"/>
    <w:rsid w:val="17B65BB2"/>
    <w:rsid w:val="17B71616"/>
    <w:rsid w:val="17BF0CC2"/>
    <w:rsid w:val="17C27914"/>
    <w:rsid w:val="17C3444C"/>
    <w:rsid w:val="17CA6B64"/>
    <w:rsid w:val="17CC40F0"/>
    <w:rsid w:val="17CC5E89"/>
    <w:rsid w:val="17D452D8"/>
    <w:rsid w:val="17D51581"/>
    <w:rsid w:val="17D55F41"/>
    <w:rsid w:val="17DE2C66"/>
    <w:rsid w:val="17E3577C"/>
    <w:rsid w:val="17EE5EF5"/>
    <w:rsid w:val="17F21F1C"/>
    <w:rsid w:val="17F308DE"/>
    <w:rsid w:val="17F623B9"/>
    <w:rsid w:val="17FC6266"/>
    <w:rsid w:val="17FF1529"/>
    <w:rsid w:val="1800608F"/>
    <w:rsid w:val="18020580"/>
    <w:rsid w:val="1802742A"/>
    <w:rsid w:val="181122F3"/>
    <w:rsid w:val="18131086"/>
    <w:rsid w:val="1813128A"/>
    <w:rsid w:val="181A4BAC"/>
    <w:rsid w:val="18215D36"/>
    <w:rsid w:val="18267302"/>
    <w:rsid w:val="182F09D7"/>
    <w:rsid w:val="1830213B"/>
    <w:rsid w:val="18307016"/>
    <w:rsid w:val="18326109"/>
    <w:rsid w:val="18354C3B"/>
    <w:rsid w:val="183A015A"/>
    <w:rsid w:val="184444FF"/>
    <w:rsid w:val="18585177"/>
    <w:rsid w:val="185867DB"/>
    <w:rsid w:val="18642735"/>
    <w:rsid w:val="18647C02"/>
    <w:rsid w:val="18664384"/>
    <w:rsid w:val="186672BF"/>
    <w:rsid w:val="1869169B"/>
    <w:rsid w:val="186D3D7D"/>
    <w:rsid w:val="186E37B1"/>
    <w:rsid w:val="18747B10"/>
    <w:rsid w:val="187753A7"/>
    <w:rsid w:val="187842FB"/>
    <w:rsid w:val="18830FBB"/>
    <w:rsid w:val="188D0026"/>
    <w:rsid w:val="188F4DF8"/>
    <w:rsid w:val="189E07BB"/>
    <w:rsid w:val="18A12B91"/>
    <w:rsid w:val="18A91415"/>
    <w:rsid w:val="18AA15E3"/>
    <w:rsid w:val="18AC4F88"/>
    <w:rsid w:val="18AC5945"/>
    <w:rsid w:val="18AD437A"/>
    <w:rsid w:val="18B2558D"/>
    <w:rsid w:val="18B65C54"/>
    <w:rsid w:val="18CD3DB8"/>
    <w:rsid w:val="18CD4F10"/>
    <w:rsid w:val="18CF6849"/>
    <w:rsid w:val="18D07312"/>
    <w:rsid w:val="18D7166E"/>
    <w:rsid w:val="18D75934"/>
    <w:rsid w:val="18D84CAD"/>
    <w:rsid w:val="18DB3BE9"/>
    <w:rsid w:val="18DD3ED4"/>
    <w:rsid w:val="18DE419D"/>
    <w:rsid w:val="18E302E5"/>
    <w:rsid w:val="18E33A71"/>
    <w:rsid w:val="18F021DC"/>
    <w:rsid w:val="18F34EB5"/>
    <w:rsid w:val="18F85E08"/>
    <w:rsid w:val="18FC03F4"/>
    <w:rsid w:val="190236F7"/>
    <w:rsid w:val="19062959"/>
    <w:rsid w:val="191142ED"/>
    <w:rsid w:val="19147C56"/>
    <w:rsid w:val="191762AC"/>
    <w:rsid w:val="191E00E4"/>
    <w:rsid w:val="192A0E83"/>
    <w:rsid w:val="192C7DA3"/>
    <w:rsid w:val="192D142E"/>
    <w:rsid w:val="193909EE"/>
    <w:rsid w:val="193E4FD6"/>
    <w:rsid w:val="1947345D"/>
    <w:rsid w:val="194A5FF7"/>
    <w:rsid w:val="194F07F9"/>
    <w:rsid w:val="194F3E56"/>
    <w:rsid w:val="19535329"/>
    <w:rsid w:val="1955034F"/>
    <w:rsid w:val="195C0714"/>
    <w:rsid w:val="195F0E56"/>
    <w:rsid w:val="196B2FE4"/>
    <w:rsid w:val="19781081"/>
    <w:rsid w:val="197B61B5"/>
    <w:rsid w:val="197C2DDA"/>
    <w:rsid w:val="197C3908"/>
    <w:rsid w:val="197C4A16"/>
    <w:rsid w:val="197D2B20"/>
    <w:rsid w:val="197F28EF"/>
    <w:rsid w:val="19824C5A"/>
    <w:rsid w:val="19892260"/>
    <w:rsid w:val="19A50C9F"/>
    <w:rsid w:val="19AC3FD1"/>
    <w:rsid w:val="19B42C94"/>
    <w:rsid w:val="19B51C68"/>
    <w:rsid w:val="19C7286C"/>
    <w:rsid w:val="19C742D7"/>
    <w:rsid w:val="19C90570"/>
    <w:rsid w:val="19C91A1D"/>
    <w:rsid w:val="19CA1536"/>
    <w:rsid w:val="19CD1636"/>
    <w:rsid w:val="19CD3310"/>
    <w:rsid w:val="19D14648"/>
    <w:rsid w:val="19D162E9"/>
    <w:rsid w:val="19D50938"/>
    <w:rsid w:val="19DC2B84"/>
    <w:rsid w:val="19DC331B"/>
    <w:rsid w:val="19DD2E30"/>
    <w:rsid w:val="19E05A34"/>
    <w:rsid w:val="19E40CA8"/>
    <w:rsid w:val="19EC4496"/>
    <w:rsid w:val="19F35A29"/>
    <w:rsid w:val="19FF27F1"/>
    <w:rsid w:val="1A012714"/>
    <w:rsid w:val="1A0672FF"/>
    <w:rsid w:val="1A13768F"/>
    <w:rsid w:val="1A143326"/>
    <w:rsid w:val="1A171797"/>
    <w:rsid w:val="1A1A1160"/>
    <w:rsid w:val="1A1F3192"/>
    <w:rsid w:val="1A2465EA"/>
    <w:rsid w:val="1A28144A"/>
    <w:rsid w:val="1A28417A"/>
    <w:rsid w:val="1A286749"/>
    <w:rsid w:val="1A290060"/>
    <w:rsid w:val="1A2A110B"/>
    <w:rsid w:val="1A3368CF"/>
    <w:rsid w:val="1A4C726A"/>
    <w:rsid w:val="1A527ED5"/>
    <w:rsid w:val="1A5400CF"/>
    <w:rsid w:val="1A540AF1"/>
    <w:rsid w:val="1A611CCA"/>
    <w:rsid w:val="1A635848"/>
    <w:rsid w:val="1A65028D"/>
    <w:rsid w:val="1A682A7C"/>
    <w:rsid w:val="1A6A0A19"/>
    <w:rsid w:val="1A740FC4"/>
    <w:rsid w:val="1A7B2F1A"/>
    <w:rsid w:val="1A7C51A8"/>
    <w:rsid w:val="1A8018F9"/>
    <w:rsid w:val="1A9355E3"/>
    <w:rsid w:val="1A9A5565"/>
    <w:rsid w:val="1A9B4FE5"/>
    <w:rsid w:val="1A9D4D5B"/>
    <w:rsid w:val="1A9E0E47"/>
    <w:rsid w:val="1AA01F4D"/>
    <w:rsid w:val="1AA54DA8"/>
    <w:rsid w:val="1AA94E21"/>
    <w:rsid w:val="1AAD03B7"/>
    <w:rsid w:val="1AB21DEA"/>
    <w:rsid w:val="1AB57E6E"/>
    <w:rsid w:val="1ABC294A"/>
    <w:rsid w:val="1ABF7D97"/>
    <w:rsid w:val="1AC243B7"/>
    <w:rsid w:val="1AC33C5E"/>
    <w:rsid w:val="1ACA30FB"/>
    <w:rsid w:val="1ACB1D0B"/>
    <w:rsid w:val="1ACD3362"/>
    <w:rsid w:val="1ACF5F1D"/>
    <w:rsid w:val="1AD017CE"/>
    <w:rsid w:val="1AD23271"/>
    <w:rsid w:val="1ADF1900"/>
    <w:rsid w:val="1AE13DBE"/>
    <w:rsid w:val="1AE4078A"/>
    <w:rsid w:val="1AE477BF"/>
    <w:rsid w:val="1AE84B8F"/>
    <w:rsid w:val="1AF0267A"/>
    <w:rsid w:val="1AF57B0F"/>
    <w:rsid w:val="1B003D2F"/>
    <w:rsid w:val="1B053153"/>
    <w:rsid w:val="1B106294"/>
    <w:rsid w:val="1B111D6B"/>
    <w:rsid w:val="1B193587"/>
    <w:rsid w:val="1B1F2042"/>
    <w:rsid w:val="1B333E4F"/>
    <w:rsid w:val="1B3C370D"/>
    <w:rsid w:val="1B426211"/>
    <w:rsid w:val="1B4D08A1"/>
    <w:rsid w:val="1B500EDE"/>
    <w:rsid w:val="1B564354"/>
    <w:rsid w:val="1B574817"/>
    <w:rsid w:val="1B5C60DF"/>
    <w:rsid w:val="1B69657D"/>
    <w:rsid w:val="1B6E5E7F"/>
    <w:rsid w:val="1B6E7506"/>
    <w:rsid w:val="1B723C75"/>
    <w:rsid w:val="1B747B67"/>
    <w:rsid w:val="1B794B24"/>
    <w:rsid w:val="1B7A1021"/>
    <w:rsid w:val="1B8D062A"/>
    <w:rsid w:val="1B8D2829"/>
    <w:rsid w:val="1B8F2E58"/>
    <w:rsid w:val="1B95422B"/>
    <w:rsid w:val="1B977B03"/>
    <w:rsid w:val="1B9D699C"/>
    <w:rsid w:val="1BA801E3"/>
    <w:rsid w:val="1BA80572"/>
    <w:rsid w:val="1BA86609"/>
    <w:rsid w:val="1BAA681B"/>
    <w:rsid w:val="1BAC46CF"/>
    <w:rsid w:val="1BAC6F27"/>
    <w:rsid w:val="1BAE3427"/>
    <w:rsid w:val="1BAE3527"/>
    <w:rsid w:val="1BB40D5B"/>
    <w:rsid w:val="1BBB2F0D"/>
    <w:rsid w:val="1BC5776F"/>
    <w:rsid w:val="1BCB3618"/>
    <w:rsid w:val="1BD62E83"/>
    <w:rsid w:val="1BD75989"/>
    <w:rsid w:val="1BD967CA"/>
    <w:rsid w:val="1BDA5211"/>
    <w:rsid w:val="1BDA6784"/>
    <w:rsid w:val="1BDB727A"/>
    <w:rsid w:val="1BDD2D22"/>
    <w:rsid w:val="1BE33139"/>
    <w:rsid w:val="1BEC4618"/>
    <w:rsid w:val="1BEC7722"/>
    <w:rsid w:val="1BF32B84"/>
    <w:rsid w:val="1BFA467D"/>
    <w:rsid w:val="1C0D215E"/>
    <w:rsid w:val="1C1555B5"/>
    <w:rsid w:val="1C19243D"/>
    <w:rsid w:val="1C2359D5"/>
    <w:rsid w:val="1C2C6735"/>
    <w:rsid w:val="1C320870"/>
    <w:rsid w:val="1C383AAD"/>
    <w:rsid w:val="1C41512B"/>
    <w:rsid w:val="1C435938"/>
    <w:rsid w:val="1C4547C9"/>
    <w:rsid w:val="1C463566"/>
    <w:rsid w:val="1C466FAD"/>
    <w:rsid w:val="1C4B1AEA"/>
    <w:rsid w:val="1C4F09E6"/>
    <w:rsid w:val="1C5733C0"/>
    <w:rsid w:val="1C58384A"/>
    <w:rsid w:val="1C5A4477"/>
    <w:rsid w:val="1C5D4592"/>
    <w:rsid w:val="1C602034"/>
    <w:rsid w:val="1C630C85"/>
    <w:rsid w:val="1C706488"/>
    <w:rsid w:val="1C7126E5"/>
    <w:rsid w:val="1C7604BF"/>
    <w:rsid w:val="1C76166D"/>
    <w:rsid w:val="1C7E67BA"/>
    <w:rsid w:val="1C7F3700"/>
    <w:rsid w:val="1C801A2F"/>
    <w:rsid w:val="1C862518"/>
    <w:rsid w:val="1C8C0558"/>
    <w:rsid w:val="1C8C46D2"/>
    <w:rsid w:val="1CA03DFF"/>
    <w:rsid w:val="1CA324A3"/>
    <w:rsid w:val="1CA452A2"/>
    <w:rsid w:val="1CA81DD7"/>
    <w:rsid w:val="1CA9118D"/>
    <w:rsid w:val="1CA92409"/>
    <w:rsid w:val="1CAB2827"/>
    <w:rsid w:val="1CAB7776"/>
    <w:rsid w:val="1CAD23BC"/>
    <w:rsid w:val="1CB4713D"/>
    <w:rsid w:val="1CB63484"/>
    <w:rsid w:val="1CBE2675"/>
    <w:rsid w:val="1CC13AF9"/>
    <w:rsid w:val="1CC17CD2"/>
    <w:rsid w:val="1CC219BE"/>
    <w:rsid w:val="1CC562D3"/>
    <w:rsid w:val="1CC6057C"/>
    <w:rsid w:val="1CC95E7D"/>
    <w:rsid w:val="1CD20046"/>
    <w:rsid w:val="1CD57DE8"/>
    <w:rsid w:val="1CD93F96"/>
    <w:rsid w:val="1CDA4848"/>
    <w:rsid w:val="1CDD71FC"/>
    <w:rsid w:val="1CE058B3"/>
    <w:rsid w:val="1CF00861"/>
    <w:rsid w:val="1CF511E8"/>
    <w:rsid w:val="1CF517C7"/>
    <w:rsid w:val="1CF63EAC"/>
    <w:rsid w:val="1D003B3E"/>
    <w:rsid w:val="1D060F93"/>
    <w:rsid w:val="1D082749"/>
    <w:rsid w:val="1D0E2871"/>
    <w:rsid w:val="1D107D90"/>
    <w:rsid w:val="1D156B32"/>
    <w:rsid w:val="1D1B0899"/>
    <w:rsid w:val="1D1B4E2F"/>
    <w:rsid w:val="1D245D5A"/>
    <w:rsid w:val="1D287613"/>
    <w:rsid w:val="1D2A5D69"/>
    <w:rsid w:val="1D2C2385"/>
    <w:rsid w:val="1D2F549C"/>
    <w:rsid w:val="1D2F5976"/>
    <w:rsid w:val="1D301FD2"/>
    <w:rsid w:val="1D3377CD"/>
    <w:rsid w:val="1D3B1679"/>
    <w:rsid w:val="1D3B35F7"/>
    <w:rsid w:val="1D40625E"/>
    <w:rsid w:val="1D406F46"/>
    <w:rsid w:val="1D49599E"/>
    <w:rsid w:val="1D59156E"/>
    <w:rsid w:val="1D5A359A"/>
    <w:rsid w:val="1D5A3B39"/>
    <w:rsid w:val="1D5E4FE0"/>
    <w:rsid w:val="1D5F0269"/>
    <w:rsid w:val="1D63695B"/>
    <w:rsid w:val="1D6B478A"/>
    <w:rsid w:val="1D7067EC"/>
    <w:rsid w:val="1D7128E2"/>
    <w:rsid w:val="1D743738"/>
    <w:rsid w:val="1D7517CA"/>
    <w:rsid w:val="1D76623B"/>
    <w:rsid w:val="1D772185"/>
    <w:rsid w:val="1D793285"/>
    <w:rsid w:val="1D7C6142"/>
    <w:rsid w:val="1D8227F9"/>
    <w:rsid w:val="1D9715A1"/>
    <w:rsid w:val="1D984E17"/>
    <w:rsid w:val="1D9C5F76"/>
    <w:rsid w:val="1DA3157B"/>
    <w:rsid w:val="1DA31C59"/>
    <w:rsid w:val="1DA5615F"/>
    <w:rsid w:val="1DA6327F"/>
    <w:rsid w:val="1DA74210"/>
    <w:rsid w:val="1DA93E9B"/>
    <w:rsid w:val="1DAC4B7B"/>
    <w:rsid w:val="1DAD0A72"/>
    <w:rsid w:val="1DBB0624"/>
    <w:rsid w:val="1DBE0203"/>
    <w:rsid w:val="1DC03BB2"/>
    <w:rsid w:val="1DCC26DB"/>
    <w:rsid w:val="1DCE01F1"/>
    <w:rsid w:val="1DD11EB7"/>
    <w:rsid w:val="1DD31E25"/>
    <w:rsid w:val="1DD843E5"/>
    <w:rsid w:val="1DE16CBB"/>
    <w:rsid w:val="1DE20CA2"/>
    <w:rsid w:val="1DE51F32"/>
    <w:rsid w:val="1DE522FB"/>
    <w:rsid w:val="1DE64253"/>
    <w:rsid w:val="1DE93F65"/>
    <w:rsid w:val="1DEC7F8C"/>
    <w:rsid w:val="1DFB29BF"/>
    <w:rsid w:val="1DFC537C"/>
    <w:rsid w:val="1E043C81"/>
    <w:rsid w:val="1E0518A2"/>
    <w:rsid w:val="1E063CB6"/>
    <w:rsid w:val="1E14558F"/>
    <w:rsid w:val="1E147F11"/>
    <w:rsid w:val="1E194927"/>
    <w:rsid w:val="1E247F42"/>
    <w:rsid w:val="1E380C8B"/>
    <w:rsid w:val="1E3A0881"/>
    <w:rsid w:val="1E407A62"/>
    <w:rsid w:val="1E412AAA"/>
    <w:rsid w:val="1E487D2E"/>
    <w:rsid w:val="1E4A7B9A"/>
    <w:rsid w:val="1E5F341B"/>
    <w:rsid w:val="1E612EEB"/>
    <w:rsid w:val="1E614989"/>
    <w:rsid w:val="1E646104"/>
    <w:rsid w:val="1E6F2526"/>
    <w:rsid w:val="1E7A3631"/>
    <w:rsid w:val="1E7A5950"/>
    <w:rsid w:val="1E8806FB"/>
    <w:rsid w:val="1E922536"/>
    <w:rsid w:val="1E952B0D"/>
    <w:rsid w:val="1E9C4E5F"/>
    <w:rsid w:val="1E9F7E3F"/>
    <w:rsid w:val="1EA758E8"/>
    <w:rsid w:val="1EAE2287"/>
    <w:rsid w:val="1EB15EC8"/>
    <w:rsid w:val="1EB27C97"/>
    <w:rsid w:val="1EB832D0"/>
    <w:rsid w:val="1EBC65C1"/>
    <w:rsid w:val="1EBE0771"/>
    <w:rsid w:val="1EBE57C4"/>
    <w:rsid w:val="1EC12EE6"/>
    <w:rsid w:val="1EC14B02"/>
    <w:rsid w:val="1EC97062"/>
    <w:rsid w:val="1ECD5323"/>
    <w:rsid w:val="1ED25FEE"/>
    <w:rsid w:val="1ED50768"/>
    <w:rsid w:val="1EDB0E3B"/>
    <w:rsid w:val="1EE25EFE"/>
    <w:rsid w:val="1EE92678"/>
    <w:rsid w:val="1EED4111"/>
    <w:rsid w:val="1EED4221"/>
    <w:rsid w:val="1EF93864"/>
    <w:rsid w:val="1EFF6D40"/>
    <w:rsid w:val="1F005002"/>
    <w:rsid w:val="1F057911"/>
    <w:rsid w:val="1F064ADE"/>
    <w:rsid w:val="1F0C6342"/>
    <w:rsid w:val="1F0D2F76"/>
    <w:rsid w:val="1F15180D"/>
    <w:rsid w:val="1F151B81"/>
    <w:rsid w:val="1F156836"/>
    <w:rsid w:val="1F1B7A9D"/>
    <w:rsid w:val="1F1D0849"/>
    <w:rsid w:val="1F1D234A"/>
    <w:rsid w:val="1F286A0B"/>
    <w:rsid w:val="1F3200CA"/>
    <w:rsid w:val="1F353AA3"/>
    <w:rsid w:val="1F382483"/>
    <w:rsid w:val="1F3C6787"/>
    <w:rsid w:val="1F3E269D"/>
    <w:rsid w:val="1F3E2E0D"/>
    <w:rsid w:val="1F4333D5"/>
    <w:rsid w:val="1F47030B"/>
    <w:rsid w:val="1F492A50"/>
    <w:rsid w:val="1F4A38BB"/>
    <w:rsid w:val="1F4B2BA6"/>
    <w:rsid w:val="1F4B5410"/>
    <w:rsid w:val="1F4C3235"/>
    <w:rsid w:val="1F530453"/>
    <w:rsid w:val="1F5422E1"/>
    <w:rsid w:val="1F56086F"/>
    <w:rsid w:val="1F57081A"/>
    <w:rsid w:val="1F5857B7"/>
    <w:rsid w:val="1F587685"/>
    <w:rsid w:val="1F5954BB"/>
    <w:rsid w:val="1F5B448C"/>
    <w:rsid w:val="1F5D437B"/>
    <w:rsid w:val="1F5E787F"/>
    <w:rsid w:val="1F615B02"/>
    <w:rsid w:val="1F6B5AB9"/>
    <w:rsid w:val="1F7F5605"/>
    <w:rsid w:val="1F867A44"/>
    <w:rsid w:val="1F891C7E"/>
    <w:rsid w:val="1F89445E"/>
    <w:rsid w:val="1F9207AD"/>
    <w:rsid w:val="1F95722E"/>
    <w:rsid w:val="1F9743E8"/>
    <w:rsid w:val="1F994ED5"/>
    <w:rsid w:val="1F9C591E"/>
    <w:rsid w:val="1FA323CB"/>
    <w:rsid w:val="1FA466D4"/>
    <w:rsid w:val="1FA81DD8"/>
    <w:rsid w:val="1FAF3BF6"/>
    <w:rsid w:val="1FB05C45"/>
    <w:rsid w:val="1FB1349A"/>
    <w:rsid w:val="1FB32DF4"/>
    <w:rsid w:val="1FB46B61"/>
    <w:rsid w:val="1FB5496D"/>
    <w:rsid w:val="1FBD6F50"/>
    <w:rsid w:val="1FCF4E6A"/>
    <w:rsid w:val="1FD017FB"/>
    <w:rsid w:val="1FD2451C"/>
    <w:rsid w:val="1FD5666C"/>
    <w:rsid w:val="1FD70F9C"/>
    <w:rsid w:val="1FDF2F95"/>
    <w:rsid w:val="1FE125DA"/>
    <w:rsid w:val="1FE737CF"/>
    <w:rsid w:val="1FEB6D78"/>
    <w:rsid w:val="1FEC0678"/>
    <w:rsid w:val="1FF67214"/>
    <w:rsid w:val="1FFF517C"/>
    <w:rsid w:val="200C473D"/>
    <w:rsid w:val="200F6BE7"/>
    <w:rsid w:val="20137FA9"/>
    <w:rsid w:val="201B2E4C"/>
    <w:rsid w:val="201D2664"/>
    <w:rsid w:val="20287F86"/>
    <w:rsid w:val="202F0AC1"/>
    <w:rsid w:val="20343C23"/>
    <w:rsid w:val="2035092A"/>
    <w:rsid w:val="203B0A6F"/>
    <w:rsid w:val="203F0446"/>
    <w:rsid w:val="20406A76"/>
    <w:rsid w:val="20464DE8"/>
    <w:rsid w:val="204C2B44"/>
    <w:rsid w:val="204C6A4F"/>
    <w:rsid w:val="204D2936"/>
    <w:rsid w:val="20562B5D"/>
    <w:rsid w:val="205763A4"/>
    <w:rsid w:val="206656DE"/>
    <w:rsid w:val="20693967"/>
    <w:rsid w:val="207375E4"/>
    <w:rsid w:val="20754CFD"/>
    <w:rsid w:val="20760794"/>
    <w:rsid w:val="20766C92"/>
    <w:rsid w:val="207B7C12"/>
    <w:rsid w:val="20810128"/>
    <w:rsid w:val="208A79A9"/>
    <w:rsid w:val="208B1FD8"/>
    <w:rsid w:val="20927D8F"/>
    <w:rsid w:val="20934714"/>
    <w:rsid w:val="20965BD6"/>
    <w:rsid w:val="20A97D1C"/>
    <w:rsid w:val="20B248F8"/>
    <w:rsid w:val="20B81865"/>
    <w:rsid w:val="20BF709C"/>
    <w:rsid w:val="20C000CD"/>
    <w:rsid w:val="20C60EDF"/>
    <w:rsid w:val="20C9520A"/>
    <w:rsid w:val="20D84974"/>
    <w:rsid w:val="20DB0234"/>
    <w:rsid w:val="20DB05D9"/>
    <w:rsid w:val="20DE630F"/>
    <w:rsid w:val="20E50579"/>
    <w:rsid w:val="20E56130"/>
    <w:rsid w:val="20F93467"/>
    <w:rsid w:val="20FA1314"/>
    <w:rsid w:val="20FA6033"/>
    <w:rsid w:val="20FB27AC"/>
    <w:rsid w:val="20FE5A5E"/>
    <w:rsid w:val="2103014B"/>
    <w:rsid w:val="210742CD"/>
    <w:rsid w:val="21092D7F"/>
    <w:rsid w:val="210B0A5C"/>
    <w:rsid w:val="210E65CD"/>
    <w:rsid w:val="21163C05"/>
    <w:rsid w:val="21176A68"/>
    <w:rsid w:val="211A4540"/>
    <w:rsid w:val="211C5E19"/>
    <w:rsid w:val="2123706C"/>
    <w:rsid w:val="21271570"/>
    <w:rsid w:val="213A7C48"/>
    <w:rsid w:val="21416BE2"/>
    <w:rsid w:val="21417A3E"/>
    <w:rsid w:val="21453DF7"/>
    <w:rsid w:val="21486758"/>
    <w:rsid w:val="214F6823"/>
    <w:rsid w:val="215145B4"/>
    <w:rsid w:val="21571E02"/>
    <w:rsid w:val="215B5249"/>
    <w:rsid w:val="215E1C81"/>
    <w:rsid w:val="215F5EC0"/>
    <w:rsid w:val="2166167B"/>
    <w:rsid w:val="21685E8D"/>
    <w:rsid w:val="21691533"/>
    <w:rsid w:val="216C1938"/>
    <w:rsid w:val="21711B50"/>
    <w:rsid w:val="21755CF7"/>
    <w:rsid w:val="217F2F31"/>
    <w:rsid w:val="21810C9F"/>
    <w:rsid w:val="21817A84"/>
    <w:rsid w:val="218369D9"/>
    <w:rsid w:val="218715CE"/>
    <w:rsid w:val="218A0315"/>
    <w:rsid w:val="21943C45"/>
    <w:rsid w:val="21953B4B"/>
    <w:rsid w:val="219B360E"/>
    <w:rsid w:val="21A77754"/>
    <w:rsid w:val="21B25E51"/>
    <w:rsid w:val="21B4496C"/>
    <w:rsid w:val="21BB2460"/>
    <w:rsid w:val="21BE52A8"/>
    <w:rsid w:val="21BE6534"/>
    <w:rsid w:val="21BF4614"/>
    <w:rsid w:val="21C27B42"/>
    <w:rsid w:val="21C340D1"/>
    <w:rsid w:val="21C879AD"/>
    <w:rsid w:val="21C937C2"/>
    <w:rsid w:val="21CE51F2"/>
    <w:rsid w:val="21D26315"/>
    <w:rsid w:val="21D508DB"/>
    <w:rsid w:val="21D81CB2"/>
    <w:rsid w:val="21DB3E0D"/>
    <w:rsid w:val="21E01974"/>
    <w:rsid w:val="21E7559C"/>
    <w:rsid w:val="21F225AF"/>
    <w:rsid w:val="21F677E6"/>
    <w:rsid w:val="21F91117"/>
    <w:rsid w:val="220802EF"/>
    <w:rsid w:val="220862A3"/>
    <w:rsid w:val="220B54F6"/>
    <w:rsid w:val="220C6461"/>
    <w:rsid w:val="220D15F5"/>
    <w:rsid w:val="220D4608"/>
    <w:rsid w:val="220F69E7"/>
    <w:rsid w:val="221965F5"/>
    <w:rsid w:val="22262803"/>
    <w:rsid w:val="222804CF"/>
    <w:rsid w:val="22291E0C"/>
    <w:rsid w:val="223C1C0C"/>
    <w:rsid w:val="224217F8"/>
    <w:rsid w:val="22444323"/>
    <w:rsid w:val="22445508"/>
    <w:rsid w:val="224515E3"/>
    <w:rsid w:val="22472EB1"/>
    <w:rsid w:val="22480BDD"/>
    <w:rsid w:val="224C4097"/>
    <w:rsid w:val="225136C8"/>
    <w:rsid w:val="22513B6F"/>
    <w:rsid w:val="22527941"/>
    <w:rsid w:val="22564517"/>
    <w:rsid w:val="225D153B"/>
    <w:rsid w:val="22615F62"/>
    <w:rsid w:val="22627D09"/>
    <w:rsid w:val="22696032"/>
    <w:rsid w:val="226C60BA"/>
    <w:rsid w:val="226D4CAF"/>
    <w:rsid w:val="226F1A40"/>
    <w:rsid w:val="2271121F"/>
    <w:rsid w:val="22713A34"/>
    <w:rsid w:val="22725DD9"/>
    <w:rsid w:val="22794261"/>
    <w:rsid w:val="2282405D"/>
    <w:rsid w:val="2286051A"/>
    <w:rsid w:val="22873720"/>
    <w:rsid w:val="228965A0"/>
    <w:rsid w:val="229A3E1C"/>
    <w:rsid w:val="22A073B6"/>
    <w:rsid w:val="22A45327"/>
    <w:rsid w:val="22AA3688"/>
    <w:rsid w:val="22AD2A38"/>
    <w:rsid w:val="22B1584F"/>
    <w:rsid w:val="22B33D3D"/>
    <w:rsid w:val="22B449AB"/>
    <w:rsid w:val="22B60464"/>
    <w:rsid w:val="22C97B2D"/>
    <w:rsid w:val="22CA5ED6"/>
    <w:rsid w:val="22CC5F10"/>
    <w:rsid w:val="22CF391C"/>
    <w:rsid w:val="22D450A0"/>
    <w:rsid w:val="22D6298B"/>
    <w:rsid w:val="22D64668"/>
    <w:rsid w:val="22D83F8C"/>
    <w:rsid w:val="22DA0132"/>
    <w:rsid w:val="22E538A6"/>
    <w:rsid w:val="22E731F9"/>
    <w:rsid w:val="22F47727"/>
    <w:rsid w:val="22FC0AD5"/>
    <w:rsid w:val="22FD6A4E"/>
    <w:rsid w:val="230B52B1"/>
    <w:rsid w:val="230F5BB3"/>
    <w:rsid w:val="23114C24"/>
    <w:rsid w:val="2324661D"/>
    <w:rsid w:val="2331700B"/>
    <w:rsid w:val="233335C7"/>
    <w:rsid w:val="23385D71"/>
    <w:rsid w:val="23475ED3"/>
    <w:rsid w:val="23482D77"/>
    <w:rsid w:val="234A3236"/>
    <w:rsid w:val="234B094C"/>
    <w:rsid w:val="234B4099"/>
    <w:rsid w:val="234C5F3C"/>
    <w:rsid w:val="234E18F4"/>
    <w:rsid w:val="23503C30"/>
    <w:rsid w:val="235A3AE8"/>
    <w:rsid w:val="235F3561"/>
    <w:rsid w:val="23637EAD"/>
    <w:rsid w:val="23661E3B"/>
    <w:rsid w:val="2367136E"/>
    <w:rsid w:val="236B3B51"/>
    <w:rsid w:val="236E7F2D"/>
    <w:rsid w:val="237521F4"/>
    <w:rsid w:val="237D02C7"/>
    <w:rsid w:val="23867229"/>
    <w:rsid w:val="2386723E"/>
    <w:rsid w:val="23877716"/>
    <w:rsid w:val="238C043D"/>
    <w:rsid w:val="238F7470"/>
    <w:rsid w:val="23A06039"/>
    <w:rsid w:val="23A24D5B"/>
    <w:rsid w:val="23A4182C"/>
    <w:rsid w:val="23A80A72"/>
    <w:rsid w:val="23AB786F"/>
    <w:rsid w:val="23AC2065"/>
    <w:rsid w:val="23AC7B42"/>
    <w:rsid w:val="23AD041D"/>
    <w:rsid w:val="23B81CDA"/>
    <w:rsid w:val="23B95149"/>
    <w:rsid w:val="23BA1AC9"/>
    <w:rsid w:val="23C05621"/>
    <w:rsid w:val="23C3790C"/>
    <w:rsid w:val="23C8083F"/>
    <w:rsid w:val="23D25762"/>
    <w:rsid w:val="23D9789A"/>
    <w:rsid w:val="23DA45DB"/>
    <w:rsid w:val="23DB76A9"/>
    <w:rsid w:val="23E25F83"/>
    <w:rsid w:val="23E44F02"/>
    <w:rsid w:val="23E52C0F"/>
    <w:rsid w:val="23E95E82"/>
    <w:rsid w:val="23F76613"/>
    <w:rsid w:val="23FC7707"/>
    <w:rsid w:val="23FE08FF"/>
    <w:rsid w:val="24024464"/>
    <w:rsid w:val="240249AA"/>
    <w:rsid w:val="240B1014"/>
    <w:rsid w:val="240B5171"/>
    <w:rsid w:val="24101266"/>
    <w:rsid w:val="24142164"/>
    <w:rsid w:val="24152B6D"/>
    <w:rsid w:val="24166353"/>
    <w:rsid w:val="241C228E"/>
    <w:rsid w:val="241E22C3"/>
    <w:rsid w:val="24243394"/>
    <w:rsid w:val="242502D3"/>
    <w:rsid w:val="242A3410"/>
    <w:rsid w:val="242C4C66"/>
    <w:rsid w:val="243A7B99"/>
    <w:rsid w:val="243B58B8"/>
    <w:rsid w:val="244019EC"/>
    <w:rsid w:val="24434141"/>
    <w:rsid w:val="244A0BF9"/>
    <w:rsid w:val="245056AA"/>
    <w:rsid w:val="24596293"/>
    <w:rsid w:val="24597CB1"/>
    <w:rsid w:val="245D40D2"/>
    <w:rsid w:val="245D7F90"/>
    <w:rsid w:val="245E355E"/>
    <w:rsid w:val="2463564C"/>
    <w:rsid w:val="24637C17"/>
    <w:rsid w:val="246B5E8B"/>
    <w:rsid w:val="246C0FD5"/>
    <w:rsid w:val="246D4636"/>
    <w:rsid w:val="247D2FB1"/>
    <w:rsid w:val="24827CA0"/>
    <w:rsid w:val="248B6EF7"/>
    <w:rsid w:val="248D5A33"/>
    <w:rsid w:val="248D5FD2"/>
    <w:rsid w:val="249425D8"/>
    <w:rsid w:val="24943594"/>
    <w:rsid w:val="24953946"/>
    <w:rsid w:val="2499245E"/>
    <w:rsid w:val="249B1307"/>
    <w:rsid w:val="249C5890"/>
    <w:rsid w:val="24A417E3"/>
    <w:rsid w:val="24B12C60"/>
    <w:rsid w:val="24B15B26"/>
    <w:rsid w:val="24B15F7C"/>
    <w:rsid w:val="24B60A75"/>
    <w:rsid w:val="24B8759B"/>
    <w:rsid w:val="24B87BA2"/>
    <w:rsid w:val="24BE62D8"/>
    <w:rsid w:val="24C400A4"/>
    <w:rsid w:val="24C81595"/>
    <w:rsid w:val="24D75606"/>
    <w:rsid w:val="24DC2AC0"/>
    <w:rsid w:val="24DD3CFB"/>
    <w:rsid w:val="24E134C8"/>
    <w:rsid w:val="24E51965"/>
    <w:rsid w:val="24E52E94"/>
    <w:rsid w:val="24EF2E4E"/>
    <w:rsid w:val="24F3712F"/>
    <w:rsid w:val="24F412C4"/>
    <w:rsid w:val="24FA4EEB"/>
    <w:rsid w:val="2502520F"/>
    <w:rsid w:val="250E1C2E"/>
    <w:rsid w:val="25144548"/>
    <w:rsid w:val="251A1541"/>
    <w:rsid w:val="251D358F"/>
    <w:rsid w:val="251F037F"/>
    <w:rsid w:val="25247553"/>
    <w:rsid w:val="25294787"/>
    <w:rsid w:val="25297CB4"/>
    <w:rsid w:val="252F7AFA"/>
    <w:rsid w:val="253749E1"/>
    <w:rsid w:val="2538696E"/>
    <w:rsid w:val="25396922"/>
    <w:rsid w:val="253E19B3"/>
    <w:rsid w:val="25423FB4"/>
    <w:rsid w:val="25466965"/>
    <w:rsid w:val="2548789F"/>
    <w:rsid w:val="254A3F23"/>
    <w:rsid w:val="254F0299"/>
    <w:rsid w:val="2554747C"/>
    <w:rsid w:val="255D660B"/>
    <w:rsid w:val="25656C51"/>
    <w:rsid w:val="25672E3D"/>
    <w:rsid w:val="25691D82"/>
    <w:rsid w:val="256A0FE4"/>
    <w:rsid w:val="256C4773"/>
    <w:rsid w:val="25763007"/>
    <w:rsid w:val="258514C6"/>
    <w:rsid w:val="25874E77"/>
    <w:rsid w:val="258D381A"/>
    <w:rsid w:val="259128F7"/>
    <w:rsid w:val="25914EA1"/>
    <w:rsid w:val="25925E4E"/>
    <w:rsid w:val="25937A93"/>
    <w:rsid w:val="25991737"/>
    <w:rsid w:val="259E0E92"/>
    <w:rsid w:val="259E27F7"/>
    <w:rsid w:val="25AA6324"/>
    <w:rsid w:val="25B1128D"/>
    <w:rsid w:val="25BC7F46"/>
    <w:rsid w:val="25BD7DE8"/>
    <w:rsid w:val="25C24D70"/>
    <w:rsid w:val="25D367EB"/>
    <w:rsid w:val="25D4349B"/>
    <w:rsid w:val="25D50377"/>
    <w:rsid w:val="25E544D4"/>
    <w:rsid w:val="25E6221D"/>
    <w:rsid w:val="25E714F8"/>
    <w:rsid w:val="25E75D5B"/>
    <w:rsid w:val="25E82F83"/>
    <w:rsid w:val="25EA28C0"/>
    <w:rsid w:val="25EC6D50"/>
    <w:rsid w:val="25EC74BC"/>
    <w:rsid w:val="25EE3828"/>
    <w:rsid w:val="25F126A1"/>
    <w:rsid w:val="25F307AC"/>
    <w:rsid w:val="25F45615"/>
    <w:rsid w:val="25F75186"/>
    <w:rsid w:val="25F84FE2"/>
    <w:rsid w:val="25FD2022"/>
    <w:rsid w:val="25FE6BA1"/>
    <w:rsid w:val="260E106D"/>
    <w:rsid w:val="26121F1B"/>
    <w:rsid w:val="261A11CE"/>
    <w:rsid w:val="261A32F6"/>
    <w:rsid w:val="261B5CAE"/>
    <w:rsid w:val="261F17F9"/>
    <w:rsid w:val="261F64DB"/>
    <w:rsid w:val="262A0B89"/>
    <w:rsid w:val="262C4031"/>
    <w:rsid w:val="26347B78"/>
    <w:rsid w:val="263638D2"/>
    <w:rsid w:val="263770F9"/>
    <w:rsid w:val="26391E44"/>
    <w:rsid w:val="263F3F4F"/>
    <w:rsid w:val="26416401"/>
    <w:rsid w:val="2644386E"/>
    <w:rsid w:val="2646166C"/>
    <w:rsid w:val="264A6C47"/>
    <w:rsid w:val="264C5B5F"/>
    <w:rsid w:val="2652721E"/>
    <w:rsid w:val="265807A2"/>
    <w:rsid w:val="265B3139"/>
    <w:rsid w:val="265E0501"/>
    <w:rsid w:val="26610BFD"/>
    <w:rsid w:val="26636703"/>
    <w:rsid w:val="26651BFA"/>
    <w:rsid w:val="26664A47"/>
    <w:rsid w:val="26690F4E"/>
    <w:rsid w:val="266D4384"/>
    <w:rsid w:val="2672599C"/>
    <w:rsid w:val="26765E36"/>
    <w:rsid w:val="267A1802"/>
    <w:rsid w:val="267D5C3C"/>
    <w:rsid w:val="2683263E"/>
    <w:rsid w:val="268A2D71"/>
    <w:rsid w:val="268C0091"/>
    <w:rsid w:val="268D3282"/>
    <w:rsid w:val="268F727D"/>
    <w:rsid w:val="269411B2"/>
    <w:rsid w:val="26943D08"/>
    <w:rsid w:val="269A0C6A"/>
    <w:rsid w:val="269E1BCD"/>
    <w:rsid w:val="269E3035"/>
    <w:rsid w:val="269E5569"/>
    <w:rsid w:val="26A91FAF"/>
    <w:rsid w:val="26B725B4"/>
    <w:rsid w:val="26B972F5"/>
    <w:rsid w:val="26BB0CDA"/>
    <w:rsid w:val="26C075E5"/>
    <w:rsid w:val="26D05257"/>
    <w:rsid w:val="26D236B1"/>
    <w:rsid w:val="26D27EB1"/>
    <w:rsid w:val="26DE2FF3"/>
    <w:rsid w:val="26E151A2"/>
    <w:rsid w:val="26E43591"/>
    <w:rsid w:val="26E444CC"/>
    <w:rsid w:val="26E52062"/>
    <w:rsid w:val="26E52D06"/>
    <w:rsid w:val="26E579D9"/>
    <w:rsid w:val="26E93268"/>
    <w:rsid w:val="26EE1B59"/>
    <w:rsid w:val="26EF33BA"/>
    <w:rsid w:val="270037F2"/>
    <w:rsid w:val="270D01B1"/>
    <w:rsid w:val="270F603D"/>
    <w:rsid w:val="27183871"/>
    <w:rsid w:val="271A17F6"/>
    <w:rsid w:val="27227193"/>
    <w:rsid w:val="273375F4"/>
    <w:rsid w:val="27462470"/>
    <w:rsid w:val="27462478"/>
    <w:rsid w:val="2747312A"/>
    <w:rsid w:val="274B5F05"/>
    <w:rsid w:val="274E2A22"/>
    <w:rsid w:val="27586F30"/>
    <w:rsid w:val="275C3B30"/>
    <w:rsid w:val="275C6322"/>
    <w:rsid w:val="27637E17"/>
    <w:rsid w:val="276563AB"/>
    <w:rsid w:val="276B52A9"/>
    <w:rsid w:val="277038E5"/>
    <w:rsid w:val="2772479D"/>
    <w:rsid w:val="27773562"/>
    <w:rsid w:val="278121C4"/>
    <w:rsid w:val="27827B2A"/>
    <w:rsid w:val="27861997"/>
    <w:rsid w:val="27862000"/>
    <w:rsid w:val="278A44F3"/>
    <w:rsid w:val="279B137F"/>
    <w:rsid w:val="279B1918"/>
    <w:rsid w:val="279D17B7"/>
    <w:rsid w:val="279E7653"/>
    <w:rsid w:val="27A1064E"/>
    <w:rsid w:val="27A11052"/>
    <w:rsid w:val="27A2563E"/>
    <w:rsid w:val="27A41FE0"/>
    <w:rsid w:val="27A442D7"/>
    <w:rsid w:val="27AE4E85"/>
    <w:rsid w:val="27B36B22"/>
    <w:rsid w:val="27B571B2"/>
    <w:rsid w:val="27B6581E"/>
    <w:rsid w:val="27B867DC"/>
    <w:rsid w:val="27C200DA"/>
    <w:rsid w:val="27C52FA3"/>
    <w:rsid w:val="27C7722C"/>
    <w:rsid w:val="27CB4A90"/>
    <w:rsid w:val="27CB4C51"/>
    <w:rsid w:val="27CD7B0C"/>
    <w:rsid w:val="27D72383"/>
    <w:rsid w:val="27DE10A4"/>
    <w:rsid w:val="27F0476C"/>
    <w:rsid w:val="27F11F33"/>
    <w:rsid w:val="27F51C63"/>
    <w:rsid w:val="27F52915"/>
    <w:rsid w:val="27FB2C8C"/>
    <w:rsid w:val="27FE510D"/>
    <w:rsid w:val="280004A4"/>
    <w:rsid w:val="28080783"/>
    <w:rsid w:val="28092E39"/>
    <w:rsid w:val="280A0E8E"/>
    <w:rsid w:val="28134797"/>
    <w:rsid w:val="28205F1C"/>
    <w:rsid w:val="28291411"/>
    <w:rsid w:val="282F3EE8"/>
    <w:rsid w:val="283574B2"/>
    <w:rsid w:val="283E3430"/>
    <w:rsid w:val="28415CAA"/>
    <w:rsid w:val="28457B5D"/>
    <w:rsid w:val="28466625"/>
    <w:rsid w:val="28472975"/>
    <w:rsid w:val="284B61BE"/>
    <w:rsid w:val="28620D8D"/>
    <w:rsid w:val="28634E11"/>
    <w:rsid w:val="28651DB3"/>
    <w:rsid w:val="286763F8"/>
    <w:rsid w:val="286870F1"/>
    <w:rsid w:val="286A2DF7"/>
    <w:rsid w:val="286A7397"/>
    <w:rsid w:val="286D3111"/>
    <w:rsid w:val="287A4E6E"/>
    <w:rsid w:val="287F03A3"/>
    <w:rsid w:val="28801388"/>
    <w:rsid w:val="28801ABC"/>
    <w:rsid w:val="28820560"/>
    <w:rsid w:val="28844B72"/>
    <w:rsid w:val="2886454B"/>
    <w:rsid w:val="288A0C35"/>
    <w:rsid w:val="288A51A8"/>
    <w:rsid w:val="28943D1D"/>
    <w:rsid w:val="2897337F"/>
    <w:rsid w:val="2899475F"/>
    <w:rsid w:val="28995400"/>
    <w:rsid w:val="289C55D3"/>
    <w:rsid w:val="289E6902"/>
    <w:rsid w:val="28AE308C"/>
    <w:rsid w:val="28B0189D"/>
    <w:rsid w:val="28B0482A"/>
    <w:rsid w:val="28B1593B"/>
    <w:rsid w:val="28B5040E"/>
    <w:rsid w:val="28B87ECE"/>
    <w:rsid w:val="28BA2E9E"/>
    <w:rsid w:val="28C514E8"/>
    <w:rsid w:val="28C85CBD"/>
    <w:rsid w:val="28CC64A8"/>
    <w:rsid w:val="28CF3343"/>
    <w:rsid w:val="28D74CDC"/>
    <w:rsid w:val="28DD3910"/>
    <w:rsid w:val="28E22DA3"/>
    <w:rsid w:val="28E51A1A"/>
    <w:rsid w:val="28E6527C"/>
    <w:rsid w:val="28EA68FA"/>
    <w:rsid w:val="28EB564A"/>
    <w:rsid w:val="28EC5DF3"/>
    <w:rsid w:val="28EE4614"/>
    <w:rsid w:val="28F704BC"/>
    <w:rsid w:val="28F806B5"/>
    <w:rsid w:val="29020D39"/>
    <w:rsid w:val="290E57E4"/>
    <w:rsid w:val="29124E9C"/>
    <w:rsid w:val="291D7E23"/>
    <w:rsid w:val="291E78C7"/>
    <w:rsid w:val="291F72A1"/>
    <w:rsid w:val="292437C4"/>
    <w:rsid w:val="29277B8D"/>
    <w:rsid w:val="292A70BE"/>
    <w:rsid w:val="292B10F8"/>
    <w:rsid w:val="292D3582"/>
    <w:rsid w:val="29355637"/>
    <w:rsid w:val="293C6F49"/>
    <w:rsid w:val="293D655E"/>
    <w:rsid w:val="294878CE"/>
    <w:rsid w:val="294935C7"/>
    <w:rsid w:val="294D28E7"/>
    <w:rsid w:val="294E3E4A"/>
    <w:rsid w:val="294F6825"/>
    <w:rsid w:val="29513612"/>
    <w:rsid w:val="29514078"/>
    <w:rsid w:val="295267F5"/>
    <w:rsid w:val="295334BE"/>
    <w:rsid w:val="29533D99"/>
    <w:rsid w:val="29553D64"/>
    <w:rsid w:val="295D1384"/>
    <w:rsid w:val="29634F3C"/>
    <w:rsid w:val="2967044D"/>
    <w:rsid w:val="29712EC4"/>
    <w:rsid w:val="29752179"/>
    <w:rsid w:val="29762DE2"/>
    <w:rsid w:val="297823CF"/>
    <w:rsid w:val="297D3548"/>
    <w:rsid w:val="29831EB6"/>
    <w:rsid w:val="29850B99"/>
    <w:rsid w:val="2985686F"/>
    <w:rsid w:val="298A71FC"/>
    <w:rsid w:val="298E2AF2"/>
    <w:rsid w:val="2991148E"/>
    <w:rsid w:val="299E532E"/>
    <w:rsid w:val="299F4B52"/>
    <w:rsid w:val="29A076B2"/>
    <w:rsid w:val="29A171A8"/>
    <w:rsid w:val="29A7194C"/>
    <w:rsid w:val="29A86021"/>
    <w:rsid w:val="29AF0CF2"/>
    <w:rsid w:val="29B40582"/>
    <w:rsid w:val="29B75B62"/>
    <w:rsid w:val="29B8789C"/>
    <w:rsid w:val="29BB48F9"/>
    <w:rsid w:val="29BE7F70"/>
    <w:rsid w:val="29C72F0E"/>
    <w:rsid w:val="29C851FA"/>
    <w:rsid w:val="29CA5DDA"/>
    <w:rsid w:val="29CC1E18"/>
    <w:rsid w:val="29D03958"/>
    <w:rsid w:val="29D055A3"/>
    <w:rsid w:val="29D85DA6"/>
    <w:rsid w:val="29D87D59"/>
    <w:rsid w:val="29DB7C2A"/>
    <w:rsid w:val="29E109BC"/>
    <w:rsid w:val="29E24BDC"/>
    <w:rsid w:val="29EA3EFA"/>
    <w:rsid w:val="29EC4068"/>
    <w:rsid w:val="29ED0386"/>
    <w:rsid w:val="29F30402"/>
    <w:rsid w:val="29F32663"/>
    <w:rsid w:val="29F6710E"/>
    <w:rsid w:val="29FA03BB"/>
    <w:rsid w:val="29FC23BD"/>
    <w:rsid w:val="29FE4D62"/>
    <w:rsid w:val="2A0B2978"/>
    <w:rsid w:val="2A0B34D1"/>
    <w:rsid w:val="2A1246A5"/>
    <w:rsid w:val="2A15033C"/>
    <w:rsid w:val="2A1516B7"/>
    <w:rsid w:val="2A165422"/>
    <w:rsid w:val="2A2059B6"/>
    <w:rsid w:val="2A237FD2"/>
    <w:rsid w:val="2A260037"/>
    <w:rsid w:val="2A2743B1"/>
    <w:rsid w:val="2A2C3888"/>
    <w:rsid w:val="2A2E3546"/>
    <w:rsid w:val="2A3413CE"/>
    <w:rsid w:val="2A342135"/>
    <w:rsid w:val="2A34509D"/>
    <w:rsid w:val="2A38359A"/>
    <w:rsid w:val="2A3D6F10"/>
    <w:rsid w:val="2A4B5E49"/>
    <w:rsid w:val="2A4D1B1B"/>
    <w:rsid w:val="2A5053AB"/>
    <w:rsid w:val="2A563F12"/>
    <w:rsid w:val="2A5E2B2D"/>
    <w:rsid w:val="2A612882"/>
    <w:rsid w:val="2A68693B"/>
    <w:rsid w:val="2A6C35D8"/>
    <w:rsid w:val="2A7019CE"/>
    <w:rsid w:val="2A786D52"/>
    <w:rsid w:val="2A7A703C"/>
    <w:rsid w:val="2A7C23A1"/>
    <w:rsid w:val="2A7E1F3F"/>
    <w:rsid w:val="2A7F3D3E"/>
    <w:rsid w:val="2A801F32"/>
    <w:rsid w:val="2A822ABC"/>
    <w:rsid w:val="2A85786F"/>
    <w:rsid w:val="2A8A534B"/>
    <w:rsid w:val="2A90596F"/>
    <w:rsid w:val="2A9216C7"/>
    <w:rsid w:val="2A93621F"/>
    <w:rsid w:val="2A9413C4"/>
    <w:rsid w:val="2A9415C5"/>
    <w:rsid w:val="2A9859E7"/>
    <w:rsid w:val="2A997220"/>
    <w:rsid w:val="2AA07070"/>
    <w:rsid w:val="2AA260FE"/>
    <w:rsid w:val="2AA3228C"/>
    <w:rsid w:val="2AA62AF5"/>
    <w:rsid w:val="2AAD0B4D"/>
    <w:rsid w:val="2AB02580"/>
    <w:rsid w:val="2AB25EC7"/>
    <w:rsid w:val="2AB55453"/>
    <w:rsid w:val="2AB8475F"/>
    <w:rsid w:val="2ABA3858"/>
    <w:rsid w:val="2AC84725"/>
    <w:rsid w:val="2AC91AE3"/>
    <w:rsid w:val="2ACB1FF9"/>
    <w:rsid w:val="2ACD044E"/>
    <w:rsid w:val="2ACE5477"/>
    <w:rsid w:val="2AD471B8"/>
    <w:rsid w:val="2AE17222"/>
    <w:rsid w:val="2AF10EB0"/>
    <w:rsid w:val="2AF21A5B"/>
    <w:rsid w:val="2AF33DCC"/>
    <w:rsid w:val="2AF7486E"/>
    <w:rsid w:val="2B0A5DD1"/>
    <w:rsid w:val="2B0B5320"/>
    <w:rsid w:val="2B0D409D"/>
    <w:rsid w:val="2B0E49C5"/>
    <w:rsid w:val="2B124505"/>
    <w:rsid w:val="2B153406"/>
    <w:rsid w:val="2B1B28CB"/>
    <w:rsid w:val="2B2F0672"/>
    <w:rsid w:val="2B315C7E"/>
    <w:rsid w:val="2B362168"/>
    <w:rsid w:val="2B3A31EF"/>
    <w:rsid w:val="2B3A4242"/>
    <w:rsid w:val="2B3D133B"/>
    <w:rsid w:val="2B3E7DDF"/>
    <w:rsid w:val="2B4017D5"/>
    <w:rsid w:val="2B403AFD"/>
    <w:rsid w:val="2B405CE6"/>
    <w:rsid w:val="2B4437B8"/>
    <w:rsid w:val="2B475A97"/>
    <w:rsid w:val="2B484B46"/>
    <w:rsid w:val="2B4F74D4"/>
    <w:rsid w:val="2B4F7D03"/>
    <w:rsid w:val="2B502E99"/>
    <w:rsid w:val="2B5300C8"/>
    <w:rsid w:val="2B582F46"/>
    <w:rsid w:val="2B5D22D3"/>
    <w:rsid w:val="2B5E22B4"/>
    <w:rsid w:val="2B68468E"/>
    <w:rsid w:val="2B7366FF"/>
    <w:rsid w:val="2B753E21"/>
    <w:rsid w:val="2B7573CD"/>
    <w:rsid w:val="2B7B56C1"/>
    <w:rsid w:val="2B835265"/>
    <w:rsid w:val="2B883A74"/>
    <w:rsid w:val="2B8C0955"/>
    <w:rsid w:val="2B90766E"/>
    <w:rsid w:val="2B9B2DAA"/>
    <w:rsid w:val="2B9B5260"/>
    <w:rsid w:val="2B9F4C14"/>
    <w:rsid w:val="2B9F679E"/>
    <w:rsid w:val="2BA20210"/>
    <w:rsid w:val="2BA40EC7"/>
    <w:rsid w:val="2BAE076B"/>
    <w:rsid w:val="2BAF0025"/>
    <w:rsid w:val="2BB61217"/>
    <w:rsid w:val="2BB74B77"/>
    <w:rsid w:val="2BBA132E"/>
    <w:rsid w:val="2BBC252F"/>
    <w:rsid w:val="2BC85A41"/>
    <w:rsid w:val="2BC9013E"/>
    <w:rsid w:val="2BCE0252"/>
    <w:rsid w:val="2BCE6299"/>
    <w:rsid w:val="2BCE6CA6"/>
    <w:rsid w:val="2BD10B3E"/>
    <w:rsid w:val="2BD447BA"/>
    <w:rsid w:val="2BD45B66"/>
    <w:rsid w:val="2BD53030"/>
    <w:rsid w:val="2BD806D3"/>
    <w:rsid w:val="2BDE38E5"/>
    <w:rsid w:val="2BE5585F"/>
    <w:rsid w:val="2BEF0B00"/>
    <w:rsid w:val="2BF37A52"/>
    <w:rsid w:val="2BF57E32"/>
    <w:rsid w:val="2BF65BD4"/>
    <w:rsid w:val="2BF91BF0"/>
    <w:rsid w:val="2BFA63ED"/>
    <w:rsid w:val="2BFB3DC9"/>
    <w:rsid w:val="2BFC3938"/>
    <w:rsid w:val="2C0114A6"/>
    <w:rsid w:val="2C023DF0"/>
    <w:rsid w:val="2C0A4A47"/>
    <w:rsid w:val="2C18158A"/>
    <w:rsid w:val="2C1A6A3E"/>
    <w:rsid w:val="2C2629A8"/>
    <w:rsid w:val="2C2911EA"/>
    <w:rsid w:val="2C39551B"/>
    <w:rsid w:val="2C3B5A37"/>
    <w:rsid w:val="2C3E7ACD"/>
    <w:rsid w:val="2C493675"/>
    <w:rsid w:val="2C494595"/>
    <w:rsid w:val="2C510F87"/>
    <w:rsid w:val="2C5449C3"/>
    <w:rsid w:val="2C645919"/>
    <w:rsid w:val="2C7072C4"/>
    <w:rsid w:val="2C792628"/>
    <w:rsid w:val="2C7B7FFE"/>
    <w:rsid w:val="2C7F22AD"/>
    <w:rsid w:val="2C852335"/>
    <w:rsid w:val="2C857791"/>
    <w:rsid w:val="2C876EBE"/>
    <w:rsid w:val="2C9364D4"/>
    <w:rsid w:val="2C973390"/>
    <w:rsid w:val="2CA6419C"/>
    <w:rsid w:val="2CA96743"/>
    <w:rsid w:val="2CAB6AB0"/>
    <w:rsid w:val="2CB075C8"/>
    <w:rsid w:val="2CB70D27"/>
    <w:rsid w:val="2CB927CE"/>
    <w:rsid w:val="2CBB6F29"/>
    <w:rsid w:val="2CC434DD"/>
    <w:rsid w:val="2CC8210B"/>
    <w:rsid w:val="2CC934EC"/>
    <w:rsid w:val="2CD17F0A"/>
    <w:rsid w:val="2CD22E00"/>
    <w:rsid w:val="2CD421B3"/>
    <w:rsid w:val="2CDE5C93"/>
    <w:rsid w:val="2CE650DA"/>
    <w:rsid w:val="2CE95148"/>
    <w:rsid w:val="2CEA0918"/>
    <w:rsid w:val="2CF2123B"/>
    <w:rsid w:val="2CF32383"/>
    <w:rsid w:val="2CF55C93"/>
    <w:rsid w:val="2CFA1B72"/>
    <w:rsid w:val="2D027A33"/>
    <w:rsid w:val="2D1B5A88"/>
    <w:rsid w:val="2D27036B"/>
    <w:rsid w:val="2D2A4E41"/>
    <w:rsid w:val="2D314D77"/>
    <w:rsid w:val="2D322E2D"/>
    <w:rsid w:val="2D350F66"/>
    <w:rsid w:val="2D363BD8"/>
    <w:rsid w:val="2D373C61"/>
    <w:rsid w:val="2D3B626A"/>
    <w:rsid w:val="2D3C3804"/>
    <w:rsid w:val="2D3C51F8"/>
    <w:rsid w:val="2D3D0229"/>
    <w:rsid w:val="2D3D0CFB"/>
    <w:rsid w:val="2D404F1E"/>
    <w:rsid w:val="2D481925"/>
    <w:rsid w:val="2D4840D6"/>
    <w:rsid w:val="2D4F58A3"/>
    <w:rsid w:val="2D50057A"/>
    <w:rsid w:val="2D532620"/>
    <w:rsid w:val="2D55577E"/>
    <w:rsid w:val="2D57108E"/>
    <w:rsid w:val="2D58781C"/>
    <w:rsid w:val="2D5A2240"/>
    <w:rsid w:val="2D5E76CC"/>
    <w:rsid w:val="2D615703"/>
    <w:rsid w:val="2D65434E"/>
    <w:rsid w:val="2D672CDC"/>
    <w:rsid w:val="2D73570E"/>
    <w:rsid w:val="2D763778"/>
    <w:rsid w:val="2D783C0D"/>
    <w:rsid w:val="2D7927F2"/>
    <w:rsid w:val="2D7A056D"/>
    <w:rsid w:val="2D7E133E"/>
    <w:rsid w:val="2D7F5928"/>
    <w:rsid w:val="2D811831"/>
    <w:rsid w:val="2D87544D"/>
    <w:rsid w:val="2D8946F4"/>
    <w:rsid w:val="2D8D666A"/>
    <w:rsid w:val="2D933331"/>
    <w:rsid w:val="2D956247"/>
    <w:rsid w:val="2D965A35"/>
    <w:rsid w:val="2D9D203C"/>
    <w:rsid w:val="2D9F5053"/>
    <w:rsid w:val="2DA12AB8"/>
    <w:rsid w:val="2DA43DA0"/>
    <w:rsid w:val="2DA80FF3"/>
    <w:rsid w:val="2DAC40EE"/>
    <w:rsid w:val="2DAD5CCA"/>
    <w:rsid w:val="2DB639E7"/>
    <w:rsid w:val="2DC24AC0"/>
    <w:rsid w:val="2DC37EE5"/>
    <w:rsid w:val="2DC87D83"/>
    <w:rsid w:val="2DCE09F5"/>
    <w:rsid w:val="2DD078B7"/>
    <w:rsid w:val="2DD11745"/>
    <w:rsid w:val="2DD43C71"/>
    <w:rsid w:val="2DD81A54"/>
    <w:rsid w:val="2DD96C1E"/>
    <w:rsid w:val="2DDA6039"/>
    <w:rsid w:val="2DDE7064"/>
    <w:rsid w:val="2DE15ECD"/>
    <w:rsid w:val="2DE433C7"/>
    <w:rsid w:val="2DF12C5A"/>
    <w:rsid w:val="2DF47F79"/>
    <w:rsid w:val="2DF51334"/>
    <w:rsid w:val="2DFD3D35"/>
    <w:rsid w:val="2DFE1CD4"/>
    <w:rsid w:val="2DFF7CB2"/>
    <w:rsid w:val="2E04420D"/>
    <w:rsid w:val="2E0B4421"/>
    <w:rsid w:val="2E0D76B1"/>
    <w:rsid w:val="2E1215B0"/>
    <w:rsid w:val="2E153DB5"/>
    <w:rsid w:val="2E2404C4"/>
    <w:rsid w:val="2E2D2BC8"/>
    <w:rsid w:val="2E31781E"/>
    <w:rsid w:val="2E3373C0"/>
    <w:rsid w:val="2E3D4CA8"/>
    <w:rsid w:val="2E3F6F72"/>
    <w:rsid w:val="2E416A97"/>
    <w:rsid w:val="2E47064B"/>
    <w:rsid w:val="2E580D08"/>
    <w:rsid w:val="2E5C7742"/>
    <w:rsid w:val="2E5C795A"/>
    <w:rsid w:val="2E5D58B3"/>
    <w:rsid w:val="2E5E0D12"/>
    <w:rsid w:val="2E605F65"/>
    <w:rsid w:val="2E623259"/>
    <w:rsid w:val="2E681DA7"/>
    <w:rsid w:val="2E6C3EC6"/>
    <w:rsid w:val="2E6F606B"/>
    <w:rsid w:val="2E755F09"/>
    <w:rsid w:val="2E783C7B"/>
    <w:rsid w:val="2E7D0C08"/>
    <w:rsid w:val="2E7E7634"/>
    <w:rsid w:val="2E7E7D58"/>
    <w:rsid w:val="2E822701"/>
    <w:rsid w:val="2E825209"/>
    <w:rsid w:val="2E827635"/>
    <w:rsid w:val="2E845365"/>
    <w:rsid w:val="2E851A25"/>
    <w:rsid w:val="2E887424"/>
    <w:rsid w:val="2E892395"/>
    <w:rsid w:val="2E893450"/>
    <w:rsid w:val="2E8B1841"/>
    <w:rsid w:val="2E8B5365"/>
    <w:rsid w:val="2E912691"/>
    <w:rsid w:val="2E93234D"/>
    <w:rsid w:val="2E933937"/>
    <w:rsid w:val="2E956E76"/>
    <w:rsid w:val="2E9A6DB0"/>
    <w:rsid w:val="2E9B5BAC"/>
    <w:rsid w:val="2EA02815"/>
    <w:rsid w:val="2EA1668E"/>
    <w:rsid w:val="2EA36B52"/>
    <w:rsid w:val="2EA91B2D"/>
    <w:rsid w:val="2EAE6213"/>
    <w:rsid w:val="2EB33C1A"/>
    <w:rsid w:val="2EB9222D"/>
    <w:rsid w:val="2EC53A6E"/>
    <w:rsid w:val="2EC64FF5"/>
    <w:rsid w:val="2ED67B22"/>
    <w:rsid w:val="2ED86AB9"/>
    <w:rsid w:val="2ED9433C"/>
    <w:rsid w:val="2EF025D0"/>
    <w:rsid w:val="2EF24B58"/>
    <w:rsid w:val="2EF31367"/>
    <w:rsid w:val="2EF403C1"/>
    <w:rsid w:val="2EFA0BDC"/>
    <w:rsid w:val="2EFC2E1C"/>
    <w:rsid w:val="2F055299"/>
    <w:rsid w:val="2F093861"/>
    <w:rsid w:val="2F0B08A9"/>
    <w:rsid w:val="2F0C75DF"/>
    <w:rsid w:val="2F103033"/>
    <w:rsid w:val="2F1941AF"/>
    <w:rsid w:val="2F1D385E"/>
    <w:rsid w:val="2F246EB6"/>
    <w:rsid w:val="2F2B6DC0"/>
    <w:rsid w:val="2F2F1B6F"/>
    <w:rsid w:val="2F2F1D9C"/>
    <w:rsid w:val="2F3415A7"/>
    <w:rsid w:val="2F353AE8"/>
    <w:rsid w:val="2F3B63A2"/>
    <w:rsid w:val="2F4174F5"/>
    <w:rsid w:val="2F4406AA"/>
    <w:rsid w:val="2F44328A"/>
    <w:rsid w:val="2F4D0DA4"/>
    <w:rsid w:val="2F4F3FB5"/>
    <w:rsid w:val="2F51072B"/>
    <w:rsid w:val="2F513FA4"/>
    <w:rsid w:val="2F63266B"/>
    <w:rsid w:val="2F78287E"/>
    <w:rsid w:val="2F7D2472"/>
    <w:rsid w:val="2F806284"/>
    <w:rsid w:val="2F85623E"/>
    <w:rsid w:val="2F8E0A8A"/>
    <w:rsid w:val="2F8F1CF8"/>
    <w:rsid w:val="2F93371F"/>
    <w:rsid w:val="2F9376E4"/>
    <w:rsid w:val="2F9378B4"/>
    <w:rsid w:val="2F95510F"/>
    <w:rsid w:val="2F9757C2"/>
    <w:rsid w:val="2F9D1FA5"/>
    <w:rsid w:val="2FA147FC"/>
    <w:rsid w:val="2FA43562"/>
    <w:rsid w:val="2FA4421A"/>
    <w:rsid w:val="2FAF151B"/>
    <w:rsid w:val="2FB12512"/>
    <w:rsid w:val="2FB30E0E"/>
    <w:rsid w:val="2FB370E1"/>
    <w:rsid w:val="2FB8112A"/>
    <w:rsid w:val="2FBF3D92"/>
    <w:rsid w:val="2FC35DAF"/>
    <w:rsid w:val="2FC619A1"/>
    <w:rsid w:val="2FCA2819"/>
    <w:rsid w:val="2FCF3F2F"/>
    <w:rsid w:val="2FD23F03"/>
    <w:rsid w:val="2FD80E22"/>
    <w:rsid w:val="2FDA2844"/>
    <w:rsid w:val="2FDC3642"/>
    <w:rsid w:val="2FDE5889"/>
    <w:rsid w:val="2FDE6FCE"/>
    <w:rsid w:val="2FE20AD5"/>
    <w:rsid w:val="2FEB1579"/>
    <w:rsid w:val="2FEF5567"/>
    <w:rsid w:val="2FF85B0D"/>
    <w:rsid w:val="2FFE5FE1"/>
    <w:rsid w:val="300846FA"/>
    <w:rsid w:val="300A766E"/>
    <w:rsid w:val="300E0423"/>
    <w:rsid w:val="3016102D"/>
    <w:rsid w:val="30165F02"/>
    <w:rsid w:val="302D566F"/>
    <w:rsid w:val="303312B5"/>
    <w:rsid w:val="303A4614"/>
    <w:rsid w:val="3040270E"/>
    <w:rsid w:val="30417260"/>
    <w:rsid w:val="30470CBF"/>
    <w:rsid w:val="30526179"/>
    <w:rsid w:val="30546C18"/>
    <w:rsid w:val="30553324"/>
    <w:rsid w:val="305B7F51"/>
    <w:rsid w:val="30610169"/>
    <w:rsid w:val="3061430C"/>
    <w:rsid w:val="306467C0"/>
    <w:rsid w:val="306C5389"/>
    <w:rsid w:val="306D3C30"/>
    <w:rsid w:val="30701A8F"/>
    <w:rsid w:val="30703A54"/>
    <w:rsid w:val="307043BA"/>
    <w:rsid w:val="30730787"/>
    <w:rsid w:val="30742EA2"/>
    <w:rsid w:val="30776694"/>
    <w:rsid w:val="307E1365"/>
    <w:rsid w:val="307F1DF4"/>
    <w:rsid w:val="307F51A7"/>
    <w:rsid w:val="308002FB"/>
    <w:rsid w:val="3082367A"/>
    <w:rsid w:val="30847166"/>
    <w:rsid w:val="308844B8"/>
    <w:rsid w:val="309B7A0A"/>
    <w:rsid w:val="309D7E73"/>
    <w:rsid w:val="309F39CF"/>
    <w:rsid w:val="30A11BED"/>
    <w:rsid w:val="30A53229"/>
    <w:rsid w:val="30A76689"/>
    <w:rsid w:val="30A811F0"/>
    <w:rsid w:val="30A910EB"/>
    <w:rsid w:val="30AE2FD2"/>
    <w:rsid w:val="30B5382F"/>
    <w:rsid w:val="30B67C1C"/>
    <w:rsid w:val="30B807C9"/>
    <w:rsid w:val="30B96626"/>
    <w:rsid w:val="30C564DF"/>
    <w:rsid w:val="30CA6C1E"/>
    <w:rsid w:val="30CE2544"/>
    <w:rsid w:val="30CF679D"/>
    <w:rsid w:val="30CF7748"/>
    <w:rsid w:val="30E11759"/>
    <w:rsid w:val="30E20F2D"/>
    <w:rsid w:val="30E30B9C"/>
    <w:rsid w:val="30E93461"/>
    <w:rsid w:val="30EE7C12"/>
    <w:rsid w:val="30F2087D"/>
    <w:rsid w:val="30F62BCE"/>
    <w:rsid w:val="30F95A1D"/>
    <w:rsid w:val="30FB454C"/>
    <w:rsid w:val="30FB70EE"/>
    <w:rsid w:val="3100708C"/>
    <w:rsid w:val="3106758B"/>
    <w:rsid w:val="310933FC"/>
    <w:rsid w:val="310A6E30"/>
    <w:rsid w:val="310B7C7E"/>
    <w:rsid w:val="310C10E3"/>
    <w:rsid w:val="310F3DF1"/>
    <w:rsid w:val="31162FEA"/>
    <w:rsid w:val="311C4E40"/>
    <w:rsid w:val="31214A03"/>
    <w:rsid w:val="312D60C8"/>
    <w:rsid w:val="312F4B20"/>
    <w:rsid w:val="31374361"/>
    <w:rsid w:val="31394259"/>
    <w:rsid w:val="313B4B11"/>
    <w:rsid w:val="313D3585"/>
    <w:rsid w:val="31420A5D"/>
    <w:rsid w:val="31446B1F"/>
    <w:rsid w:val="314B629F"/>
    <w:rsid w:val="315263A5"/>
    <w:rsid w:val="31532083"/>
    <w:rsid w:val="31584E56"/>
    <w:rsid w:val="315C17BB"/>
    <w:rsid w:val="31613464"/>
    <w:rsid w:val="31657D36"/>
    <w:rsid w:val="31670F19"/>
    <w:rsid w:val="316771CC"/>
    <w:rsid w:val="31685A2A"/>
    <w:rsid w:val="31693BB2"/>
    <w:rsid w:val="316B230A"/>
    <w:rsid w:val="31755198"/>
    <w:rsid w:val="317771F5"/>
    <w:rsid w:val="31795C51"/>
    <w:rsid w:val="317E45C9"/>
    <w:rsid w:val="31850201"/>
    <w:rsid w:val="318B7925"/>
    <w:rsid w:val="318E5740"/>
    <w:rsid w:val="31940711"/>
    <w:rsid w:val="31950279"/>
    <w:rsid w:val="31967E81"/>
    <w:rsid w:val="31973D54"/>
    <w:rsid w:val="31986E19"/>
    <w:rsid w:val="319D399E"/>
    <w:rsid w:val="319F74E9"/>
    <w:rsid w:val="31A611C2"/>
    <w:rsid w:val="31AA3C94"/>
    <w:rsid w:val="31AB7E71"/>
    <w:rsid w:val="31AD38C7"/>
    <w:rsid w:val="31B34135"/>
    <w:rsid w:val="31B64A61"/>
    <w:rsid w:val="31B66168"/>
    <w:rsid w:val="31BA627E"/>
    <w:rsid w:val="31BD65A7"/>
    <w:rsid w:val="31BE5F46"/>
    <w:rsid w:val="31BF6512"/>
    <w:rsid w:val="31C11E94"/>
    <w:rsid w:val="31C27726"/>
    <w:rsid w:val="31C4150D"/>
    <w:rsid w:val="31CB0552"/>
    <w:rsid w:val="31CD2AE7"/>
    <w:rsid w:val="31CF466C"/>
    <w:rsid w:val="31D21EF1"/>
    <w:rsid w:val="31D8371B"/>
    <w:rsid w:val="31DD2C39"/>
    <w:rsid w:val="31E13483"/>
    <w:rsid w:val="31EB75C3"/>
    <w:rsid w:val="31EE1058"/>
    <w:rsid w:val="31F54BF8"/>
    <w:rsid w:val="31FB3986"/>
    <w:rsid w:val="31FD1117"/>
    <w:rsid w:val="31FE2265"/>
    <w:rsid w:val="31FF5CB0"/>
    <w:rsid w:val="32033E8B"/>
    <w:rsid w:val="3203466D"/>
    <w:rsid w:val="32080A5F"/>
    <w:rsid w:val="320E7D48"/>
    <w:rsid w:val="32103B19"/>
    <w:rsid w:val="3212415C"/>
    <w:rsid w:val="321B44EA"/>
    <w:rsid w:val="32271CB5"/>
    <w:rsid w:val="322A281E"/>
    <w:rsid w:val="322B58D2"/>
    <w:rsid w:val="322C7A4D"/>
    <w:rsid w:val="322D0DFE"/>
    <w:rsid w:val="322E7C23"/>
    <w:rsid w:val="323A4554"/>
    <w:rsid w:val="323E36CC"/>
    <w:rsid w:val="32484EEE"/>
    <w:rsid w:val="324A1A3B"/>
    <w:rsid w:val="324C624D"/>
    <w:rsid w:val="324E1753"/>
    <w:rsid w:val="3251108B"/>
    <w:rsid w:val="325654D9"/>
    <w:rsid w:val="325B3B7E"/>
    <w:rsid w:val="325C3E34"/>
    <w:rsid w:val="325D2F81"/>
    <w:rsid w:val="325F3A62"/>
    <w:rsid w:val="32612470"/>
    <w:rsid w:val="32627142"/>
    <w:rsid w:val="32645F4A"/>
    <w:rsid w:val="32671024"/>
    <w:rsid w:val="32697544"/>
    <w:rsid w:val="326B1841"/>
    <w:rsid w:val="32706A1B"/>
    <w:rsid w:val="32756AA2"/>
    <w:rsid w:val="32767E46"/>
    <w:rsid w:val="32770930"/>
    <w:rsid w:val="327D22E0"/>
    <w:rsid w:val="327F5417"/>
    <w:rsid w:val="32815B24"/>
    <w:rsid w:val="328365AF"/>
    <w:rsid w:val="3283673A"/>
    <w:rsid w:val="32842BA2"/>
    <w:rsid w:val="32865F78"/>
    <w:rsid w:val="328A4C50"/>
    <w:rsid w:val="329F27F3"/>
    <w:rsid w:val="32A06369"/>
    <w:rsid w:val="32A25988"/>
    <w:rsid w:val="32A32319"/>
    <w:rsid w:val="32A50A25"/>
    <w:rsid w:val="32A8495B"/>
    <w:rsid w:val="32A92FA1"/>
    <w:rsid w:val="32A975EF"/>
    <w:rsid w:val="32AA74E7"/>
    <w:rsid w:val="32AB54BB"/>
    <w:rsid w:val="32AC4560"/>
    <w:rsid w:val="32AD6AB6"/>
    <w:rsid w:val="32B16D21"/>
    <w:rsid w:val="32B2301A"/>
    <w:rsid w:val="32B91F54"/>
    <w:rsid w:val="32B92A0E"/>
    <w:rsid w:val="32C0513D"/>
    <w:rsid w:val="32C50EF6"/>
    <w:rsid w:val="32CF2FF5"/>
    <w:rsid w:val="32D10B34"/>
    <w:rsid w:val="32D836FE"/>
    <w:rsid w:val="32D91FB1"/>
    <w:rsid w:val="32DC554D"/>
    <w:rsid w:val="32DF235F"/>
    <w:rsid w:val="32E03425"/>
    <w:rsid w:val="32E27DDC"/>
    <w:rsid w:val="32E329D7"/>
    <w:rsid w:val="32E50DE5"/>
    <w:rsid w:val="32E546E0"/>
    <w:rsid w:val="32E931E4"/>
    <w:rsid w:val="32F2157D"/>
    <w:rsid w:val="32F36562"/>
    <w:rsid w:val="32F46EC0"/>
    <w:rsid w:val="32FC6142"/>
    <w:rsid w:val="330A5DE5"/>
    <w:rsid w:val="330B7B76"/>
    <w:rsid w:val="330E36CE"/>
    <w:rsid w:val="330F27C3"/>
    <w:rsid w:val="330F5D59"/>
    <w:rsid w:val="33135F87"/>
    <w:rsid w:val="33161B43"/>
    <w:rsid w:val="331978F9"/>
    <w:rsid w:val="331C6569"/>
    <w:rsid w:val="331C6BFC"/>
    <w:rsid w:val="331C7085"/>
    <w:rsid w:val="33212AC8"/>
    <w:rsid w:val="332F39D4"/>
    <w:rsid w:val="33311A44"/>
    <w:rsid w:val="33330460"/>
    <w:rsid w:val="33352038"/>
    <w:rsid w:val="333853B7"/>
    <w:rsid w:val="33420C8A"/>
    <w:rsid w:val="334573AE"/>
    <w:rsid w:val="33470C14"/>
    <w:rsid w:val="33544D43"/>
    <w:rsid w:val="335837DD"/>
    <w:rsid w:val="335A5B9B"/>
    <w:rsid w:val="335D0CF9"/>
    <w:rsid w:val="336354CB"/>
    <w:rsid w:val="33654B05"/>
    <w:rsid w:val="33740D7C"/>
    <w:rsid w:val="3374225A"/>
    <w:rsid w:val="337F10C3"/>
    <w:rsid w:val="339373D9"/>
    <w:rsid w:val="33A62A8B"/>
    <w:rsid w:val="33A75780"/>
    <w:rsid w:val="33AC170C"/>
    <w:rsid w:val="33BA277B"/>
    <w:rsid w:val="33BD636C"/>
    <w:rsid w:val="33CE7F87"/>
    <w:rsid w:val="33D11554"/>
    <w:rsid w:val="33D64C57"/>
    <w:rsid w:val="33D66C4A"/>
    <w:rsid w:val="33D7577F"/>
    <w:rsid w:val="33DE0615"/>
    <w:rsid w:val="33E307A2"/>
    <w:rsid w:val="33E349FF"/>
    <w:rsid w:val="33E404BC"/>
    <w:rsid w:val="33E421BF"/>
    <w:rsid w:val="33E45A4C"/>
    <w:rsid w:val="33E61403"/>
    <w:rsid w:val="33E7005C"/>
    <w:rsid w:val="33EB1AFD"/>
    <w:rsid w:val="33EB6DF8"/>
    <w:rsid w:val="33F4245F"/>
    <w:rsid w:val="33F951D9"/>
    <w:rsid w:val="33FA40B8"/>
    <w:rsid w:val="340463BB"/>
    <w:rsid w:val="34081374"/>
    <w:rsid w:val="340A5C0F"/>
    <w:rsid w:val="340D7916"/>
    <w:rsid w:val="341149CE"/>
    <w:rsid w:val="34114D86"/>
    <w:rsid w:val="34136FDA"/>
    <w:rsid w:val="341D2353"/>
    <w:rsid w:val="341D592C"/>
    <w:rsid w:val="341E1958"/>
    <w:rsid w:val="342627D5"/>
    <w:rsid w:val="34285AA4"/>
    <w:rsid w:val="34294082"/>
    <w:rsid w:val="34294575"/>
    <w:rsid w:val="342A14B3"/>
    <w:rsid w:val="34307612"/>
    <w:rsid w:val="343B4E08"/>
    <w:rsid w:val="343C7E9C"/>
    <w:rsid w:val="343E45DE"/>
    <w:rsid w:val="34434DD7"/>
    <w:rsid w:val="3445545B"/>
    <w:rsid w:val="344865E5"/>
    <w:rsid w:val="344975C9"/>
    <w:rsid w:val="344B1281"/>
    <w:rsid w:val="344E78DE"/>
    <w:rsid w:val="345004D9"/>
    <w:rsid w:val="34526871"/>
    <w:rsid w:val="345904F9"/>
    <w:rsid w:val="346037E1"/>
    <w:rsid w:val="34690AFA"/>
    <w:rsid w:val="346C2F4A"/>
    <w:rsid w:val="346E7DBF"/>
    <w:rsid w:val="34725455"/>
    <w:rsid w:val="34733F92"/>
    <w:rsid w:val="34770B5F"/>
    <w:rsid w:val="34794007"/>
    <w:rsid w:val="347F1F08"/>
    <w:rsid w:val="348236FF"/>
    <w:rsid w:val="348641EB"/>
    <w:rsid w:val="34865CF3"/>
    <w:rsid w:val="34877A82"/>
    <w:rsid w:val="348925DF"/>
    <w:rsid w:val="348B042D"/>
    <w:rsid w:val="348B7E81"/>
    <w:rsid w:val="348F038F"/>
    <w:rsid w:val="349A1EB4"/>
    <w:rsid w:val="349B15A1"/>
    <w:rsid w:val="349D40CC"/>
    <w:rsid w:val="34A1352C"/>
    <w:rsid w:val="34AD5EAE"/>
    <w:rsid w:val="34AE0E99"/>
    <w:rsid w:val="34AF52D6"/>
    <w:rsid w:val="34B964C1"/>
    <w:rsid w:val="34BB0CD3"/>
    <w:rsid w:val="34BD7F00"/>
    <w:rsid w:val="34C35CDA"/>
    <w:rsid w:val="34C57694"/>
    <w:rsid w:val="34CC2C24"/>
    <w:rsid w:val="34CF2A91"/>
    <w:rsid w:val="34D51F51"/>
    <w:rsid w:val="34D62BF4"/>
    <w:rsid w:val="34D768F7"/>
    <w:rsid w:val="34D90FCC"/>
    <w:rsid w:val="34DA39C3"/>
    <w:rsid w:val="34DD1C8C"/>
    <w:rsid w:val="34DF2F82"/>
    <w:rsid w:val="34E13DD5"/>
    <w:rsid w:val="34E2522A"/>
    <w:rsid w:val="34E345D4"/>
    <w:rsid w:val="34ED13FE"/>
    <w:rsid w:val="34F018AD"/>
    <w:rsid w:val="34F34D3D"/>
    <w:rsid w:val="34F56FDE"/>
    <w:rsid w:val="34F62EEB"/>
    <w:rsid w:val="34F9315F"/>
    <w:rsid w:val="34F97BFF"/>
    <w:rsid w:val="35011028"/>
    <w:rsid w:val="350179AF"/>
    <w:rsid w:val="3506299E"/>
    <w:rsid w:val="35067877"/>
    <w:rsid w:val="35074561"/>
    <w:rsid w:val="35085581"/>
    <w:rsid w:val="350C0F07"/>
    <w:rsid w:val="3512587F"/>
    <w:rsid w:val="35164732"/>
    <w:rsid w:val="35184D00"/>
    <w:rsid w:val="351E7D09"/>
    <w:rsid w:val="351F34A4"/>
    <w:rsid w:val="352B2813"/>
    <w:rsid w:val="35381620"/>
    <w:rsid w:val="35383575"/>
    <w:rsid w:val="3539536D"/>
    <w:rsid w:val="353A5405"/>
    <w:rsid w:val="353A7F2E"/>
    <w:rsid w:val="353E65A1"/>
    <w:rsid w:val="354109E4"/>
    <w:rsid w:val="3544649F"/>
    <w:rsid w:val="35446E02"/>
    <w:rsid w:val="35452391"/>
    <w:rsid w:val="354979E5"/>
    <w:rsid w:val="354C6904"/>
    <w:rsid w:val="3551211C"/>
    <w:rsid w:val="3551794E"/>
    <w:rsid w:val="355F4F12"/>
    <w:rsid w:val="356603C8"/>
    <w:rsid w:val="356B0990"/>
    <w:rsid w:val="35833C30"/>
    <w:rsid w:val="358527B7"/>
    <w:rsid w:val="35897DD6"/>
    <w:rsid w:val="358A2B65"/>
    <w:rsid w:val="358D5B96"/>
    <w:rsid w:val="358E2BDB"/>
    <w:rsid w:val="35916398"/>
    <w:rsid w:val="359C1ACB"/>
    <w:rsid w:val="35A012EC"/>
    <w:rsid w:val="35A9102D"/>
    <w:rsid w:val="35B7486F"/>
    <w:rsid w:val="35B944FC"/>
    <w:rsid w:val="35BC1D02"/>
    <w:rsid w:val="35C07319"/>
    <w:rsid w:val="35C63453"/>
    <w:rsid w:val="35C95F3F"/>
    <w:rsid w:val="35D64392"/>
    <w:rsid w:val="35DA6BAE"/>
    <w:rsid w:val="35DF4821"/>
    <w:rsid w:val="35E16912"/>
    <w:rsid w:val="35E668FD"/>
    <w:rsid w:val="35E677D4"/>
    <w:rsid w:val="35E77980"/>
    <w:rsid w:val="35E915BC"/>
    <w:rsid w:val="35E950AE"/>
    <w:rsid w:val="35F41147"/>
    <w:rsid w:val="35F652CE"/>
    <w:rsid w:val="35FE338E"/>
    <w:rsid w:val="36026A32"/>
    <w:rsid w:val="360603F0"/>
    <w:rsid w:val="360918D1"/>
    <w:rsid w:val="36113EA6"/>
    <w:rsid w:val="36154B36"/>
    <w:rsid w:val="36185134"/>
    <w:rsid w:val="36226B45"/>
    <w:rsid w:val="362542DA"/>
    <w:rsid w:val="3630532A"/>
    <w:rsid w:val="36355C99"/>
    <w:rsid w:val="363901FA"/>
    <w:rsid w:val="363A1065"/>
    <w:rsid w:val="363C284E"/>
    <w:rsid w:val="364227A8"/>
    <w:rsid w:val="36433132"/>
    <w:rsid w:val="36450A2C"/>
    <w:rsid w:val="364514DB"/>
    <w:rsid w:val="364C1DB6"/>
    <w:rsid w:val="36503D28"/>
    <w:rsid w:val="365041E4"/>
    <w:rsid w:val="3654655B"/>
    <w:rsid w:val="36557F7E"/>
    <w:rsid w:val="36585BFB"/>
    <w:rsid w:val="365C5B35"/>
    <w:rsid w:val="365D6405"/>
    <w:rsid w:val="36607E81"/>
    <w:rsid w:val="36670789"/>
    <w:rsid w:val="3674137E"/>
    <w:rsid w:val="36782E8C"/>
    <w:rsid w:val="367F76AF"/>
    <w:rsid w:val="368231C9"/>
    <w:rsid w:val="36895A48"/>
    <w:rsid w:val="368D5697"/>
    <w:rsid w:val="36971AEE"/>
    <w:rsid w:val="369905C1"/>
    <w:rsid w:val="36994DA9"/>
    <w:rsid w:val="36997EE9"/>
    <w:rsid w:val="369B0E3F"/>
    <w:rsid w:val="36B33727"/>
    <w:rsid w:val="36B41D74"/>
    <w:rsid w:val="36B83F3C"/>
    <w:rsid w:val="36BB20B8"/>
    <w:rsid w:val="36C564CF"/>
    <w:rsid w:val="36E135C3"/>
    <w:rsid w:val="36E2414D"/>
    <w:rsid w:val="36E92F68"/>
    <w:rsid w:val="36EE2B5D"/>
    <w:rsid w:val="36F24E5C"/>
    <w:rsid w:val="36F33E58"/>
    <w:rsid w:val="37022D74"/>
    <w:rsid w:val="37042D14"/>
    <w:rsid w:val="3705734B"/>
    <w:rsid w:val="370666A2"/>
    <w:rsid w:val="37067EE5"/>
    <w:rsid w:val="370826AE"/>
    <w:rsid w:val="370B6CB2"/>
    <w:rsid w:val="370E1405"/>
    <w:rsid w:val="370E1CCB"/>
    <w:rsid w:val="37121E23"/>
    <w:rsid w:val="37141168"/>
    <w:rsid w:val="37143882"/>
    <w:rsid w:val="3716414D"/>
    <w:rsid w:val="371B2A6A"/>
    <w:rsid w:val="371D6F1B"/>
    <w:rsid w:val="371F65FA"/>
    <w:rsid w:val="3720717A"/>
    <w:rsid w:val="37234BAA"/>
    <w:rsid w:val="37241F85"/>
    <w:rsid w:val="37256715"/>
    <w:rsid w:val="372A5244"/>
    <w:rsid w:val="372B1A4B"/>
    <w:rsid w:val="372C3F4E"/>
    <w:rsid w:val="372D79B8"/>
    <w:rsid w:val="372F21BF"/>
    <w:rsid w:val="374423B7"/>
    <w:rsid w:val="37466517"/>
    <w:rsid w:val="375176BA"/>
    <w:rsid w:val="375D762D"/>
    <w:rsid w:val="3768123B"/>
    <w:rsid w:val="376B27A4"/>
    <w:rsid w:val="376F0FA8"/>
    <w:rsid w:val="377568D8"/>
    <w:rsid w:val="37822FE3"/>
    <w:rsid w:val="378620C1"/>
    <w:rsid w:val="378A5B8A"/>
    <w:rsid w:val="378E7977"/>
    <w:rsid w:val="37994C36"/>
    <w:rsid w:val="37A00631"/>
    <w:rsid w:val="37A40437"/>
    <w:rsid w:val="37A51533"/>
    <w:rsid w:val="37A80874"/>
    <w:rsid w:val="37A84F13"/>
    <w:rsid w:val="37B54754"/>
    <w:rsid w:val="37BD6DA4"/>
    <w:rsid w:val="37BF0C23"/>
    <w:rsid w:val="37C53C06"/>
    <w:rsid w:val="37CA23DE"/>
    <w:rsid w:val="37CA69F5"/>
    <w:rsid w:val="37CD1FC5"/>
    <w:rsid w:val="37CE1828"/>
    <w:rsid w:val="37CF10E9"/>
    <w:rsid w:val="37CF1D8E"/>
    <w:rsid w:val="37CF40CF"/>
    <w:rsid w:val="37D25CBB"/>
    <w:rsid w:val="37D5406D"/>
    <w:rsid w:val="37D662B0"/>
    <w:rsid w:val="37DF7732"/>
    <w:rsid w:val="37E25DC6"/>
    <w:rsid w:val="37E54996"/>
    <w:rsid w:val="37E650E0"/>
    <w:rsid w:val="37EA4D80"/>
    <w:rsid w:val="37ED52A1"/>
    <w:rsid w:val="37F244C2"/>
    <w:rsid w:val="37F90E31"/>
    <w:rsid w:val="37FB529D"/>
    <w:rsid w:val="380E20E7"/>
    <w:rsid w:val="381700AE"/>
    <w:rsid w:val="381C70FC"/>
    <w:rsid w:val="381D0D22"/>
    <w:rsid w:val="381E266F"/>
    <w:rsid w:val="38200AEA"/>
    <w:rsid w:val="38220324"/>
    <w:rsid w:val="382837EC"/>
    <w:rsid w:val="382A576C"/>
    <w:rsid w:val="382A75B8"/>
    <w:rsid w:val="382D09E6"/>
    <w:rsid w:val="382F6825"/>
    <w:rsid w:val="382F6903"/>
    <w:rsid w:val="383D0366"/>
    <w:rsid w:val="38413EED"/>
    <w:rsid w:val="384D1169"/>
    <w:rsid w:val="384F2A69"/>
    <w:rsid w:val="38504F20"/>
    <w:rsid w:val="38505836"/>
    <w:rsid w:val="385274D7"/>
    <w:rsid w:val="3855368B"/>
    <w:rsid w:val="38587504"/>
    <w:rsid w:val="385E070C"/>
    <w:rsid w:val="385E1859"/>
    <w:rsid w:val="38680EBB"/>
    <w:rsid w:val="387A1EF6"/>
    <w:rsid w:val="387B28F9"/>
    <w:rsid w:val="38834827"/>
    <w:rsid w:val="38853AB8"/>
    <w:rsid w:val="388542C2"/>
    <w:rsid w:val="3886296C"/>
    <w:rsid w:val="3895668E"/>
    <w:rsid w:val="38960D57"/>
    <w:rsid w:val="38984052"/>
    <w:rsid w:val="389C730F"/>
    <w:rsid w:val="389F7E58"/>
    <w:rsid w:val="38A85F62"/>
    <w:rsid w:val="38AA7493"/>
    <w:rsid w:val="38AF59BF"/>
    <w:rsid w:val="38B6035F"/>
    <w:rsid w:val="38BF61D2"/>
    <w:rsid w:val="38C05FB3"/>
    <w:rsid w:val="38C42156"/>
    <w:rsid w:val="38CA0EAC"/>
    <w:rsid w:val="38CC625A"/>
    <w:rsid w:val="38D20CC8"/>
    <w:rsid w:val="38D26D29"/>
    <w:rsid w:val="38D73B55"/>
    <w:rsid w:val="38DA66B8"/>
    <w:rsid w:val="38DE62E8"/>
    <w:rsid w:val="38E24579"/>
    <w:rsid w:val="38E34A47"/>
    <w:rsid w:val="38E71107"/>
    <w:rsid w:val="38F50D77"/>
    <w:rsid w:val="38FB4B6B"/>
    <w:rsid w:val="38FB6407"/>
    <w:rsid w:val="39022AFE"/>
    <w:rsid w:val="39051F91"/>
    <w:rsid w:val="39057DD2"/>
    <w:rsid w:val="3909302B"/>
    <w:rsid w:val="390A510A"/>
    <w:rsid w:val="3918136F"/>
    <w:rsid w:val="391C1F15"/>
    <w:rsid w:val="391E2DFB"/>
    <w:rsid w:val="392C26C2"/>
    <w:rsid w:val="392E766B"/>
    <w:rsid w:val="392F456C"/>
    <w:rsid w:val="393956EF"/>
    <w:rsid w:val="393C6F0A"/>
    <w:rsid w:val="393E5154"/>
    <w:rsid w:val="393E6548"/>
    <w:rsid w:val="393E7B0F"/>
    <w:rsid w:val="394774D8"/>
    <w:rsid w:val="394B4749"/>
    <w:rsid w:val="394E5223"/>
    <w:rsid w:val="39500EFC"/>
    <w:rsid w:val="3957021F"/>
    <w:rsid w:val="395751A6"/>
    <w:rsid w:val="395D59E7"/>
    <w:rsid w:val="39614A9D"/>
    <w:rsid w:val="397114CB"/>
    <w:rsid w:val="39775B2D"/>
    <w:rsid w:val="397966F0"/>
    <w:rsid w:val="397C3C38"/>
    <w:rsid w:val="397E713E"/>
    <w:rsid w:val="3998390E"/>
    <w:rsid w:val="3998417F"/>
    <w:rsid w:val="399F50DC"/>
    <w:rsid w:val="39A51F61"/>
    <w:rsid w:val="39A80F95"/>
    <w:rsid w:val="39A86AC3"/>
    <w:rsid w:val="39A87E38"/>
    <w:rsid w:val="39AD0B6B"/>
    <w:rsid w:val="39B30F3B"/>
    <w:rsid w:val="39B334EE"/>
    <w:rsid w:val="39BD4319"/>
    <w:rsid w:val="39C508DC"/>
    <w:rsid w:val="39C66534"/>
    <w:rsid w:val="39D3473E"/>
    <w:rsid w:val="39D42C32"/>
    <w:rsid w:val="39DF5608"/>
    <w:rsid w:val="39E20DBE"/>
    <w:rsid w:val="39E42BD5"/>
    <w:rsid w:val="39F17857"/>
    <w:rsid w:val="39F3062E"/>
    <w:rsid w:val="39F44D01"/>
    <w:rsid w:val="39F54DC3"/>
    <w:rsid w:val="3A071A45"/>
    <w:rsid w:val="3A11755D"/>
    <w:rsid w:val="3A120099"/>
    <w:rsid w:val="3A160C4E"/>
    <w:rsid w:val="3A193C7B"/>
    <w:rsid w:val="3A1A6471"/>
    <w:rsid w:val="3A1F5EA9"/>
    <w:rsid w:val="3A2827E6"/>
    <w:rsid w:val="3A283EE3"/>
    <w:rsid w:val="3A2B09D5"/>
    <w:rsid w:val="3A2C6BB5"/>
    <w:rsid w:val="3A313D30"/>
    <w:rsid w:val="3A3201D8"/>
    <w:rsid w:val="3A3231E1"/>
    <w:rsid w:val="3A3A3D32"/>
    <w:rsid w:val="3A3B55D4"/>
    <w:rsid w:val="3A3F3104"/>
    <w:rsid w:val="3A3F325D"/>
    <w:rsid w:val="3A40630C"/>
    <w:rsid w:val="3A406A93"/>
    <w:rsid w:val="3A433806"/>
    <w:rsid w:val="3A4369B2"/>
    <w:rsid w:val="3A476310"/>
    <w:rsid w:val="3A515B93"/>
    <w:rsid w:val="3A5230FA"/>
    <w:rsid w:val="3A53694F"/>
    <w:rsid w:val="3A582613"/>
    <w:rsid w:val="3A582E00"/>
    <w:rsid w:val="3A58763B"/>
    <w:rsid w:val="3A5D3E84"/>
    <w:rsid w:val="3A5E124D"/>
    <w:rsid w:val="3A5F5B7C"/>
    <w:rsid w:val="3A615311"/>
    <w:rsid w:val="3A6400F1"/>
    <w:rsid w:val="3A685B31"/>
    <w:rsid w:val="3A6D5F43"/>
    <w:rsid w:val="3A6E772D"/>
    <w:rsid w:val="3A6F6F3B"/>
    <w:rsid w:val="3A710B37"/>
    <w:rsid w:val="3A71144B"/>
    <w:rsid w:val="3A790E57"/>
    <w:rsid w:val="3A796560"/>
    <w:rsid w:val="3A7B365C"/>
    <w:rsid w:val="3A855562"/>
    <w:rsid w:val="3A875DEE"/>
    <w:rsid w:val="3A8A0F69"/>
    <w:rsid w:val="3A902739"/>
    <w:rsid w:val="3A9F2911"/>
    <w:rsid w:val="3AA3614A"/>
    <w:rsid w:val="3AA57365"/>
    <w:rsid w:val="3AA65378"/>
    <w:rsid w:val="3AB46703"/>
    <w:rsid w:val="3AB50F76"/>
    <w:rsid w:val="3ABD71D3"/>
    <w:rsid w:val="3ABF6228"/>
    <w:rsid w:val="3AC04DDB"/>
    <w:rsid w:val="3AC45727"/>
    <w:rsid w:val="3AC63648"/>
    <w:rsid w:val="3AC6654C"/>
    <w:rsid w:val="3ACD7AB0"/>
    <w:rsid w:val="3ACE27E6"/>
    <w:rsid w:val="3ACE4ECE"/>
    <w:rsid w:val="3ACF28F6"/>
    <w:rsid w:val="3ADF0D1D"/>
    <w:rsid w:val="3ADF32AE"/>
    <w:rsid w:val="3AE06B51"/>
    <w:rsid w:val="3AE1063B"/>
    <w:rsid w:val="3AE10B66"/>
    <w:rsid w:val="3AE476DC"/>
    <w:rsid w:val="3AE61C11"/>
    <w:rsid w:val="3AE84E4F"/>
    <w:rsid w:val="3AE95BF0"/>
    <w:rsid w:val="3AE9601F"/>
    <w:rsid w:val="3AEC0721"/>
    <w:rsid w:val="3AED2F8A"/>
    <w:rsid w:val="3AF04A0B"/>
    <w:rsid w:val="3AF150C5"/>
    <w:rsid w:val="3AF1692A"/>
    <w:rsid w:val="3AF323E2"/>
    <w:rsid w:val="3AF74A7E"/>
    <w:rsid w:val="3AF7586D"/>
    <w:rsid w:val="3AFE33A6"/>
    <w:rsid w:val="3B0001D8"/>
    <w:rsid w:val="3B037488"/>
    <w:rsid w:val="3B047B82"/>
    <w:rsid w:val="3B0513FB"/>
    <w:rsid w:val="3B056908"/>
    <w:rsid w:val="3B080543"/>
    <w:rsid w:val="3B0A01DC"/>
    <w:rsid w:val="3B160443"/>
    <w:rsid w:val="3B166274"/>
    <w:rsid w:val="3B2667C2"/>
    <w:rsid w:val="3B2D4432"/>
    <w:rsid w:val="3B2E631A"/>
    <w:rsid w:val="3B4137AE"/>
    <w:rsid w:val="3B4B0726"/>
    <w:rsid w:val="3B532815"/>
    <w:rsid w:val="3B551129"/>
    <w:rsid w:val="3B5555DA"/>
    <w:rsid w:val="3B570666"/>
    <w:rsid w:val="3B57331B"/>
    <w:rsid w:val="3B5D7AAF"/>
    <w:rsid w:val="3B5E2C6E"/>
    <w:rsid w:val="3B64301A"/>
    <w:rsid w:val="3B652A55"/>
    <w:rsid w:val="3B653172"/>
    <w:rsid w:val="3B7000D6"/>
    <w:rsid w:val="3B7159A8"/>
    <w:rsid w:val="3B752CA8"/>
    <w:rsid w:val="3B762AF7"/>
    <w:rsid w:val="3B784DE5"/>
    <w:rsid w:val="3B825024"/>
    <w:rsid w:val="3B834B5B"/>
    <w:rsid w:val="3B871DC4"/>
    <w:rsid w:val="3B886347"/>
    <w:rsid w:val="3B894C91"/>
    <w:rsid w:val="3B8B480E"/>
    <w:rsid w:val="3B8B756F"/>
    <w:rsid w:val="3B8C7E9F"/>
    <w:rsid w:val="3B9910D4"/>
    <w:rsid w:val="3B9D5ECB"/>
    <w:rsid w:val="3BA20468"/>
    <w:rsid w:val="3BA2285E"/>
    <w:rsid w:val="3BA22FF5"/>
    <w:rsid w:val="3BA337F4"/>
    <w:rsid w:val="3BA406ED"/>
    <w:rsid w:val="3BA55685"/>
    <w:rsid w:val="3BA66C78"/>
    <w:rsid w:val="3BA703C2"/>
    <w:rsid w:val="3BAA1500"/>
    <w:rsid w:val="3BAA2282"/>
    <w:rsid w:val="3BB10D7F"/>
    <w:rsid w:val="3BB33056"/>
    <w:rsid w:val="3BB46356"/>
    <w:rsid w:val="3BB545F3"/>
    <w:rsid w:val="3BB74736"/>
    <w:rsid w:val="3BBB2583"/>
    <w:rsid w:val="3BBC0DCA"/>
    <w:rsid w:val="3BCA10ED"/>
    <w:rsid w:val="3BCD15B8"/>
    <w:rsid w:val="3BD036B8"/>
    <w:rsid w:val="3BD3796D"/>
    <w:rsid w:val="3BD65A73"/>
    <w:rsid w:val="3BDA260E"/>
    <w:rsid w:val="3BDD5884"/>
    <w:rsid w:val="3BE227FF"/>
    <w:rsid w:val="3BE76D91"/>
    <w:rsid w:val="3BEF71F0"/>
    <w:rsid w:val="3BEF7C1D"/>
    <w:rsid w:val="3BF25654"/>
    <w:rsid w:val="3BF35326"/>
    <w:rsid w:val="3BF36C0F"/>
    <w:rsid w:val="3BF827E0"/>
    <w:rsid w:val="3BFC1681"/>
    <w:rsid w:val="3BFE6628"/>
    <w:rsid w:val="3C0629DD"/>
    <w:rsid w:val="3C085799"/>
    <w:rsid w:val="3C09318A"/>
    <w:rsid w:val="3C0A2332"/>
    <w:rsid w:val="3C0B567A"/>
    <w:rsid w:val="3C0F58A5"/>
    <w:rsid w:val="3C120E6E"/>
    <w:rsid w:val="3C161696"/>
    <w:rsid w:val="3C1A5E47"/>
    <w:rsid w:val="3C1E5618"/>
    <w:rsid w:val="3C1F0922"/>
    <w:rsid w:val="3C200E8F"/>
    <w:rsid w:val="3C223873"/>
    <w:rsid w:val="3C285353"/>
    <w:rsid w:val="3C31262B"/>
    <w:rsid w:val="3C3918CE"/>
    <w:rsid w:val="3C3A0226"/>
    <w:rsid w:val="3C3E415F"/>
    <w:rsid w:val="3C40225F"/>
    <w:rsid w:val="3C463C09"/>
    <w:rsid w:val="3C4C3999"/>
    <w:rsid w:val="3C4D6675"/>
    <w:rsid w:val="3C564175"/>
    <w:rsid w:val="3C5E5D64"/>
    <w:rsid w:val="3C5F2120"/>
    <w:rsid w:val="3C63110E"/>
    <w:rsid w:val="3C6968CF"/>
    <w:rsid w:val="3C6C554E"/>
    <w:rsid w:val="3C6C7034"/>
    <w:rsid w:val="3C6F04AB"/>
    <w:rsid w:val="3C70365F"/>
    <w:rsid w:val="3C707952"/>
    <w:rsid w:val="3C731D3F"/>
    <w:rsid w:val="3C877E87"/>
    <w:rsid w:val="3C881B67"/>
    <w:rsid w:val="3C8B46F1"/>
    <w:rsid w:val="3C8F6AB0"/>
    <w:rsid w:val="3C960E27"/>
    <w:rsid w:val="3C975F1A"/>
    <w:rsid w:val="3C980156"/>
    <w:rsid w:val="3C9A4EF1"/>
    <w:rsid w:val="3CA36119"/>
    <w:rsid w:val="3CA47513"/>
    <w:rsid w:val="3CA82200"/>
    <w:rsid w:val="3CAC0B47"/>
    <w:rsid w:val="3CAD6E68"/>
    <w:rsid w:val="3CAE7817"/>
    <w:rsid w:val="3CBD6B8F"/>
    <w:rsid w:val="3CBF6DE6"/>
    <w:rsid w:val="3CCA1243"/>
    <w:rsid w:val="3CCE4FAD"/>
    <w:rsid w:val="3CCE584C"/>
    <w:rsid w:val="3CCF7B2E"/>
    <w:rsid w:val="3CD03E29"/>
    <w:rsid w:val="3CD1792F"/>
    <w:rsid w:val="3CD8337D"/>
    <w:rsid w:val="3CDB6A65"/>
    <w:rsid w:val="3CDD32A1"/>
    <w:rsid w:val="3CDD36FC"/>
    <w:rsid w:val="3CDE50AF"/>
    <w:rsid w:val="3CDF2809"/>
    <w:rsid w:val="3CE35C05"/>
    <w:rsid w:val="3CE84095"/>
    <w:rsid w:val="3CEB7E6C"/>
    <w:rsid w:val="3CEC3316"/>
    <w:rsid w:val="3CEE1E3C"/>
    <w:rsid w:val="3CEE5359"/>
    <w:rsid w:val="3CF01160"/>
    <w:rsid w:val="3CF15178"/>
    <w:rsid w:val="3CF51058"/>
    <w:rsid w:val="3CFD5B24"/>
    <w:rsid w:val="3D026305"/>
    <w:rsid w:val="3D05345C"/>
    <w:rsid w:val="3D07424F"/>
    <w:rsid w:val="3D0E1878"/>
    <w:rsid w:val="3D0F0988"/>
    <w:rsid w:val="3D127810"/>
    <w:rsid w:val="3D173969"/>
    <w:rsid w:val="3D197D10"/>
    <w:rsid w:val="3D1E7512"/>
    <w:rsid w:val="3D1F791E"/>
    <w:rsid w:val="3D201748"/>
    <w:rsid w:val="3D224394"/>
    <w:rsid w:val="3D274970"/>
    <w:rsid w:val="3D2D541B"/>
    <w:rsid w:val="3D2F1FAB"/>
    <w:rsid w:val="3D336A37"/>
    <w:rsid w:val="3D3440BF"/>
    <w:rsid w:val="3D365562"/>
    <w:rsid w:val="3D397998"/>
    <w:rsid w:val="3D440D9E"/>
    <w:rsid w:val="3D492A72"/>
    <w:rsid w:val="3D4D3093"/>
    <w:rsid w:val="3D535F52"/>
    <w:rsid w:val="3D590A54"/>
    <w:rsid w:val="3D5D7B1B"/>
    <w:rsid w:val="3D633C7C"/>
    <w:rsid w:val="3D68412E"/>
    <w:rsid w:val="3D6D533E"/>
    <w:rsid w:val="3D6F2FFC"/>
    <w:rsid w:val="3D755F3A"/>
    <w:rsid w:val="3D781938"/>
    <w:rsid w:val="3D7D3E9F"/>
    <w:rsid w:val="3D812BF6"/>
    <w:rsid w:val="3D8255FA"/>
    <w:rsid w:val="3D85502F"/>
    <w:rsid w:val="3D8A3FDE"/>
    <w:rsid w:val="3D8D3E3A"/>
    <w:rsid w:val="3D907947"/>
    <w:rsid w:val="3D994124"/>
    <w:rsid w:val="3D995F83"/>
    <w:rsid w:val="3D9A152C"/>
    <w:rsid w:val="3DA51E7F"/>
    <w:rsid w:val="3DB30BD1"/>
    <w:rsid w:val="3DB82306"/>
    <w:rsid w:val="3DBD1D18"/>
    <w:rsid w:val="3DC10B44"/>
    <w:rsid w:val="3DC13DD3"/>
    <w:rsid w:val="3DC325B0"/>
    <w:rsid w:val="3DC64E71"/>
    <w:rsid w:val="3DC95328"/>
    <w:rsid w:val="3DD20817"/>
    <w:rsid w:val="3DD730F9"/>
    <w:rsid w:val="3DD83D37"/>
    <w:rsid w:val="3DDB48F1"/>
    <w:rsid w:val="3DDF29A7"/>
    <w:rsid w:val="3DE30383"/>
    <w:rsid w:val="3DE8411F"/>
    <w:rsid w:val="3DEC3A45"/>
    <w:rsid w:val="3DEF3A3A"/>
    <w:rsid w:val="3DF37C51"/>
    <w:rsid w:val="3DFC01CF"/>
    <w:rsid w:val="3E000E7B"/>
    <w:rsid w:val="3E074E7C"/>
    <w:rsid w:val="3E075EE4"/>
    <w:rsid w:val="3E082EB9"/>
    <w:rsid w:val="3E1116ED"/>
    <w:rsid w:val="3E202116"/>
    <w:rsid w:val="3E22391D"/>
    <w:rsid w:val="3E2767B9"/>
    <w:rsid w:val="3E27765E"/>
    <w:rsid w:val="3E2B0EC3"/>
    <w:rsid w:val="3E2B1CD8"/>
    <w:rsid w:val="3E2C1AD2"/>
    <w:rsid w:val="3E2C6E91"/>
    <w:rsid w:val="3E2D08C3"/>
    <w:rsid w:val="3E34071F"/>
    <w:rsid w:val="3E3D3F04"/>
    <w:rsid w:val="3E3E6C68"/>
    <w:rsid w:val="3E40646A"/>
    <w:rsid w:val="3E4C725A"/>
    <w:rsid w:val="3E501C51"/>
    <w:rsid w:val="3E525E10"/>
    <w:rsid w:val="3E5F3723"/>
    <w:rsid w:val="3E631423"/>
    <w:rsid w:val="3E637192"/>
    <w:rsid w:val="3E6769D7"/>
    <w:rsid w:val="3E6812F0"/>
    <w:rsid w:val="3E712270"/>
    <w:rsid w:val="3E737F68"/>
    <w:rsid w:val="3E7A5208"/>
    <w:rsid w:val="3E7C1E7F"/>
    <w:rsid w:val="3E7C3ADF"/>
    <w:rsid w:val="3E822B19"/>
    <w:rsid w:val="3E8558AD"/>
    <w:rsid w:val="3E8F5643"/>
    <w:rsid w:val="3E914645"/>
    <w:rsid w:val="3E942CE2"/>
    <w:rsid w:val="3E94319C"/>
    <w:rsid w:val="3E947BA4"/>
    <w:rsid w:val="3E986748"/>
    <w:rsid w:val="3E99749B"/>
    <w:rsid w:val="3E9C6E1D"/>
    <w:rsid w:val="3E9F6272"/>
    <w:rsid w:val="3EA10742"/>
    <w:rsid w:val="3EA23580"/>
    <w:rsid w:val="3EA44312"/>
    <w:rsid w:val="3EA64622"/>
    <w:rsid w:val="3EAA6A84"/>
    <w:rsid w:val="3EAE65D7"/>
    <w:rsid w:val="3EB21E62"/>
    <w:rsid w:val="3EB967D9"/>
    <w:rsid w:val="3EC01517"/>
    <w:rsid w:val="3EC51385"/>
    <w:rsid w:val="3ECA4E68"/>
    <w:rsid w:val="3ED00CB0"/>
    <w:rsid w:val="3ED026B1"/>
    <w:rsid w:val="3ED67956"/>
    <w:rsid w:val="3EE726C9"/>
    <w:rsid w:val="3EE83EF8"/>
    <w:rsid w:val="3EF00331"/>
    <w:rsid w:val="3EF2511F"/>
    <w:rsid w:val="3EFB7087"/>
    <w:rsid w:val="3F001B91"/>
    <w:rsid w:val="3F006FE9"/>
    <w:rsid w:val="3F0F0814"/>
    <w:rsid w:val="3F150004"/>
    <w:rsid w:val="3F1E13DD"/>
    <w:rsid w:val="3F2468A2"/>
    <w:rsid w:val="3F2655CD"/>
    <w:rsid w:val="3F282C95"/>
    <w:rsid w:val="3F2A3F02"/>
    <w:rsid w:val="3F2A4031"/>
    <w:rsid w:val="3F384294"/>
    <w:rsid w:val="3F39277E"/>
    <w:rsid w:val="3F3979EC"/>
    <w:rsid w:val="3F3E4E8D"/>
    <w:rsid w:val="3F4F3456"/>
    <w:rsid w:val="3F507FAE"/>
    <w:rsid w:val="3F54298D"/>
    <w:rsid w:val="3F567683"/>
    <w:rsid w:val="3F5C3CE1"/>
    <w:rsid w:val="3F5F64D3"/>
    <w:rsid w:val="3F604ECF"/>
    <w:rsid w:val="3F697FF1"/>
    <w:rsid w:val="3F717ADF"/>
    <w:rsid w:val="3F76478B"/>
    <w:rsid w:val="3F786462"/>
    <w:rsid w:val="3F7D6096"/>
    <w:rsid w:val="3F8413C6"/>
    <w:rsid w:val="3F86006E"/>
    <w:rsid w:val="3F88428B"/>
    <w:rsid w:val="3F89174F"/>
    <w:rsid w:val="3F8E7B31"/>
    <w:rsid w:val="3F8F38B5"/>
    <w:rsid w:val="3F913CB7"/>
    <w:rsid w:val="3F937455"/>
    <w:rsid w:val="3F9C364A"/>
    <w:rsid w:val="3FA756F5"/>
    <w:rsid w:val="3FAC1006"/>
    <w:rsid w:val="3FB3432F"/>
    <w:rsid w:val="3FBA7D1B"/>
    <w:rsid w:val="3FC232EC"/>
    <w:rsid w:val="3FC30880"/>
    <w:rsid w:val="3FD07CB7"/>
    <w:rsid w:val="3FD17E45"/>
    <w:rsid w:val="3FDE6D50"/>
    <w:rsid w:val="3FE52E8B"/>
    <w:rsid w:val="3FE67899"/>
    <w:rsid w:val="3FE86F68"/>
    <w:rsid w:val="3FEA1600"/>
    <w:rsid w:val="3FEC0A2C"/>
    <w:rsid w:val="3FEF3DF5"/>
    <w:rsid w:val="3FEF51CF"/>
    <w:rsid w:val="3FF12C37"/>
    <w:rsid w:val="3FF22684"/>
    <w:rsid w:val="3FF62010"/>
    <w:rsid w:val="40020DC9"/>
    <w:rsid w:val="400C6AC0"/>
    <w:rsid w:val="40100B1C"/>
    <w:rsid w:val="401468C9"/>
    <w:rsid w:val="40153E6B"/>
    <w:rsid w:val="40162B1D"/>
    <w:rsid w:val="40163102"/>
    <w:rsid w:val="40166412"/>
    <w:rsid w:val="4023317E"/>
    <w:rsid w:val="40254283"/>
    <w:rsid w:val="402D135A"/>
    <w:rsid w:val="403277DF"/>
    <w:rsid w:val="4033616E"/>
    <w:rsid w:val="40375C65"/>
    <w:rsid w:val="4039359C"/>
    <w:rsid w:val="4047349F"/>
    <w:rsid w:val="404C4087"/>
    <w:rsid w:val="404D6A0E"/>
    <w:rsid w:val="405034D0"/>
    <w:rsid w:val="4052061D"/>
    <w:rsid w:val="40522F07"/>
    <w:rsid w:val="4054034F"/>
    <w:rsid w:val="40556EF5"/>
    <w:rsid w:val="405C7E9D"/>
    <w:rsid w:val="405D571B"/>
    <w:rsid w:val="405F7F29"/>
    <w:rsid w:val="40604FE9"/>
    <w:rsid w:val="40674752"/>
    <w:rsid w:val="40767B4B"/>
    <w:rsid w:val="407B1661"/>
    <w:rsid w:val="407B7B97"/>
    <w:rsid w:val="407E3EBC"/>
    <w:rsid w:val="407F7B7B"/>
    <w:rsid w:val="40826514"/>
    <w:rsid w:val="408529D5"/>
    <w:rsid w:val="408803E4"/>
    <w:rsid w:val="40885E67"/>
    <w:rsid w:val="408C4066"/>
    <w:rsid w:val="409577D9"/>
    <w:rsid w:val="40A862F4"/>
    <w:rsid w:val="40AA3E9A"/>
    <w:rsid w:val="40AA4495"/>
    <w:rsid w:val="40AF46A1"/>
    <w:rsid w:val="40B010F3"/>
    <w:rsid w:val="40B34420"/>
    <w:rsid w:val="40B54D41"/>
    <w:rsid w:val="40BA407E"/>
    <w:rsid w:val="40BB4EAE"/>
    <w:rsid w:val="40CF6289"/>
    <w:rsid w:val="40D03819"/>
    <w:rsid w:val="40D45550"/>
    <w:rsid w:val="40DA0DEA"/>
    <w:rsid w:val="40E42B3F"/>
    <w:rsid w:val="40E520CE"/>
    <w:rsid w:val="40EE1C75"/>
    <w:rsid w:val="40F55419"/>
    <w:rsid w:val="40F92063"/>
    <w:rsid w:val="40FF507D"/>
    <w:rsid w:val="41025354"/>
    <w:rsid w:val="41045CD3"/>
    <w:rsid w:val="410A1FB8"/>
    <w:rsid w:val="41107859"/>
    <w:rsid w:val="41137602"/>
    <w:rsid w:val="4114163C"/>
    <w:rsid w:val="41161999"/>
    <w:rsid w:val="411A1E4F"/>
    <w:rsid w:val="411C3611"/>
    <w:rsid w:val="412371C0"/>
    <w:rsid w:val="412C05BA"/>
    <w:rsid w:val="412D361F"/>
    <w:rsid w:val="412E089F"/>
    <w:rsid w:val="412E70CC"/>
    <w:rsid w:val="41453D08"/>
    <w:rsid w:val="4149216A"/>
    <w:rsid w:val="414F1ED4"/>
    <w:rsid w:val="4152400D"/>
    <w:rsid w:val="41560F58"/>
    <w:rsid w:val="415D21DD"/>
    <w:rsid w:val="415F4403"/>
    <w:rsid w:val="416D03B3"/>
    <w:rsid w:val="416D0CE0"/>
    <w:rsid w:val="416E1B52"/>
    <w:rsid w:val="416E4E2A"/>
    <w:rsid w:val="416E59C5"/>
    <w:rsid w:val="416F3197"/>
    <w:rsid w:val="41707D1A"/>
    <w:rsid w:val="41776B19"/>
    <w:rsid w:val="41780F41"/>
    <w:rsid w:val="417E69E6"/>
    <w:rsid w:val="41847FF2"/>
    <w:rsid w:val="418A2814"/>
    <w:rsid w:val="41902746"/>
    <w:rsid w:val="419C0184"/>
    <w:rsid w:val="41A21067"/>
    <w:rsid w:val="41A2331A"/>
    <w:rsid w:val="41A42641"/>
    <w:rsid w:val="41A6478C"/>
    <w:rsid w:val="41A7463E"/>
    <w:rsid w:val="41AD2329"/>
    <w:rsid w:val="41AE12EA"/>
    <w:rsid w:val="41AF22BE"/>
    <w:rsid w:val="41B34B78"/>
    <w:rsid w:val="41B44C63"/>
    <w:rsid w:val="41B925A8"/>
    <w:rsid w:val="41B959DF"/>
    <w:rsid w:val="41BA12E5"/>
    <w:rsid w:val="41C72F87"/>
    <w:rsid w:val="41CF0A6A"/>
    <w:rsid w:val="41D47C83"/>
    <w:rsid w:val="41DA6765"/>
    <w:rsid w:val="41E43789"/>
    <w:rsid w:val="41E91499"/>
    <w:rsid w:val="41EB2508"/>
    <w:rsid w:val="41ED4A84"/>
    <w:rsid w:val="41F24B98"/>
    <w:rsid w:val="41F4011B"/>
    <w:rsid w:val="41F86D4B"/>
    <w:rsid w:val="41F92559"/>
    <w:rsid w:val="41FF5A15"/>
    <w:rsid w:val="4202395B"/>
    <w:rsid w:val="42042304"/>
    <w:rsid w:val="420677BE"/>
    <w:rsid w:val="420804DA"/>
    <w:rsid w:val="420C6794"/>
    <w:rsid w:val="420F28E0"/>
    <w:rsid w:val="42143E67"/>
    <w:rsid w:val="421C53B9"/>
    <w:rsid w:val="42241339"/>
    <w:rsid w:val="42241891"/>
    <w:rsid w:val="42283C65"/>
    <w:rsid w:val="42294E8E"/>
    <w:rsid w:val="42304641"/>
    <w:rsid w:val="423A0073"/>
    <w:rsid w:val="42402033"/>
    <w:rsid w:val="42411E2A"/>
    <w:rsid w:val="42467FE3"/>
    <w:rsid w:val="42481295"/>
    <w:rsid w:val="424A0ED5"/>
    <w:rsid w:val="424B6F81"/>
    <w:rsid w:val="424D5F9C"/>
    <w:rsid w:val="42543AD1"/>
    <w:rsid w:val="42562D23"/>
    <w:rsid w:val="42564FDB"/>
    <w:rsid w:val="425A38A0"/>
    <w:rsid w:val="425A4790"/>
    <w:rsid w:val="425F5D88"/>
    <w:rsid w:val="426C43BC"/>
    <w:rsid w:val="426E7DF4"/>
    <w:rsid w:val="42762632"/>
    <w:rsid w:val="427D094B"/>
    <w:rsid w:val="427E3F33"/>
    <w:rsid w:val="42802932"/>
    <w:rsid w:val="428E548D"/>
    <w:rsid w:val="429219B0"/>
    <w:rsid w:val="429631DD"/>
    <w:rsid w:val="42990F75"/>
    <w:rsid w:val="42994E6A"/>
    <w:rsid w:val="429C04F2"/>
    <w:rsid w:val="429D421A"/>
    <w:rsid w:val="42A326AC"/>
    <w:rsid w:val="42AA0BB8"/>
    <w:rsid w:val="42AE11FD"/>
    <w:rsid w:val="42B25306"/>
    <w:rsid w:val="42B26666"/>
    <w:rsid w:val="42B325C9"/>
    <w:rsid w:val="42BC7ECB"/>
    <w:rsid w:val="42BD65A0"/>
    <w:rsid w:val="42BE3E21"/>
    <w:rsid w:val="42CF5989"/>
    <w:rsid w:val="42DC08AE"/>
    <w:rsid w:val="42DF52D6"/>
    <w:rsid w:val="42E13508"/>
    <w:rsid w:val="42E13B12"/>
    <w:rsid w:val="42E41E7D"/>
    <w:rsid w:val="42ED374D"/>
    <w:rsid w:val="42F140B6"/>
    <w:rsid w:val="42F172FB"/>
    <w:rsid w:val="42F467E6"/>
    <w:rsid w:val="42F63966"/>
    <w:rsid w:val="42F83335"/>
    <w:rsid w:val="42FC3D8D"/>
    <w:rsid w:val="43081B78"/>
    <w:rsid w:val="43131117"/>
    <w:rsid w:val="43142B51"/>
    <w:rsid w:val="43196AAC"/>
    <w:rsid w:val="431E36FC"/>
    <w:rsid w:val="43207B28"/>
    <w:rsid w:val="43267028"/>
    <w:rsid w:val="432F49E4"/>
    <w:rsid w:val="43300D30"/>
    <w:rsid w:val="43321900"/>
    <w:rsid w:val="433A0608"/>
    <w:rsid w:val="433F7194"/>
    <w:rsid w:val="43421128"/>
    <w:rsid w:val="434663AF"/>
    <w:rsid w:val="434D2161"/>
    <w:rsid w:val="43505B74"/>
    <w:rsid w:val="43513628"/>
    <w:rsid w:val="43526BD6"/>
    <w:rsid w:val="43532E0E"/>
    <w:rsid w:val="435702AA"/>
    <w:rsid w:val="435A6BC0"/>
    <w:rsid w:val="435D4F25"/>
    <w:rsid w:val="43630EA2"/>
    <w:rsid w:val="43655211"/>
    <w:rsid w:val="43684E95"/>
    <w:rsid w:val="436C0A6C"/>
    <w:rsid w:val="436D1589"/>
    <w:rsid w:val="43702AD0"/>
    <w:rsid w:val="437A05F0"/>
    <w:rsid w:val="437E3FF8"/>
    <w:rsid w:val="43804111"/>
    <w:rsid w:val="4387123F"/>
    <w:rsid w:val="43874BD2"/>
    <w:rsid w:val="43906128"/>
    <w:rsid w:val="439236F9"/>
    <w:rsid w:val="439851FB"/>
    <w:rsid w:val="43986308"/>
    <w:rsid w:val="43994F6A"/>
    <w:rsid w:val="43995F92"/>
    <w:rsid w:val="439E6DDC"/>
    <w:rsid w:val="43A1406D"/>
    <w:rsid w:val="43A51EF7"/>
    <w:rsid w:val="43A64018"/>
    <w:rsid w:val="43B50926"/>
    <w:rsid w:val="43B71E42"/>
    <w:rsid w:val="43BB0449"/>
    <w:rsid w:val="43C8498E"/>
    <w:rsid w:val="43C95B63"/>
    <w:rsid w:val="43CB762C"/>
    <w:rsid w:val="43D101C0"/>
    <w:rsid w:val="43D16BBA"/>
    <w:rsid w:val="43D45AEE"/>
    <w:rsid w:val="43D55CDB"/>
    <w:rsid w:val="43D643A2"/>
    <w:rsid w:val="43D85992"/>
    <w:rsid w:val="43E974F8"/>
    <w:rsid w:val="43EA0BDD"/>
    <w:rsid w:val="43EF64B0"/>
    <w:rsid w:val="43F36572"/>
    <w:rsid w:val="43FA509D"/>
    <w:rsid w:val="440B3EE6"/>
    <w:rsid w:val="440C7E35"/>
    <w:rsid w:val="441965F7"/>
    <w:rsid w:val="441C0287"/>
    <w:rsid w:val="442D1E52"/>
    <w:rsid w:val="442D2E1B"/>
    <w:rsid w:val="4430031C"/>
    <w:rsid w:val="44443BD2"/>
    <w:rsid w:val="44450FBC"/>
    <w:rsid w:val="44457E29"/>
    <w:rsid w:val="444631A3"/>
    <w:rsid w:val="4447093C"/>
    <w:rsid w:val="444A48EA"/>
    <w:rsid w:val="444D221F"/>
    <w:rsid w:val="44500564"/>
    <w:rsid w:val="44502E21"/>
    <w:rsid w:val="44505A80"/>
    <w:rsid w:val="44513F66"/>
    <w:rsid w:val="44575877"/>
    <w:rsid w:val="44583A91"/>
    <w:rsid w:val="4460021B"/>
    <w:rsid w:val="44602DF7"/>
    <w:rsid w:val="44622186"/>
    <w:rsid w:val="4463369D"/>
    <w:rsid w:val="4469311D"/>
    <w:rsid w:val="446E1FE4"/>
    <w:rsid w:val="447417A9"/>
    <w:rsid w:val="44741BE6"/>
    <w:rsid w:val="447E0648"/>
    <w:rsid w:val="447E61E3"/>
    <w:rsid w:val="448020FA"/>
    <w:rsid w:val="44863B9E"/>
    <w:rsid w:val="44871458"/>
    <w:rsid w:val="448979F6"/>
    <w:rsid w:val="448C17B1"/>
    <w:rsid w:val="448E2DC9"/>
    <w:rsid w:val="448F546E"/>
    <w:rsid w:val="44901C14"/>
    <w:rsid w:val="44911031"/>
    <w:rsid w:val="449402C2"/>
    <w:rsid w:val="44974B67"/>
    <w:rsid w:val="449B7270"/>
    <w:rsid w:val="449C50E4"/>
    <w:rsid w:val="449D34A5"/>
    <w:rsid w:val="44A3429E"/>
    <w:rsid w:val="44AB1062"/>
    <w:rsid w:val="44AF5CB0"/>
    <w:rsid w:val="44B035CD"/>
    <w:rsid w:val="44B32F22"/>
    <w:rsid w:val="44C60F17"/>
    <w:rsid w:val="44C67D1A"/>
    <w:rsid w:val="44CD5BAF"/>
    <w:rsid w:val="44D04CD8"/>
    <w:rsid w:val="44D43915"/>
    <w:rsid w:val="44D43C0D"/>
    <w:rsid w:val="44D61430"/>
    <w:rsid w:val="44D66971"/>
    <w:rsid w:val="44D70B7C"/>
    <w:rsid w:val="44D83AE8"/>
    <w:rsid w:val="44DC1390"/>
    <w:rsid w:val="44DE752C"/>
    <w:rsid w:val="44E0204F"/>
    <w:rsid w:val="44E0280D"/>
    <w:rsid w:val="44E22862"/>
    <w:rsid w:val="44EC481A"/>
    <w:rsid w:val="44F10414"/>
    <w:rsid w:val="44F368E3"/>
    <w:rsid w:val="44F80827"/>
    <w:rsid w:val="44F94A28"/>
    <w:rsid w:val="44FA1C3C"/>
    <w:rsid w:val="44FA1EEF"/>
    <w:rsid w:val="45026594"/>
    <w:rsid w:val="45062D56"/>
    <w:rsid w:val="45067FC0"/>
    <w:rsid w:val="450C57CD"/>
    <w:rsid w:val="450D7462"/>
    <w:rsid w:val="452418F5"/>
    <w:rsid w:val="45247AAF"/>
    <w:rsid w:val="45252A54"/>
    <w:rsid w:val="452F6571"/>
    <w:rsid w:val="45317D55"/>
    <w:rsid w:val="453E256A"/>
    <w:rsid w:val="454561F3"/>
    <w:rsid w:val="45462080"/>
    <w:rsid w:val="454B2CB2"/>
    <w:rsid w:val="45520011"/>
    <w:rsid w:val="45541A6B"/>
    <w:rsid w:val="45572355"/>
    <w:rsid w:val="4558500A"/>
    <w:rsid w:val="45587458"/>
    <w:rsid w:val="456639A7"/>
    <w:rsid w:val="45687752"/>
    <w:rsid w:val="4572417F"/>
    <w:rsid w:val="457A66DF"/>
    <w:rsid w:val="457B1EF1"/>
    <w:rsid w:val="457E29B2"/>
    <w:rsid w:val="458C4F78"/>
    <w:rsid w:val="459049FF"/>
    <w:rsid w:val="45946269"/>
    <w:rsid w:val="45977345"/>
    <w:rsid w:val="459B48AB"/>
    <w:rsid w:val="459C05D4"/>
    <w:rsid w:val="459E455A"/>
    <w:rsid w:val="45A83C60"/>
    <w:rsid w:val="45B120CB"/>
    <w:rsid w:val="45B32A6A"/>
    <w:rsid w:val="45B94520"/>
    <w:rsid w:val="45BB4136"/>
    <w:rsid w:val="45BC1569"/>
    <w:rsid w:val="45C13DE3"/>
    <w:rsid w:val="45C37A91"/>
    <w:rsid w:val="45C45176"/>
    <w:rsid w:val="45C47B28"/>
    <w:rsid w:val="45D0101F"/>
    <w:rsid w:val="45D75231"/>
    <w:rsid w:val="45E161C2"/>
    <w:rsid w:val="45E4700E"/>
    <w:rsid w:val="45E57836"/>
    <w:rsid w:val="45EB4C68"/>
    <w:rsid w:val="45EE25BD"/>
    <w:rsid w:val="45F058EA"/>
    <w:rsid w:val="45F53040"/>
    <w:rsid w:val="45F76914"/>
    <w:rsid w:val="45F82271"/>
    <w:rsid w:val="45F9003B"/>
    <w:rsid w:val="45FD2CAE"/>
    <w:rsid w:val="46015A5D"/>
    <w:rsid w:val="46066776"/>
    <w:rsid w:val="4607645F"/>
    <w:rsid w:val="460F14C8"/>
    <w:rsid w:val="4610578D"/>
    <w:rsid w:val="461472F0"/>
    <w:rsid w:val="46182BD2"/>
    <w:rsid w:val="46184903"/>
    <w:rsid w:val="46196C57"/>
    <w:rsid w:val="461A17FE"/>
    <w:rsid w:val="461F07B4"/>
    <w:rsid w:val="46205042"/>
    <w:rsid w:val="46274BE4"/>
    <w:rsid w:val="462763A9"/>
    <w:rsid w:val="46297C3A"/>
    <w:rsid w:val="463227C8"/>
    <w:rsid w:val="463270E7"/>
    <w:rsid w:val="463E0D22"/>
    <w:rsid w:val="46463699"/>
    <w:rsid w:val="46475288"/>
    <w:rsid w:val="464E36DD"/>
    <w:rsid w:val="464E48DF"/>
    <w:rsid w:val="464E4E4B"/>
    <w:rsid w:val="465247B1"/>
    <w:rsid w:val="46566C38"/>
    <w:rsid w:val="465D43C7"/>
    <w:rsid w:val="466E3DFE"/>
    <w:rsid w:val="466F5F8F"/>
    <w:rsid w:val="467F6C27"/>
    <w:rsid w:val="46831E68"/>
    <w:rsid w:val="468B1DC9"/>
    <w:rsid w:val="469274F3"/>
    <w:rsid w:val="46927504"/>
    <w:rsid w:val="469A263B"/>
    <w:rsid w:val="469E4F41"/>
    <w:rsid w:val="46A0058F"/>
    <w:rsid w:val="46A66B2D"/>
    <w:rsid w:val="46A8710D"/>
    <w:rsid w:val="46AB301D"/>
    <w:rsid w:val="46AB61DD"/>
    <w:rsid w:val="46AD11B8"/>
    <w:rsid w:val="46AD5B35"/>
    <w:rsid w:val="46AE2F00"/>
    <w:rsid w:val="46B4425B"/>
    <w:rsid w:val="46B539E7"/>
    <w:rsid w:val="46BD0522"/>
    <w:rsid w:val="46C94F2B"/>
    <w:rsid w:val="46CD6B41"/>
    <w:rsid w:val="46CE344D"/>
    <w:rsid w:val="46D078B1"/>
    <w:rsid w:val="46D34CE9"/>
    <w:rsid w:val="46E0175B"/>
    <w:rsid w:val="46E0315E"/>
    <w:rsid w:val="46E11AFE"/>
    <w:rsid w:val="46E43386"/>
    <w:rsid w:val="46E91AC4"/>
    <w:rsid w:val="46E938DF"/>
    <w:rsid w:val="46ED0EC8"/>
    <w:rsid w:val="46ED6187"/>
    <w:rsid w:val="46F31F8A"/>
    <w:rsid w:val="46F56448"/>
    <w:rsid w:val="46F627C9"/>
    <w:rsid w:val="46FA1E0D"/>
    <w:rsid w:val="46FB723A"/>
    <w:rsid w:val="4700372E"/>
    <w:rsid w:val="47051F33"/>
    <w:rsid w:val="470608E8"/>
    <w:rsid w:val="47072982"/>
    <w:rsid w:val="47087B95"/>
    <w:rsid w:val="470F33C2"/>
    <w:rsid w:val="47127F75"/>
    <w:rsid w:val="47130422"/>
    <w:rsid w:val="47134059"/>
    <w:rsid w:val="471B712F"/>
    <w:rsid w:val="4723348B"/>
    <w:rsid w:val="472428FD"/>
    <w:rsid w:val="472602E7"/>
    <w:rsid w:val="473872E5"/>
    <w:rsid w:val="473D5832"/>
    <w:rsid w:val="473E03A8"/>
    <w:rsid w:val="4742324C"/>
    <w:rsid w:val="47495C94"/>
    <w:rsid w:val="47496415"/>
    <w:rsid w:val="47497719"/>
    <w:rsid w:val="4751428C"/>
    <w:rsid w:val="47547BAE"/>
    <w:rsid w:val="475D0A81"/>
    <w:rsid w:val="4760385F"/>
    <w:rsid w:val="47623A6E"/>
    <w:rsid w:val="47651315"/>
    <w:rsid w:val="476C7203"/>
    <w:rsid w:val="476F1D7E"/>
    <w:rsid w:val="476F7A65"/>
    <w:rsid w:val="47781497"/>
    <w:rsid w:val="477B22E7"/>
    <w:rsid w:val="477E626F"/>
    <w:rsid w:val="477E6EAA"/>
    <w:rsid w:val="478906F4"/>
    <w:rsid w:val="478F61FF"/>
    <w:rsid w:val="479322B1"/>
    <w:rsid w:val="479A677E"/>
    <w:rsid w:val="479F10E1"/>
    <w:rsid w:val="47A279F8"/>
    <w:rsid w:val="47A46444"/>
    <w:rsid w:val="47AE6A0B"/>
    <w:rsid w:val="47B06210"/>
    <w:rsid w:val="47B26C63"/>
    <w:rsid w:val="47B70D15"/>
    <w:rsid w:val="47BA16E9"/>
    <w:rsid w:val="47BA6295"/>
    <w:rsid w:val="47BF14D3"/>
    <w:rsid w:val="47C109AD"/>
    <w:rsid w:val="47C42B0D"/>
    <w:rsid w:val="47C95E5E"/>
    <w:rsid w:val="47CF6422"/>
    <w:rsid w:val="47DB02A5"/>
    <w:rsid w:val="47DD1ECD"/>
    <w:rsid w:val="47DE035B"/>
    <w:rsid w:val="47DF1F1F"/>
    <w:rsid w:val="47E34752"/>
    <w:rsid w:val="47E54D9D"/>
    <w:rsid w:val="47EA7A8A"/>
    <w:rsid w:val="47F023E4"/>
    <w:rsid w:val="47F93E1E"/>
    <w:rsid w:val="47FB64CC"/>
    <w:rsid w:val="47FB7E64"/>
    <w:rsid w:val="480131A8"/>
    <w:rsid w:val="480142A9"/>
    <w:rsid w:val="480424A7"/>
    <w:rsid w:val="48047858"/>
    <w:rsid w:val="480823BB"/>
    <w:rsid w:val="480D43A8"/>
    <w:rsid w:val="480E181A"/>
    <w:rsid w:val="48122BFF"/>
    <w:rsid w:val="481521A4"/>
    <w:rsid w:val="481B7CD7"/>
    <w:rsid w:val="48216764"/>
    <w:rsid w:val="48297EEC"/>
    <w:rsid w:val="4834776D"/>
    <w:rsid w:val="483A25D5"/>
    <w:rsid w:val="483C7DDD"/>
    <w:rsid w:val="484961C1"/>
    <w:rsid w:val="484A4A5F"/>
    <w:rsid w:val="484D40A4"/>
    <w:rsid w:val="48553554"/>
    <w:rsid w:val="485E139C"/>
    <w:rsid w:val="48627BC1"/>
    <w:rsid w:val="486547C7"/>
    <w:rsid w:val="486C29F6"/>
    <w:rsid w:val="486F10FB"/>
    <w:rsid w:val="48726863"/>
    <w:rsid w:val="488104DE"/>
    <w:rsid w:val="48867827"/>
    <w:rsid w:val="48885BA4"/>
    <w:rsid w:val="488F5D22"/>
    <w:rsid w:val="48963C58"/>
    <w:rsid w:val="489E7AC0"/>
    <w:rsid w:val="48A87633"/>
    <w:rsid w:val="48AB1128"/>
    <w:rsid w:val="48AC3B18"/>
    <w:rsid w:val="48B00B79"/>
    <w:rsid w:val="48B676D9"/>
    <w:rsid w:val="48B76ABE"/>
    <w:rsid w:val="48BC419B"/>
    <w:rsid w:val="48BC6415"/>
    <w:rsid w:val="48BE3568"/>
    <w:rsid w:val="48BF42E4"/>
    <w:rsid w:val="48BF51F1"/>
    <w:rsid w:val="48CA0C73"/>
    <w:rsid w:val="48D349BD"/>
    <w:rsid w:val="48D64DB3"/>
    <w:rsid w:val="48D67BB4"/>
    <w:rsid w:val="48DA56D6"/>
    <w:rsid w:val="48E94573"/>
    <w:rsid w:val="48F02D97"/>
    <w:rsid w:val="48F034DE"/>
    <w:rsid w:val="48F34514"/>
    <w:rsid w:val="48F5362D"/>
    <w:rsid w:val="48F660EA"/>
    <w:rsid w:val="490825FA"/>
    <w:rsid w:val="490D03DD"/>
    <w:rsid w:val="4911554C"/>
    <w:rsid w:val="49184A5F"/>
    <w:rsid w:val="491A5DC6"/>
    <w:rsid w:val="491F1E56"/>
    <w:rsid w:val="49213D99"/>
    <w:rsid w:val="49216371"/>
    <w:rsid w:val="492A350D"/>
    <w:rsid w:val="492F6333"/>
    <w:rsid w:val="493223BF"/>
    <w:rsid w:val="49333A56"/>
    <w:rsid w:val="493954CA"/>
    <w:rsid w:val="49444B11"/>
    <w:rsid w:val="4947338D"/>
    <w:rsid w:val="494867BA"/>
    <w:rsid w:val="4954073C"/>
    <w:rsid w:val="49561C0C"/>
    <w:rsid w:val="4959335B"/>
    <w:rsid w:val="495B0E0B"/>
    <w:rsid w:val="495F6428"/>
    <w:rsid w:val="49692739"/>
    <w:rsid w:val="496A7F06"/>
    <w:rsid w:val="496C712F"/>
    <w:rsid w:val="496D4452"/>
    <w:rsid w:val="49701166"/>
    <w:rsid w:val="49703213"/>
    <w:rsid w:val="49712A4C"/>
    <w:rsid w:val="497817C5"/>
    <w:rsid w:val="498313B1"/>
    <w:rsid w:val="49831F47"/>
    <w:rsid w:val="49872976"/>
    <w:rsid w:val="498F5029"/>
    <w:rsid w:val="49934B77"/>
    <w:rsid w:val="499F2ED4"/>
    <w:rsid w:val="49A376C2"/>
    <w:rsid w:val="49A4551A"/>
    <w:rsid w:val="49AD5665"/>
    <w:rsid w:val="49B05FB5"/>
    <w:rsid w:val="49B63AFB"/>
    <w:rsid w:val="49BE09D4"/>
    <w:rsid w:val="49C27E62"/>
    <w:rsid w:val="49C60B0D"/>
    <w:rsid w:val="49C87B0A"/>
    <w:rsid w:val="49CE21E8"/>
    <w:rsid w:val="49CF2D8F"/>
    <w:rsid w:val="49D11017"/>
    <w:rsid w:val="49D179BA"/>
    <w:rsid w:val="49DB3738"/>
    <w:rsid w:val="49DB7C4F"/>
    <w:rsid w:val="49DC0316"/>
    <w:rsid w:val="49DC69C6"/>
    <w:rsid w:val="49EA2FDB"/>
    <w:rsid w:val="49EE7A1D"/>
    <w:rsid w:val="49F5627B"/>
    <w:rsid w:val="49F57DDD"/>
    <w:rsid w:val="49F82E8A"/>
    <w:rsid w:val="49F969F1"/>
    <w:rsid w:val="49FB691E"/>
    <w:rsid w:val="4A005D86"/>
    <w:rsid w:val="4A0422A6"/>
    <w:rsid w:val="4A1B5474"/>
    <w:rsid w:val="4A1B637B"/>
    <w:rsid w:val="4A1D1443"/>
    <w:rsid w:val="4A1D16F4"/>
    <w:rsid w:val="4A1D6CF6"/>
    <w:rsid w:val="4A25243B"/>
    <w:rsid w:val="4A283BDC"/>
    <w:rsid w:val="4A285109"/>
    <w:rsid w:val="4A29239F"/>
    <w:rsid w:val="4A2E70DF"/>
    <w:rsid w:val="4A3129BB"/>
    <w:rsid w:val="4A354A04"/>
    <w:rsid w:val="4A3C0175"/>
    <w:rsid w:val="4A3C54BF"/>
    <w:rsid w:val="4A47757B"/>
    <w:rsid w:val="4A4D4136"/>
    <w:rsid w:val="4A4D601C"/>
    <w:rsid w:val="4A521DDD"/>
    <w:rsid w:val="4A530688"/>
    <w:rsid w:val="4A5465E2"/>
    <w:rsid w:val="4A570A3C"/>
    <w:rsid w:val="4A65292E"/>
    <w:rsid w:val="4A683EC0"/>
    <w:rsid w:val="4A692DE6"/>
    <w:rsid w:val="4A724DF7"/>
    <w:rsid w:val="4A7354E9"/>
    <w:rsid w:val="4A7D78AF"/>
    <w:rsid w:val="4A7F0755"/>
    <w:rsid w:val="4A814C99"/>
    <w:rsid w:val="4A816E7A"/>
    <w:rsid w:val="4A8E408F"/>
    <w:rsid w:val="4A973C1E"/>
    <w:rsid w:val="4A9B7976"/>
    <w:rsid w:val="4A9F1E8A"/>
    <w:rsid w:val="4A9F41D4"/>
    <w:rsid w:val="4AA36A34"/>
    <w:rsid w:val="4AA378B9"/>
    <w:rsid w:val="4AB1487C"/>
    <w:rsid w:val="4AB33ECA"/>
    <w:rsid w:val="4AB50F9B"/>
    <w:rsid w:val="4AC02954"/>
    <w:rsid w:val="4AC207E5"/>
    <w:rsid w:val="4ACC3D79"/>
    <w:rsid w:val="4AD00A5B"/>
    <w:rsid w:val="4AD43941"/>
    <w:rsid w:val="4AD86096"/>
    <w:rsid w:val="4AE14B73"/>
    <w:rsid w:val="4AE332CF"/>
    <w:rsid w:val="4AEA6626"/>
    <w:rsid w:val="4AEE2599"/>
    <w:rsid w:val="4AFA0095"/>
    <w:rsid w:val="4AFC11D0"/>
    <w:rsid w:val="4AFD79DA"/>
    <w:rsid w:val="4B0265FC"/>
    <w:rsid w:val="4B030956"/>
    <w:rsid w:val="4B043D64"/>
    <w:rsid w:val="4B056928"/>
    <w:rsid w:val="4B0A769A"/>
    <w:rsid w:val="4B0C762A"/>
    <w:rsid w:val="4B113F5E"/>
    <w:rsid w:val="4B122B1B"/>
    <w:rsid w:val="4B1553F6"/>
    <w:rsid w:val="4B156DB1"/>
    <w:rsid w:val="4B175877"/>
    <w:rsid w:val="4B1F1CAB"/>
    <w:rsid w:val="4B206855"/>
    <w:rsid w:val="4B256B55"/>
    <w:rsid w:val="4B2A5AE3"/>
    <w:rsid w:val="4B2B1697"/>
    <w:rsid w:val="4B2D0074"/>
    <w:rsid w:val="4B3337E3"/>
    <w:rsid w:val="4B333E19"/>
    <w:rsid w:val="4B453185"/>
    <w:rsid w:val="4B474726"/>
    <w:rsid w:val="4B48402B"/>
    <w:rsid w:val="4B49270D"/>
    <w:rsid w:val="4B552B25"/>
    <w:rsid w:val="4B5A253E"/>
    <w:rsid w:val="4B655EE3"/>
    <w:rsid w:val="4B67648D"/>
    <w:rsid w:val="4B6A399F"/>
    <w:rsid w:val="4B711274"/>
    <w:rsid w:val="4B764BB6"/>
    <w:rsid w:val="4B772B96"/>
    <w:rsid w:val="4B7972BE"/>
    <w:rsid w:val="4B7B0E17"/>
    <w:rsid w:val="4B7E4BD3"/>
    <w:rsid w:val="4B7F5985"/>
    <w:rsid w:val="4B8045C6"/>
    <w:rsid w:val="4B823B70"/>
    <w:rsid w:val="4B8D0878"/>
    <w:rsid w:val="4B9E15AA"/>
    <w:rsid w:val="4B9F1725"/>
    <w:rsid w:val="4BB31DA3"/>
    <w:rsid w:val="4BB352AC"/>
    <w:rsid w:val="4BB35CE8"/>
    <w:rsid w:val="4BB84F80"/>
    <w:rsid w:val="4BB905F9"/>
    <w:rsid w:val="4BC83A58"/>
    <w:rsid w:val="4BC92458"/>
    <w:rsid w:val="4BCA6D11"/>
    <w:rsid w:val="4BCD1BFA"/>
    <w:rsid w:val="4BD11254"/>
    <w:rsid w:val="4BD506F9"/>
    <w:rsid w:val="4BD646BA"/>
    <w:rsid w:val="4BDB522E"/>
    <w:rsid w:val="4BDC205B"/>
    <w:rsid w:val="4BDE1534"/>
    <w:rsid w:val="4BDE7B43"/>
    <w:rsid w:val="4BE06724"/>
    <w:rsid w:val="4BE16300"/>
    <w:rsid w:val="4BE73660"/>
    <w:rsid w:val="4BE83D71"/>
    <w:rsid w:val="4BEB75EA"/>
    <w:rsid w:val="4BEE1939"/>
    <w:rsid w:val="4BF51B69"/>
    <w:rsid w:val="4C022C60"/>
    <w:rsid w:val="4C04616A"/>
    <w:rsid w:val="4C0A3404"/>
    <w:rsid w:val="4C0C2A92"/>
    <w:rsid w:val="4C0D54BF"/>
    <w:rsid w:val="4C13237A"/>
    <w:rsid w:val="4C13306C"/>
    <w:rsid w:val="4C156C3E"/>
    <w:rsid w:val="4C1778D1"/>
    <w:rsid w:val="4C2B0972"/>
    <w:rsid w:val="4C2D30FA"/>
    <w:rsid w:val="4C3934A1"/>
    <w:rsid w:val="4C3B3017"/>
    <w:rsid w:val="4C461D1D"/>
    <w:rsid w:val="4C554D26"/>
    <w:rsid w:val="4C5B1725"/>
    <w:rsid w:val="4C5D2DBF"/>
    <w:rsid w:val="4C6636EE"/>
    <w:rsid w:val="4C68395B"/>
    <w:rsid w:val="4C7502D7"/>
    <w:rsid w:val="4C7B0D8E"/>
    <w:rsid w:val="4C7B6ABF"/>
    <w:rsid w:val="4C7C06D6"/>
    <w:rsid w:val="4C7F14F3"/>
    <w:rsid w:val="4C830FCD"/>
    <w:rsid w:val="4C8A623C"/>
    <w:rsid w:val="4C8B1248"/>
    <w:rsid w:val="4C8C62B3"/>
    <w:rsid w:val="4C8D5DC2"/>
    <w:rsid w:val="4C8E262F"/>
    <w:rsid w:val="4C93437C"/>
    <w:rsid w:val="4C966511"/>
    <w:rsid w:val="4C970853"/>
    <w:rsid w:val="4C976AC9"/>
    <w:rsid w:val="4C980902"/>
    <w:rsid w:val="4C9B0F12"/>
    <w:rsid w:val="4C9B15E8"/>
    <w:rsid w:val="4C9C62AD"/>
    <w:rsid w:val="4C9E0B89"/>
    <w:rsid w:val="4C9E3268"/>
    <w:rsid w:val="4CA22F11"/>
    <w:rsid w:val="4CA6059B"/>
    <w:rsid w:val="4CA65DAE"/>
    <w:rsid w:val="4CA82599"/>
    <w:rsid w:val="4CAA1132"/>
    <w:rsid w:val="4CAA38F5"/>
    <w:rsid w:val="4CAB3A12"/>
    <w:rsid w:val="4CAB479C"/>
    <w:rsid w:val="4CB3118F"/>
    <w:rsid w:val="4CBE58B6"/>
    <w:rsid w:val="4CBF3832"/>
    <w:rsid w:val="4CC77C85"/>
    <w:rsid w:val="4CCA56FB"/>
    <w:rsid w:val="4CCE11C2"/>
    <w:rsid w:val="4CD15CF9"/>
    <w:rsid w:val="4CD35151"/>
    <w:rsid w:val="4CDD59AE"/>
    <w:rsid w:val="4CDE7E61"/>
    <w:rsid w:val="4CDF3691"/>
    <w:rsid w:val="4CEC13CF"/>
    <w:rsid w:val="4CED3781"/>
    <w:rsid w:val="4CF24D04"/>
    <w:rsid w:val="4CFA1CF5"/>
    <w:rsid w:val="4CFC2942"/>
    <w:rsid w:val="4D071AE5"/>
    <w:rsid w:val="4D0B2B4F"/>
    <w:rsid w:val="4D0B7689"/>
    <w:rsid w:val="4D0C3BFF"/>
    <w:rsid w:val="4D0D78FA"/>
    <w:rsid w:val="4D144D16"/>
    <w:rsid w:val="4D177605"/>
    <w:rsid w:val="4D1A3D5B"/>
    <w:rsid w:val="4D1F1968"/>
    <w:rsid w:val="4D203D6E"/>
    <w:rsid w:val="4D220F9F"/>
    <w:rsid w:val="4D251A6A"/>
    <w:rsid w:val="4D276DB5"/>
    <w:rsid w:val="4D292DCF"/>
    <w:rsid w:val="4D296B61"/>
    <w:rsid w:val="4D394A43"/>
    <w:rsid w:val="4D4001FE"/>
    <w:rsid w:val="4D4B5BB8"/>
    <w:rsid w:val="4D4F124F"/>
    <w:rsid w:val="4D524AF3"/>
    <w:rsid w:val="4D5B25DC"/>
    <w:rsid w:val="4D5E3444"/>
    <w:rsid w:val="4D62430F"/>
    <w:rsid w:val="4D6C3EE4"/>
    <w:rsid w:val="4D6E7CE4"/>
    <w:rsid w:val="4D70684F"/>
    <w:rsid w:val="4D72726F"/>
    <w:rsid w:val="4D763EAF"/>
    <w:rsid w:val="4D8562AF"/>
    <w:rsid w:val="4D8750CC"/>
    <w:rsid w:val="4D8D23BF"/>
    <w:rsid w:val="4D967B2C"/>
    <w:rsid w:val="4D9A5989"/>
    <w:rsid w:val="4D9D5756"/>
    <w:rsid w:val="4D9F3411"/>
    <w:rsid w:val="4DA52890"/>
    <w:rsid w:val="4DA93504"/>
    <w:rsid w:val="4DAB180B"/>
    <w:rsid w:val="4DAD645C"/>
    <w:rsid w:val="4DB60E81"/>
    <w:rsid w:val="4DB75B45"/>
    <w:rsid w:val="4DBF4A4A"/>
    <w:rsid w:val="4DC74D20"/>
    <w:rsid w:val="4DCB7A85"/>
    <w:rsid w:val="4DCF083C"/>
    <w:rsid w:val="4DD37860"/>
    <w:rsid w:val="4DD971A9"/>
    <w:rsid w:val="4DDE789D"/>
    <w:rsid w:val="4DDF3CA1"/>
    <w:rsid w:val="4DE50946"/>
    <w:rsid w:val="4DE573AB"/>
    <w:rsid w:val="4DE67ECA"/>
    <w:rsid w:val="4DEC3731"/>
    <w:rsid w:val="4DEC7D73"/>
    <w:rsid w:val="4DF03F3B"/>
    <w:rsid w:val="4DF56E4B"/>
    <w:rsid w:val="4DFA25C3"/>
    <w:rsid w:val="4E0320B4"/>
    <w:rsid w:val="4E08403D"/>
    <w:rsid w:val="4E09094B"/>
    <w:rsid w:val="4E0B0125"/>
    <w:rsid w:val="4E267333"/>
    <w:rsid w:val="4E2B047D"/>
    <w:rsid w:val="4E311AFE"/>
    <w:rsid w:val="4E315973"/>
    <w:rsid w:val="4E333CB4"/>
    <w:rsid w:val="4E3E53EE"/>
    <w:rsid w:val="4E3E7FA6"/>
    <w:rsid w:val="4E4308ED"/>
    <w:rsid w:val="4E451821"/>
    <w:rsid w:val="4E49389B"/>
    <w:rsid w:val="4E4A40DC"/>
    <w:rsid w:val="4E4A72B1"/>
    <w:rsid w:val="4E4B33E3"/>
    <w:rsid w:val="4E4B5BD5"/>
    <w:rsid w:val="4E4C4DEE"/>
    <w:rsid w:val="4E59685F"/>
    <w:rsid w:val="4E5F1C47"/>
    <w:rsid w:val="4E61488B"/>
    <w:rsid w:val="4E62713E"/>
    <w:rsid w:val="4E647BF5"/>
    <w:rsid w:val="4E6A2244"/>
    <w:rsid w:val="4E6B7D62"/>
    <w:rsid w:val="4E6C325B"/>
    <w:rsid w:val="4E6C3B56"/>
    <w:rsid w:val="4E6D48E5"/>
    <w:rsid w:val="4E6F32BF"/>
    <w:rsid w:val="4E714E0E"/>
    <w:rsid w:val="4E82760D"/>
    <w:rsid w:val="4E89301B"/>
    <w:rsid w:val="4E894AFA"/>
    <w:rsid w:val="4E8B5AB9"/>
    <w:rsid w:val="4E93041D"/>
    <w:rsid w:val="4E96699F"/>
    <w:rsid w:val="4E972AE5"/>
    <w:rsid w:val="4EA21A16"/>
    <w:rsid w:val="4EA36291"/>
    <w:rsid w:val="4EA523FF"/>
    <w:rsid w:val="4EA80ABB"/>
    <w:rsid w:val="4EA86B37"/>
    <w:rsid w:val="4EB41544"/>
    <w:rsid w:val="4EB85AFC"/>
    <w:rsid w:val="4EB876FF"/>
    <w:rsid w:val="4EBD23A3"/>
    <w:rsid w:val="4EC41933"/>
    <w:rsid w:val="4EC921DE"/>
    <w:rsid w:val="4EC96608"/>
    <w:rsid w:val="4ECA0154"/>
    <w:rsid w:val="4ECA3992"/>
    <w:rsid w:val="4EDC40CE"/>
    <w:rsid w:val="4EDE1535"/>
    <w:rsid w:val="4EDF58AC"/>
    <w:rsid w:val="4EEC1E1D"/>
    <w:rsid w:val="4EEC30DD"/>
    <w:rsid w:val="4EEF71F5"/>
    <w:rsid w:val="4EF03706"/>
    <w:rsid w:val="4EF131CA"/>
    <w:rsid w:val="4EF21109"/>
    <w:rsid w:val="4EF8053D"/>
    <w:rsid w:val="4EF9135B"/>
    <w:rsid w:val="4F0178BA"/>
    <w:rsid w:val="4F022DBB"/>
    <w:rsid w:val="4F075323"/>
    <w:rsid w:val="4F0B24FF"/>
    <w:rsid w:val="4F0F6F4E"/>
    <w:rsid w:val="4F0F7865"/>
    <w:rsid w:val="4F121835"/>
    <w:rsid w:val="4F127237"/>
    <w:rsid w:val="4F2B2970"/>
    <w:rsid w:val="4F2C26EB"/>
    <w:rsid w:val="4F337018"/>
    <w:rsid w:val="4F34295B"/>
    <w:rsid w:val="4F346648"/>
    <w:rsid w:val="4F362783"/>
    <w:rsid w:val="4F3C7C9B"/>
    <w:rsid w:val="4F4018DB"/>
    <w:rsid w:val="4F426C1E"/>
    <w:rsid w:val="4F4604AD"/>
    <w:rsid w:val="4F476026"/>
    <w:rsid w:val="4F4F3166"/>
    <w:rsid w:val="4F5117E4"/>
    <w:rsid w:val="4F51731E"/>
    <w:rsid w:val="4F5709AA"/>
    <w:rsid w:val="4F5817D5"/>
    <w:rsid w:val="4F5B215A"/>
    <w:rsid w:val="4F5B618C"/>
    <w:rsid w:val="4F5C17A2"/>
    <w:rsid w:val="4F5D15D7"/>
    <w:rsid w:val="4F5E1ECB"/>
    <w:rsid w:val="4F6224A7"/>
    <w:rsid w:val="4F696DB4"/>
    <w:rsid w:val="4F6B6D49"/>
    <w:rsid w:val="4F6B7098"/>
    <w:rsid w:val="4F6C1195"/>
    <w:rsid w:val="4F6C5458"/>
    <w:rsid w:val="4F734B05"/>
    <w:rsid w:val="4F7C1BD8"/>
    <w:rsid w:val="4F7E3D4F"/>
    <w:rsid w:val="4F824BC9"/>
    <w:rsid w:val="4F8305F3"/>
    <w:rsid w:val="4F87102E"/>
    <w:rsid w:val="4F8973A9"/>
    <w:rsid w:val="4F8D60DA"/>
    <w:rsid w:val="4F9A624B"/>
    <w:rsid w:val="4F9F2E11"/>
    <w:rsid w:val="4FA1626D"/>
    <w:rsid w:val="4FA4202A"/>
    <w:rsid w:val="4FAF57EA"/>
    <w:rsid w:val="4FB459FD"/>
    <w:rsid w:val="4FB6302C"/>
    <w:rsid w:val="4FC02045"/>
    <w:rsid w:val="4FC119D0"/>
    <w:rsid w:val="4FC408C4"/>
    <w:rsid w:val="4FC64D40"/>
    <w:rsid w:val="4FCB0DC5"/>
    <w:rsid w:val="4FD334BF"/>
    <w:rsid w:val="4FD46020"/>
    <w:rsid w:val="4FD56F09"/>
    <w:rsid w:val="4FD661CA"/>
    <w:rsid w:val="4FD73EAF"/>
    <w:rsid w:val="4FD94E91"/>
    <w:rsid w:val="4FDA5EB4"/>
    <w:rsid w:val="4FDA7BD6"/>
    <w:rsid w:val="4FDD183F"/>
    <w:rsid w:val="4FDE09FD"/>
    <w:rsid w:val="4FDE3642"/>
    <w:rsid w:val="4FE253FC"/>
    <w:rsid w:val="4FE32E66"/>
    <w:rsid w:val="4FE61946"/>
    <w:rsid w:val="4FE71872"/>
    <w:rsid w:val="4FEA4719"/>
    <w:rsid w:val="4FEE199A"/>
    <w:rsid w:val="4FF1197E"/>
    <w:rsid w:val="4FF653A9"/>
    <w:rsid w:val="4FF663F0"/>
    <w:rsid w:val="4FFE090D"/>
    <w:rsid w:val="50011708"/>
    <w:rsid w:val="50020CD1"/>
    <w:rsid w:val="500408D9"/>
    <w:rsid w:val="500902DF"/>
    <w:rsid w:val="500A6D2A"/>
    <w:rsid w:val="500F6907"/>
    <w:rsid w:val="50185BE1"/>
    <w:rsid w:val="501D6352"/>
    <w:rsid w:val="502338E6"/>
    <w:rsid w:val="50237F10"/>
    <w:rsid w:val="502953F0"/>
    <w:rsid w:val="502B1C85"/>
    <w:rsid w:val="502C014A"/>
    <w:rsid w:val="502F307D"/>
    <w:rsid w:val="503034D3"/>
    <w:rsid w:val="50322583"/>
    <w:rsid w:val="503D4C8A"/>
    <w:rsid w:val="50407249"/>
    <w:rsid w:val="50481372"/>
    <w:rsid w:val="504E773B"/>
    <w:rsid w:val="50514A84"/>
    <w:rsid w:val="50581AE5"/>
    <w:rsid w:val="505D08FF"/>
    <w:rsid w:val="50621FFC"/>
    <w:rsid w:val="5075570D"/>
    <w:rsid w:val="507E3CD4"/>
    <w:rsid w:val="50875E0E"/>
    <w:rsid w:val="5089698C"/>
    <w:rsid w:val="508F5FA0"/>
    <w:rsid w:val="50926C65"/>
    <w:rsid w:val="50985A1B"/>
    <w:rsid w:val="50985FC5"/>
    <w:rsid w:val="50995FBD"/>
    <w:rsid w:val="50A16115"/>
    <w:rsid w:val="50A673CB"/>
    <w:rsid w:val="50AE2E7C"/>
    <w:rsid w:val="50B82806"/>
    <w:rsid w:val="50B93B6F"/>
    <w:rsid w:val="50BA299E"/>
    <w:rsid w:val="50BB04DA"/>
    <w:rsid w:val="50BD76BC"/>
    <w:rsid w:val="50C31288"/>
    <w:rsid w:val="50C35232"/>
    <w:rsid w:val="50C37E9C"/>
    <w:rsid w:val="50C61AC6"/>
    <w:rsid w:val="50C76E13"/>
    <w:rsid w:val="50C808BB"/>
    <w:rsid w:val="50CD53F9"/>
    <w:rsid w:val="50CE69C0"/>
    <w:rsid w:val="50D00EE4"/>
    <w:rsid w:val="50D3664F"/>
    <w:rsid w:val="50D83BF2"/>
    <w:rsid w:val="50DD3026"/>
    <w:rsid w:val="50E00FAA"/>
    <w:rsid w:val="50E43B4B"/>
    <w:rsid w:val="50E51048"/>
    <w:rsid w:val="50E518F3"/>
    <w:rsid w:val="50E601BB"/>
    <w:rsid w:val="50E70CB2"/>
    <w:rsid w:val="50EA18F0"/>
    <w:rsid w:val="50F625A9"/>
    <w:rsid w:val="50F6584A"/>
    <w:rsid w:val="50FA2494"/>
    <w:rsid w:val="510066B1"/>
    <w:rsid w:val="510303DE"/>
    <w:rsid w:val="51065DCD"/>
    <w:rsid w:val="51087240"/>
    <w:rsid w:val="510B3B3D"/>
    <w:rsid w:val="51150178"/>
    <w:rsid w:val="51247428"/>
    <w:rsid w:val="512A4F56"/>
    <w:rsid w:val="512F3391"/>
    <w:rsid w:val="513414E1"/>
    <w:rsid w:val="51350A1F"/>
    <w:rsid w:val="51372A13"/>
    <w:rsid w:val="51387666"/>
    <w:rsid w:val="513A051A"/>
    <w:rsid w:val="51423774"/>
    <w:rsid w:val="51475EB1"/>
    <w:rsid w:val="514C2EFE"/>
    <w:rsid w:val="51532244"/>
    <w:rsid w:val="516054F4"/>
    <w:rsid w:val="51685AE0"/>
    <w:rsid w:val="516A3E5E"/>
    <w:rsid w:val="51705EF8"/>
    <w:rsid w:val="51777D8D"/>
    <w:rsid w:val="517C7CC1"/>
    <w:rsid w:val="51871715"/>
    <w:rsid w:val="51874940"/>
    <w:rsid w:val="51913CEE"/>
    <w:rsid w:val="51924E6C"/>
    <w:rsid w:val="51927FDC"/>
    <w:rsid w:val="51994F22"/>
    <w:rsid w:val="519A5182"/>
    <w:rsid w:val="519B702C"/>
    <w:rsid w:val="51A448D5"/>
    <w:rsid w:val="51A621D6"/>
    <w:rsid w:val="51A7289F"/>
    <w:rsid w:val="51A91D37"/>
    <w:rsid w:val="51B267CD"/>
    <w:rsid w:val="51B404B1"/>
    <w:rsid w:val="51B57180"/>
    <w:rsid w:val="51B67B77"/>
    <w:rsid w:val="51B918F4"/>
    <w:rsid w:val="51BB7D94"/>
    <w:rsid w:val="51C21034"/>
    <w:rsid w:val="51C41C11"/>
    <w:rsid w:val="51CF59A8"/>
    <w:rsid w:val="51D27A12"/>
    <w:rsid w:val="51D52C08"/>
    <w:rsid w:val="51E16212"/>
    <w:rsid w:val="51E55AF1"/>
    <w:rsid w:val="51EA785A"/>
    <w:rsid w:val="51EF1B81"/>
    <w:rsid w:val="51F10A45"/>
    <w:rsid w:val="51F44DF8"/>
    <w:rsid w:val="51FF7392"/>
    <w:rsid w:val="52013186"/>
    <w:rsid w:val="520F74CE"/>
    <w:rsid w:val="52110C33"/>
    <w:rsid w:val="52117771"/>
    <w:rsid w:val="521D063C"/>
    <w:rsid w:val="521D6BC2"/>
    <w:rsid w:val="521F58C7"/>
    <w:rsid w:val="5220345A"/>
    <w:rsid w:val="5223394C"/>
    <w:rsid w:val="52250C6B"/>
    <w:rsid w:val="522A3648"/>
    <w:rsid w:val="52336C01"/>
    <w:rsid w:val="523C7E01"/>
    <w:rsid w:val="524366AF"/>
    <w:rsid w:val="5245586C"/>
    <w:rsid w:val="5246006B"/>
    <w:rsid w:val="52483041"/>
    <w:rsid w:val="52491072"/>
    <w:rsid w:val="524A57A5"/>
    <w:rsid w:val="524B3B2A"/>
    <w:rsid w:val="52581524"/>
    <w:rsid w:val="52584506"/>
    <w:rsid w:val="525C0FE9"/>
    <w:rsid w:val="525C1B18"/>
    <w:rsid w:val="525C7CD5"/>
    <w:rsid w:val="52602591"/>
    <w:rsid w:val="52625319"/>
    <w:rsid w:val="526923C8"/>
    <w:rsid w:val="526C7DA3"/>
    <w:rsid w:val="526E066C"/>
    <w:rsid w:val="526F6801"/>
    <w:rsid w:val="52737644"/>
    <w:rsid w:val="527755DC"/>
    <w:rsid w:val="527929D4"/>
    <w:rsid w:val="5285325A"/>
    <w:rsid w:val="52890A1C"/>
    <w:rsid w:val="52902B89"/>
    <w:rsid w:val="529353E2"/>
    <w:rsid w:val="529E0283"/>
    <w:rsid w:val="529E5A1B"/>
    <w:rsid w:val="52A03C41"/>
    <w:rsid w:val="52A05372"/>
    <w:rsid w:val="52A11971"/>
    <w:rsid w:val="52A36632"/>
    <w:rsid w:val="52A428B2"/>
    <w:rsid w:val="52A93232"/>
    <w:rsid w:val="52AC2AAF"/>
    <w:rsid w:val="52AC7E94"/>
    <w:rsid w:val="52B04C50"/>
    <w:rsid w:val="52B14471"/>
    <w:rsid w:val="52BF3A78"/>
    <w:rsid w:val="52C27D67"/>
    <w:rsid w:val="52C36096"/>
    <w:rsid w:val="52CB0E42"/>
    <w:rsid w:val="52CF74FB"/>
    <w:rsid w:val="52D05D4A"/>
    <w:rsid w:val="52D40BF0"/>
    <w:rsid w:val="52D530E1"/>
    <w:rsid w:val="52D67C96"/>
    <w:rsid w:val="52D94BFF"/>
    <w:rsid w:val="52E33307"/>
    <w:rsid w:val="52E37A11"/>
    <w:rsid w:val="52E46D27"/>
    <w:rsid w:val="52EB6A91"/>
    <w:rsid w:val="52EB7D9B"/>
    <w:rsid w:val="52F16127"/>
    <w:rsid w:val="52F44D07"/>
    <w:rsid w:val="52FA2545"/>
    <w:rsid w:val="52FB1058"/>
    <w:rsid w:val="52FF2DD9"/>
    <w:rsid w:val="52FF39FA"/>
    <w:rsid w:val="5310650C"/>
    <w:rsid w:val="531D2166"/>
    <w:rsid w:val="531E2B90"/>
    <w:rsid w:val="531F15BC"/>
    <w:rsid w:val="53272731"/>
    <w:rsid w:val="532A6BC7"/>
    <w:rsid w:val="532E62C5"/>
    <w:rsid w:val="532F5E23"/>
    <w:rsid w:val="533040D0"/>
    <w:rsid w:val="533210BF"/>
    <w:rsid w:val="533C1D4C"/>
    <w:rsid w:val="533F0728"/>
    <w:rsid w:val="534025D5"/>
    <w:rsid w:val="53404A0C"/>
    <w:rsid w:val="534D6378"/>
    <w:rsid w:val="53565B2C"/>
    <w:rsid w:val="535878A8"/>
    <w:rsid w:val="535A6DCC"/>
    <w:rsid w:val="535B15E3"/>
    <w:rsid w:val="53684685"/>
    <w:rsid w:val="536A2DD8"/>
    <w:rsid w:val="536A6AB0"/>
    <w:rsid w:val="536E6D3B"/>
    <w:rsid w:val="53736519"/>
    <w:rsid w:val="537A64D6"/>
    <w:rsid w:val="53841D43"/>
    <w:rsid w:val="53854D8E"/>
    <w:rsid w:val="53885B3D"/>
    <w:rsid w:val="538D6C1E"/>
    <w:rsid w:val="538F1376"/>
    <w:rsid w:val="53935709"/>
    <w:rsid w:val="5395459A"/>
    <w:rsid w:val="53983153"/>
    <w:rsid w:val="53990C25"/>
    <w:rsid w:val="539B4A45"/>
    <w:rsid w:val="53A9749D"/>
    <w:rsid w:val="53AA33BC"/>
    <w:rsid w:val="53B4425F"/>
    <w:rsid w:val="53BA2EB8"/>
    <w:rsid w:val="53BD38CA"/>
    <w:rsid w:val="53C22E51"/>
    <w:rsid w:val="53D3204A"/>
    <w:rsid w:val="53D739F3"/>
    <w:rsid w:val="53D7679C"/>
    <w:rsid w:val="53DB5E2E"/>
    <w:rsid w:val="53DD4C58"/>
    <w:rsid w:val="53E44A71"/>
    <w:rsid w:val="53E84776"/>
    <w:rsid w:val="53EC3691"/>
    <w:rsid w:val="53EE70F6"/>
    <w:rsid w:val="53F43A13"/>
    <w:rsid w:val="53F9138D"/>
    <w:rsid w:val="53FB5122"/>
    <w:rsid w:val="53FC4571"/>
    <w:rsid w:val="53FF6029"/>
    <w:rsid w:val="54072B70"/>
    <w:rsid w:val="54096ED0"/>
    <w:rsid w:val="540D01D5"/>
    <w:rsid w:val="540D7908"/>
    <w:rsid w:val="54145216"/>
    <w:rsid w:val="54155288"/>
    <w:rsid w:val="54246731"/>
    <w:rsid w:val="54297CAD"/>
    <w:rsid w:val="542A4535"/>
    <w:rsid w:val="542E69F4"/>
    <w:rsid w:val="54345A48"/>
    <w:rsid w:val="54396075"/>
    <w:rsid w:val="543D582B"/>
    <w:rsid w:val="5440732C"/>
    <w:rsid w:val="544276DA"/>
    <w:rsid w:val="54443B8B"/>
    <w:rsid w:val="54460F2A"/>
    <w:rsid w:val="544E6061"/>
    <w:rsid w:val="545218C0"/>
    <w:rsid w:val="54577ABF"/>
    <w:rsid w:val="545E5EC1"/>
    <w:rsid w:val="546131AF"/>
    <w:rsid w:val="54615AD2"/>
    <w:rsid w:val="546553BD"/>
    <w:rsid w:val="54690674"/>
    <w:rsid w:val="54721796"/>
    <w:rsid w:val="54726616"/>
    <w:rsid w:val="54726659"/>
    <w:rsid w:val="54782BC1"/>
    <w:rsid w:val="547A7968"/>
    <w:rsid w:val="547D5261"/>
    <w:rsid w:val="547F3DFB"/>
    <w:rsid w:val="5480682B"/>
    <w:rsid w:val="54810E2C"/>
    <w:rsid w:val="548123EF"/>
    <w:rsid w:val="54897E55"/>
    <w:rsid w:val="548F67EA"/>
    <w:rsid w:val="54913FA8"/>
    <w:rsid w:val="5495080E"/>
    <w:rsid w:val="549C4008"/>
    <w:rsid w:val="54A40FA1"/>
    <w:rsid w:val="54A50956"/>
    <w:rsid w:val="54A93BB0"/>
    <w:rsid w:val="54AD065D"/>
    <w:rsid w:val="54B80EC5"/>
    <w:rsid w:val="54C30CC2"/>
    <w:rsid w:val="54C44A16"/>
    <w:rsid w:val="54C67485"/>
    <w:rsid w:val="54C72546"/>
    <w:rsid w:val="54CE6306"/>
    <w:rsid w:val="54D26546"/>
    <w:rsid w:val="54D26D35"/>
    <w:rsid w:val="54D766D7"/>
    <w:rsid w:val="54D87363"/>
    <w:rsid w:val="54E311F9"/>
    <w:rsid w:val="54E57966"/>
    <w:rsid w:val="54E63D3C"/>
    <w:rsid w:val="54E834DA"/>
    <w:rsid w:val="54E914E4"/>
    <w:rsid w:val="54EC1F33"/>
    <w:rsid w:val="54F17E8D"/>
    <w:rsid w:val="54F221D4"/>
    <w:rsid w:val="54F67AF6"/>
    <w:rsid w:val="54F87092"/>
    <w:rsid w:val="54F95FA9"/>
    <w:rsid w:val="54FA3DF3"/>
    <w:rsid w:val="54FC22B2"/>
    <w:rsid w:val="54FF2912"/>
    <w:rsid w:val="54FF438C"/>
    <w:rsid w:val="5501601C"/>
    <w:rsid w:val="550752A1"/>
    <w:rsid w:val="550801BC"/>
    <w:rsid w:val="55125E05"/>
    <w:rsid w:val="55135101"/>
    <w:rsid w:val="551740FB"/>
    <w:rsid w:val="55175B4F"/>
    <w:rsid w:val="551D1D56"/>
    <w:rsid w:val="551D6EA4"/>
    <w:rsid w:val="55200237"/>
    <w:rsid w:val="55206424"/>
    <w:rsid w:val="55250443"/>
    <w:rsid w:val="55275FA7"/>
    <w:rsid w:val="552A1F52"/>
    <w:rsid w:val="552B439F"/>
    <w:rsid w:val="552B7D12"/>
    <w:rsid w:val="552C1146"/>
    <w:rsid w:val="552D20DD"/>
    <w:rsid w:val="553052B9"/>
    <w:rsid w:val="553262E1"/>
    <w:rsid w:val="55341D1C"/>
    <w:rsid w:val="553521CB"/>
    <w:rsid w:val="55420934"/>
    <w:rsid w:val="5548558F"/>
    <w:rsid w:val="554C5D96"/>
    <w:rsid w:val="555054BB"/>
    <w:rsid w:val="55571F41"/>
    <w:rsid w:val="55620FC3"/>
    <w:rsid w:val="55685D04"/>
    <w:rsid w:val="556C0DE1"/>
    <w:rsid w:val="556C4B52"/>
    <w:rsid w:val="556D4591"/>
    <w:rsid w:val="557006B9"/>
    <w:rsid w:val="55722D03"/>
    <w:rsid w:val="55732712"/>
    <w:rsid w:val="55761C17"/>
    <w:rsid w:val="557C7D21"/>
    <w:rsid w:val="55866AA6"/>
    <w:rsid w:val="558A43B4"/>
    <w:rsid w:val="55924ABD"/>
    <w:rsid w:val="55947E45"/>
    <w:rsid w:val="559D6863"/>
    <w:rsid w:val="55A361D9"/>
    <w:rsid w:val="55A62D51"/>
    <w:rsid w:val="55A7585F"/>
    <w:rsid w:val="55AD2619"/>
    <w:rsid w:val="55B335DE"/>
    <w:rsid w:val="55B772BE"/>
    <w:rsid w:val="55B8789A"/>
    <w:rsid w:val="55BB102F"/>
    <w:rsid w:val="55BB781C"/>
    <w:rsid w:val="55C035F9"/>
    <w:rsid w:val="55C3715D"/>
    <w:rsid w:val="55C41E1B"/>
    <w:rsid w:val="55D06A28"/>
    <w:rsid w:val="55D47976"/>
    <w:rsid w:val="55DB3E4B"/>
    <w:rsid w:val="55DC7FD7"/>
    <w:rsid w:val="55E110FB"/>
    <w:rsid w:val="55E64CE5"/>
    <w:rsid w:val="55EB594C"/>
    <w:rsid w:val="55EF1A63"/>
    <w:rsid w:val="55F346C3"/>
    <w:rsid w:val="55F36905"/>
    <w:rsid w:val="55F75D69"/>
    <w:rsid w:val="55FE2D2E"/>
    <w:rsid w:val="55FF523B"/>
    <w:rsid w:val="56095FA8"/>
    <w:rsid w:val="560B0703"/>
    <w:rsid w:val="560B6FD0"/>
    <w:rsid w:val="56151064"/>
    <w:rsid w:val="561B583D"/>
    <w:rsid w:val="5624337B"/>
    <w:rsid w:val="562472F4"/>
    <w:rsid w:val="5626739C"/>
    <w:rsid w:val="562B6DE2"/>
    <w:rsid w:val="562C681A"/>
    <w:rsid w:val="563052EF"/>
    <w:rsid w:val="5638168A"/>
    <w:rsid w:val="563F3E96"/>
    <w:rsid w:val="564003C4"/>
    <w:rsid w:val="5641618D"/>
    <w:rsid w:val="56446925"/>
    <w:rsid w:val="56586573"/>
    <w:rsid w:val="565919D9"/>
    <w:rsid w:val="565976B6"/>
    <w:rsid w:val="565A0576"/>
    <w:rsid w:val="566166FA"/>
    <w:rsid w:val="56666AD1"/>
    <w:rsid w:val="566D5514"/>
    <w:rsid w:val="56886685"/>
    <w:rsid w:val="568A7305"/>
    <w:rsid w:val="568D1459"/>
    <w:rsid w:val="56924590"/>
    <w:rsid w:val="56982359"/>
    <w:rsid w:val="56984022"/>
    <w:rsid w:val="569A693B"/>
    <w:rsid w:val="569C7CD8"/>
    <w:rsid w:val="569F3FFC"/>
    <w:rsid w:val="56A26B63"/>
    <w:rsid w:val="56AE14FE"/>
    <w:rsid w:val="56B01E81"/>
    <w:rsid w:val="56B71460"/>
    <w:rsid w:val="56B8529C"/>
    <w:rsid w:val="56BC1B62"/>
    <w:rsid w:val="56BF691C"/>
    <w:rsid w:val="56C148F8"/>
    <w:rsid w:val="56C17481"/>
    <w:rsid w:val="56C34CBA"/>
    <w:rsid w:val="56C56B2D"/>
    <w:rsid w:val="56D15EB8"/>
    <w:rsid w:val="56D24A20"/>
    <w:rsid w:val="56D43EC0"/>
    <w:rsid w:val="56D742EB"/>
    <w:rsid w:val="56DA5037"/>
    <w:rsid w:val="56DD7B92"/>
    <w:rsid w:val="56DE41E8"/>
    <w:rsid w:val="56E335D2"/>
    <w:rsid w:val="56E418D2"/>
    <w:rsid w:val="56E47E5B"/>
    <w:rsid w:val="56E64A9D"/>
    <w:rsid w:val="56E67387"/>
    <w:rsid w:val="56F0522F"/>
    <w:rsid w:val="56FE2B50"/>
    <w:rsid w:val="56FE44FA"/>
    <w:rsid w:val="57057195"/>
    <w:rsid w:val="57066BEB"/>
    <w:rsid w:val="570B4501"/>
    <w:rsid w:val="570E1A97"/>
    <w:rsid w:val="570F1DDB"/>
    <w:rsid w:val="57101B49"/>
    <w:rsid w:val="571B444C"/>
    <w:rsid w:val="57222031"/>
    <w:rsid w:val="5723050B"/>
    <w:rsid w:val="57271886"/>
    <w:rsid w:val="572731C2"/>
    <w:rsid w:val="57282CE6"/>
    <w:rsid w:val="57290889"/>
    <w:rsid w:val="572959A2"/>
    <w:rsid w:val="572B3879"/>
    <w:rsid w:val="572E6BEC"/>
    <w:rsid w:val="573163B8"/>
    <w:rsid w:val="573D2446"/>
    <w:rsid w:val="57410684"/>
    <w:rsid w:val="574464F1"/>
    <w:rsid w:val="57455EEE"/>
    <w:rsid w:val="57464B4F"/>
    <w:rsid w:val="574D3EC9"/>
    <w:rsid w:val="575A15AA"/>
    <w:rsid w:val="575B0094"/>
    <w:rsid w:val="57653D35"/>
    <w:rsid w:val="57673CED"/>
    <w:rsid w:val="5768373E"/>
    <w:rsid w:val="576A458D"/>
    <w:rsid w:val="576F4177"/>
    <w:rsid w:val="577B70D9"/>
    <w:rsid w:val="577C71A3"/>
    <w:rsid w:val="577D0634"/>
    <w:rsid w:val="577F0F25"/>
    <w:rsid w:val="57930FE6"/>
    <w:rsid w:val="57942FF9"/>
    <w:rsid w:val="57993386"/>
    <w:rsid w:val="57A132EE"/>
    <w:rsid w:val="57A768D0"/>
    <w:rsid w:val="57A8544B"/>
    <w:rsid w:val="57AD0523"/>
    <w:rsid w:val="57AE6123"/>
    <w:rsid w:val="57BC65EF"/>
    <w:rsid w:val="57BF6693"/>
    <w:rsid w:val="57C4509D"/>
    <w:rsid w:val="57C77A03"/>
    <w:rsid w:val="57C81ED8"/>
    <w:rsid w:val="57CD6716"/>
    <w:rsid w:val="57D05C4D"/>
    <w:rsid w:val="57D622E0"/>
    <w:rsid w:val="57D64280"/>
    <w:rsid w:val="57DD5BDF"/>
    <w:rsid w:val="57DF65CF"/>
    <w:rsid w:val="57DF6E99"/>
    <w:rsid w:val="57DF79F3"/>
    <w:rsid w:val="57E05301"/>
    <w:rsid w:val="57EE3328"/>
    <w:rsid w:val="57F95489"/>
    <w:rsid w:val="57FA6893"/>
    <w:rsid w:val="58057441"/>
    <w:rsid w:val="580C2399"/>
    <w:rsid w:val="58175174"/>
    <w:rsid w:val="582747CA"/>
    <w:rsid w:val="582A2869"/>
    <w:rsid w:val="582C3471"/>
    <w:rsid w:val="582D0AF9"/>
    <w:rsid w:val="582D74CC"/>
    <w:rsid w:val="583A40EF"/>
    <w:rsid w:val="583B11F6"/>
    <w:rsid w:val="583F4DA8"/>
    <w:rsid w:val="58411EB0"/>
    <w:rsid w:val="584A2CA1"/>
    <w:rsid w:val="58540E4B"/>
    <w:rsid w:val="58583C16"/>
    <w:rsid w:val="5861173B"/>
    <w:rsid w:val="5864459D"/>
    <w:rsid w:val="58654681"/>
    <w:rsid w:val="58663811"/>
    <w:rsid w:val="586C74C1"/>
    <w:rsid w:val="587020E7"/>
    <w:rsid w:val="587C5F53"/>
    <w:rsid w:val="587E38B8"/>
    <w:rsid w:val="588568A7"/>
    <w:rsid w:val="588B3C54"/>
    <w:rsid w:val="58975214"/>
    <w:rsid w:val="589777ED"/>
    <w:rsid w:val="58993082"/>
    <w:rsid w:val="589B6B9D"/>
    <w:rsid w:val="58B036AD"/>
    <w:rsid w:val="58B5062F"/>
    <w:rsid w:val="58B601F7"/>
    <w:rsid w:val="58B73423"/>
    <w:rsid w:val="58B80CB2"/>
    <w:rsid w:val="58B85DDE"/>
    <w:rsid w:val="58BC24EE"/>
    <w:rsid w:val="58BE1395"/>
    <w:rsid w:val="58C066AC"/>
    <w:rsid w:val="58C20883"/>
    <w:rsid w:val="58C844C4"/>
    <w:rsid w:val="58CB3E57"/>
    <w:rsid w:val="58D07B6F"/>
    <w:rsid w:val="58D13BE7"/>
    <w:rsid w:val="58D55445"/>
    <w:rsid w:val="58D73D3E"/>
    <w:rsid w:val="58DA4FE6"/>
    <w:rsid w:val="58DD7EE2"/>
    <w:rsid w:val="58E35F94"/>
    <w:rsid w:val="58E636AC"/>
    <w:rsid w:val="58EE02AF"/>
    <w:rsid w:val="58F22BE3"/>
    <w:rsid w:val="58F4236C"/>
    <w:rsid w:val="58F45387"/>
    <w:rsid w:val="58F73CAB"/>
    <w:rsid w:val="58FE6856"/>
    <w:rsid w:val="59010CB2"/>
    <w:rsid w:val="59036867"/>
    <w:rsid w:val="59063D81"/>
    <w:rsid w:val="5907181B"/>
    <w:rsid w:val="59071D62"/>
    <w:rsid w:val="590824D3"/>
    <w:rsid w:val="59084CAF"/>
    <w:rsid w:val="59094453"/>
    <w:rsid w:val="59156CBC"/>
    <w:rsid w:val="5917677B"/>
    <w:rsid w:val="59176C72"/>
    <w:rsid w:val="59183466"/>
    <w:rsid w:val="591F5827"/>
    <w:rsid w:val="591F5C5A"/>
    <w:rsid w:val="59210207"/>
    <w:rsid w:val="5927658F"/>
    <w:rsid w:val="59331EFD"/>
    <w:rsid w:val="5935580F"/>
    <w:rsid w:val="59370DB5"/>
    <w:rsid w:val="593E6E35"/>
    <w:rsid w:val="59467CE1"/>
    <w:rsid w:val="594A229E"/>
    <w:rsid w:val="594C28B9"/>
    <w:rsid w:val="594E4BC5"/>
    <w:rsid w:val="594F6BC9"/>
    <w:rsid w:val="59530254"/>
    <w:rsid w:val="59554AA0"/>
    <w:rsid w:val="595F321A"/>
    <w:rsid w:val="59637998"/>
    <w:rsid w:val="59676C24"/>
    <w:rsid w:val="596A3281"/>
    <w:rsid w:val="596D36CD"/>
    <w:rsid w:val="596E43D2"/>
    <w:rsid w:val="597B746C"/>
    <w:rsid w:val="597C073D"/>
    <w:rsid w:val="5980586F"/>
    <w:rsid w:val="598222FE"/>
    <w:rsid w:val="59824974"/>
    <w:rsid w:val="598966A4"/>
    <w:rsid w:val="5990063C"/>
    <w:rsid w:val="5993234F"/>
    <w:rsid w:val="5994799F"/>
    <w:rsid w:val="59966D81"/>
    <w:rsid w:val="599D1446"/>
    <w:rsid w:val="599F04C8"/>
    <w:rsid w:val="59A03BE1"/>
    <w:rsid w:val="59A47625"/>
    <w:rsid w:val="59A61632"/>
    <w:rsid w:val="59A96442"/>
    <w:rsid w:val="59AB1075"/>
    <w:rsid w:val="59AB699E"/>
    <w:rsid w:val="59AF2E06"/>
    <w:rsid w:val="59B647AB"/>
    <w:rsid w:val="59B72EC5"/>
    <w:rsid w:val="59BA4055"/>
    <w:rsid w:val="59BA5DD0"/>
    <w:rsid w:val="59BB0993"/>
    <w:rsid w:val="59BB5DFF"/>
    <w:rsid w:val="59BC226F"/>
    <w:rsid w:val="59BE3E80"/>
    <w:rsid w:val="59C057A3"/>
    <w:rsid w:val="59C40D70"/>
    <w:rsid w:val="59C51F55"/>
    <w:rsid w:val="59C64FC6"/>
    <w:rsid w:val="59C9212F"/>
    <w:rsid w:val="59C94FA7"/>
    <w:rsid w:val="59DA156F"/>
    <w:rsid w:val="59DA759B"/>
    <w:rsid w:val="59DE53A0"/>
    <w:rsid w:val="59DE69EB"/>
    <w:rsid w:val="59E07C08"/>
    <w:rsid w:val="59EE054C"/>
    <w:rsid w:val="59F0093C"/>
    <w:rsid w:val="59F25A69"/>
    <w:rsid w:val="5A076FF6"/>
    <w:rsid w:val="5A107616"/>
    <w:rsid w:val="5A122D7F"/>
    <w:rsid w:val="5A125BD6"/>
    <w:rsid w:val="5A156901"/>
    <w:rsid w:val="5A1B56C0"/>
    <w:rsid w:val="5A1E3A16"/>
    <w:rsid w:val="5A200F00"/>
    <w:rsid w:val="5A251F53"/>
    <w:rsid w:val="5A2E5601"/>
    <w:rsid w:val="5A3F7792"/>
    <w:rsid w:val="5A4A1D9B"/>
    <w:rsid w:val="5A4E1014"/>
    <w:rsid w:val="5A5115FD"/>
    <w:rsid w:val="5A526E20"/>
    <w:rsid w:val="5A544C65"/>
    <w:rsid w:val="5A570D5D"/>
    <w:rsid w:val="5A5A0229"/>
    <w:rsid w:val="5A5C65AD"/>
    <w:rsid w:val="5A5F5F50"/>
    <w:rsid w:val="5A6B3FCC"/>
    <w:rsid w:val="5A72346E"/>
    <w:rsid w:val="5A724D04"/>
    <w:rsid w:val="5A7A5375"/>
    <w:rsid w:val="5A7A544E"/>
    <w:rsid w:val="5A7A585C"/>
    <w:rsid w:val="5A7B506B"/>
    <w:rsid w:val="5A7D27EA"/>
    <w:rsid w:val="5A805EF4"/>
    <w:rsid w:val="5A853A12"/>
    <w:rsid w:val="5A867659"/>
    <w:rsid w:val="5A877740"/>
    <w:rsid w:val="5A9554ED"/>
    <w:rsid w:val="5A976310"/>
    <w:rsid w:val="5A9D4F40"/>
    <w:rsid w:val="5AA95A72"/>
    <w:rsid w:val="5AAB31F4"/>
    <w:rsid w:val="5AAF2C43"/>
    <w:rsid w:val="5ABB5852"/>
    <w:rsid w:val="5ABF1F62"/>
    <w:rsid w:val="5AC217BA"/>
    <w:rsid w:val="5AC51AAB"/>
    <w:rsid w:val="5ACC4DC4"/>
    <w:rsid w:val="5ACD356B"/>
    <w:rsid w:val="5AD15802"/>
    <w:rsid w:val="5AD70304"/>
    <w:rsid w:val="5ADB2557"/>
    <w:rsid w:val="5ADB5DE1"/>
    <w:rsid w:val="5AE1012B"/>
    <w:rsid w:val="5AE51CF5"/>
    <w:rsid w:val="5AE728BA"/>
    <w:rsid w:val="5AE81A4A"/>
    <w:rsid w:val="5AEE738E"/>
    <w:rsid w:val="5AF45748"/>
    <w:rsid w:val="5AF51C6D"/>
    <w:rsid w:val="5AF628A8"/>
    <w:rsid w:val="5B004E56"/>
    <w:rsid w:val="5B0820A3"/>
    <w:rsid w:val="5B09549F"/>
    <w:rsid w:val="5B0D2DB1"/>
    <w:rsid w:val="5B0D780E"/>
    <w:rsid w:val="5B11519B"/>
    <w:rsid w:val="5B13492B"/>
    <w:rsid w:val="5B151A8A"/>
    <w:rsid w:val="5B177B86"/>
    <w:rsid w:val="5B177ECA"/>
    <w:rsid w:val="5B183F51"/>
    <w:rsid w:val="5B190A7F"/>
    <w:rsid w:val="5B1C5CBF"/>
    <w:rsid w:val="5B2108BD"/>
    <w:rsid w:val="5B21743B"/>
    <w:rsid w:val="5B243CE9"/>
    <w:rsid w:val="5B251B0F"/>
    <w:rsid w:val="5B2F225D"/>
    <w:rsid w:val="5B337A53"/>
    <w:rsid w:val="5B3A5411"/>
    <w:rsid w:val="5B3B144F"/>
    <w:rsid w:val="5B3F45F4"/>
    <w:rsid w:val="5B480205"/>
    <w:rsid w:val="5B480343"/>
    <w:rsid w:val="5B4F10FB"/>
    <w:rsid w:val="5B5416DC"/>
    <w:rsid w:val="5B587CD2"/>
    <w:rsid w:val="5B5B1186"/>
    <w:rsid w:val="5B5B5269"/>
    <w:rsid w:val="5B5F6656"/>
    <w:rsid w:val="5B5F73EC"/>
    <w:rsid w:val="5B6B1E80"/>
    <w:rsid w:val="5B6E3FAF"/>
    <w:rsid w:val="5B815A57"/>
    <w:rsid w:val="5B8A5BA0"/>
    <w:rsid w:val="5B8F4ADC"/>
    <w:rsid w:val="5B93775A"/>
    <w:rsid w:val="5B9528B6"/>
    <w:rsid w:val="5B957F1B"/>
    <w:rsid w:val="5B971C07"/>
    <w:rsid w:val="5B982EA8"/>
    <w:rsid w:val="5B9E1E49"/>
    <w:rsid w:val="5B9F12FB"/>
    <w:rsid w:val="5BA66949"/>
    <w:rsid w:val="5BAA219A"/>
    <w:rsid w:val="5BAB3416"/>
    <w:rsid w:val="5BB11B1A"/>
    <w:rsid w:val="5BB42BEF"/>
    <w:rsid w:val="5BB44C6D"/>
    <w:rsid w:val="5BB71729"/>
    <w:rsid w:val="5BBE73DF"/>
    <w:rsid w:val="5BBF1A93"/>
    <w:rsid w:val="5BC1129E"/>
    <w:rsid w:val="5BC468FD"/>
    <w:rsid w:val="5BC84444"/>
    <w:rsid w:val="5BD25BA1"/>
    <w:rsid w:val="5BD95BC9"/>
    <w:rsid w:val="5BF16627"/>
    <w:rsid w:val="5BF17D31"/>
    <w:rsid w:val="5BF777A0"/>
    <w:rsid w:val="5BFB0A93"/>
    <w:rsid w:val="5C023972"/>
    <w:rsid w:val="5C0551D5"/>
    <w:rsid w:val="5C1535D0"/>
    <w:rsid w:val="5C204799"/>
    <w:rsid w:val="5C215D03"/>
    <w:rsid w:val="5C250FF5"/>
    <w:rsid w:val="5C2B17CC"/>
    <w:rsid w:val="5C351846"/>
    <w:rsid w:val="5C380A7E"/>
    <w:rsid w:val="5C3C0A42"/>
    <w:rsid w:val="5C45355B"/>
    <w:rsid w:val="5C4C6274"/>
    <w:rsid w:val="5C537648"/>
    <w:rsid w:val="5C594ECC"/>
    <w:rsid w:val="5C5977B9"/>
    <w:rsid w:val="5C631117"/>
    <w:rsid w:val="5C651EB1"/>
    <w:rsid w:val="5C656E65"/>
    <w:rsid w:val="5C6808F6"/>
    <w:rsid w:val="5C692DE9"/>
    <w:rsid w:val="5C6E0AED"/>
    <w:rsid w:val="5C7105D4"/>
    <w:rsid w:val="5C78487A"/>
    <w:rsid w:val="5C7F0B1E"/>
    <w:rsid w:val="5C7F76C0"/>
    <w:rsid w:val="5C810906"/>
    <w:rsid w:val="5C812FE9"/>
    <w:rsid w:val="5C872BE1"/>
    <w:rsid w:val="5C9235DC"/>
    <w:rsid w:val="5C941ED6"/>
    <w:rsid w:val="5C944457"/>
    <w:rsid w:val="5C950032"/>
    <w:rsid w:val="5C9B0B01"/>
    <w:rsid w:val="5C9B6C93"/>
    <w:rsid w:val="5C9E7FFA"/>
    <w:rsid w:val="5CA00B54"/>
    <w:rsid w:val="5CA24EA1"/>
    <w:rsid w:val="5CAA4AE7"/>
    <w:rsid w:val="5CBB49B1"/>
    <w:rsid w:val="5CBD3397"/>
    <w:rsid w:val="5CC2291D"/>
    <w:rsid w:val="5CCC62CE"/>
    <w:rsid w:val="5CCE0344"/>
    <w:rsid w:val="5CD017DC"/>
    <w:rsid w:val="5CD3570A"/>
    <w:rsid w:val="5CD71CB6"/>
    <w:rsid w:val="5CE37769"/>
    <w:rsid w:val="5CE94A93"/>
    <w:rsid w:val="5CEC1F3B"/>
    <w:rsid w:val="5CF96138"/>
    <w:rsid w:val="5D020EE6"/>
    <w:rsid w:val="5D0923C5"/>
    <w:rsid w:val="5D1E4772"/>
    <w:rsid w:val="5D1E5616"/>
    <w:rsid w:val="5D23342A"/>
    <w:rsid w:val="5D234B15"/>
    <w:rsid w:val="5D244B01"/>
    <w:rsid w:val="5D2514B3"/>
    <w:rsid w:val="5D28314E"/>
    <w:rsid w:val="5D2C057B"/>
    <w:rsid w:val="5D316044"/>
    <w:rsid w:val="5D4C6240"/>
    <w:rsid w:val="5D4E2985"/>
    <w:rsid w:val="5D5401E7"/>
    <w:rsid w:val="5D560102"/>
    <w:rsid w:val="5D57056F"/>
    <w:rsid w:val="5D577555"/>
    <w:rsid w:val="5D5B0EF0"/>
    <w:rsid w:val="5D631629"/>
    <w:rsid w:val="5D691DD8"/>
    <w:rsid w:val="5D710D0D"/>
    <w:rsid w:val="5D76610C"/>
    <w:rsid w:val="5D785DAA"/>
    <w:rsid w:val="5D7B7AE4"/>
    <w:rsid w:val="5D7D50DE"/>
    <w:rsid w:val="5D7F5B3A"/>
    <w:rsid w:val="5D8762D3"/>
    <w:rsid w:val="5D883C6B"/>
    <w:rsid w:val="5D8C5C9E"/>
    <w:rsid w:val="5D973CFD"/>
    <w:rsid w:val="5D98193C"/>
    <w:rsid w:val="5D9A4837"/>
    <w:rsid w:val="5DA30458"/>
    <w:rsid w:val="5DA40D43"/>
    <w:rsid w:val="5DA43293"/>
    <w:rsid w:val="5DA4449F"/>
    <w:rsid w:val="5DB55E78"/>
    <w:rsid w:val="5DBB33C5"/>
    <w:rsid w:val="5DBB7C7C"/>
    <w:rsid w:val="5DBC2E58"/>
    <w:rsid w:val="5DBC7DBE"/>
    <w:rsid w:val="5DC263B4"/>
    <w:rsid w:val="5DC51006"/>
    <w:rsid w:val="5DC72126"/>
    <w:rsid w:val="5DCE7751"/>
    <w:rsid w:val="5DD06CF0"/>
    <w:rsid w:val="5DD60FEC"/>
    <w:rsid w:val="5DE2255E"/>
    <w:rsid w:val="5DE27A8A"/>
    <w:rsid w:val="5DE41F21"/>
    <w:rsid w:val="5DEB6BED"/>
    <w:rsid w:val="5DF06CBC"/>
    <w:rsid w:val="5DF358A8"/>
    <w:rsid w:val="5DF6149E"/>
    <w:rsid w:val="5E004069"/>
    <w:rsid w:val="5E0F4B8E"/>
    <w:rsid w:val="5E133933"/>
    <w:rsid w:val="5E152084"/>
    <w:rsid w:val="5E16743F"/>
    <w:rsid w:val="5E1D4CCF"/>
    <w:rsid w:val="5E214684"/>
    <w:rsid w:val="5E291E0B"/>
    <w:rsid w:val="5E2C30BB"/>
    <w:rsid w:val="5E306F1C"/>
    <w:rsid w:val="5E31628E"/>
    <w:rsid w:val="5E3451BD"/>
    <w:rsid w:val="5E383CFE"/>
    <w:rsid w:val="5E3D106A"/>
    <w:rsid w:val="5E3E7CBA"/>
    <w:rsid w:val="5E4246EC"/>
    <w:rsid w:val="5E436D18"/>
    <w:rsid w:val="5E490DC8"/>
    <w:rsid w:val="5E4B175E"/>
    <w:rsid w:val="5E4E1319"/>
    <w:rsid w:val="5E4F584C"/>
    <w:rsid w:val="5E516219"/>
    <w:rsid w:val="5E580C80"/>
    <w:rsid w:val="5E5B716F"/>
    <w:rsid w:val="5E623B20"/>
    <w:rsid w:val="5E6A3B0C"/>
    <w:rsid w:val="5E6C4054"/>
    <w:rsid w:val="5E6D19DA"/>
    <w:rsid w:val="5E6D34DF"/>
    <w:rsid w:val="5E6F12AF"/>
    <w:rsid w:val="5E706FDC"/>
    <w:rsid w:val="5E7162D2"/>
    <w:rsid w:val="5E753B58"/>
    <w:rsid w:val="5E753EFB"/>
    <w:rsid w:val="5E756C15"/>
    <w:rsid w:val="5E765789"/>
    <w:rsid w:val="5E771728"/>
    <w:rsid w:val="5E7801E1"/>
    <w:rsid w:val="5E844891"/>
    <w:rsid w:val="5E8E0B78"/>
    <w:rsid w:val="5E913BC7"/>
    <w:rsid w:val="5E9235A0"/>
    <w:rsid w:val="5E944C57"/>
    <w:rsid w:val="5E9629C9"/>
    <w:rsid w:val="5E971770"/>
    <w:rsid w:val="5E9E30AF"/>
    <w:rsid w:val="5EA40233"/>
    <w:rsid w:val="5EA44D95"/>
    <w:rsid w:val="5EA47025"/>
    <w:rsid w:val="5EAE5411"/>
    <w:rsid w:val="5EAF0285"/>
    <w:rsid w:val="5EB25569"/>
    <w:rsid w:val="5EB44BDB"/>
    <w:rsid w:val="5EBB43A7"/>
    <w:rsid w:val="5EC20129"/>
    <w:rsid w:val="5EC46A39"/>
    <w:rsid w:val="5EC515E3"/>
    <w:rsid w:val="5EC56931"/>
    <w:rsid w:val="5ECD726C"/>
    <w:rsid w:val="5ED57F4A"/>
    <w:rsid w:val="5ED75D01"/>
    <w:rsid w:val="5EDD100D"/>
    <w:rsid w:val="5EDE6FF5"/>
    <w:rsid w:val="5EE06817"/>
    <w:rsid w:val="5EF23DEF"/>
    <w:rsid w:val="5EF341AC"/>
    <w:rsid w:val="5EF72029"/>
    <w:rsid w:val="5F013A44"/>
    <w:rsid w:val="5F0159CF"/>
    <w:rsid w:val="5F0546D7"/>
    <w:rsid w:val="5F0946B9"/>
    <w:rsid w:val="5F0F12C4"/>
    <w:rsid w:val="5F1A1892"/>
    <w:rsid w:val="5F1E65E9"/>
    <w:rsid w:val="5F206858"/>
    <w:rsid w:val="5F276CB0"/>
    <w:rsid w:val="5F28499E"/>
    <w:rsid w:val="5F291353"/>
    <w:rsid w:val="5F2C5DA0"/>
    <w:rsid w:val="5F332BAE"/>
    <w:rsid w:val="5F451EAA"/>
    <w:rsid w:val="5F4D01B0"/>
    <w:rsid w:val="5F4E3BD0"/>
    <w:rsid w:val="5F5037B1"/>
    <w:rsid w:val="5F541650"/>
    <w:rsid w:val="5F5623F3"/>
    <w:rsid w:val="5F5C668D"/>
    <w:rsid w:val="5F5E02B3"/>
    <w:rsid w:val="5F5E7337"/>
    <w:rsid w:val="5F60175F"/>
    <w:rsid w:val="5F62297B"/>
    <w:rsid w:val="5F625860"/>
    <w:rsid w:val="5F645AD7"/>
    <w:rsid w:val="5F71084A"/>
    <w:rsid w:val="5F726A8B"/>
    <w:rsid w:val="5F727CBC"/>
    <w:rsid w:val="5F782AC5"/>
    <w:rsid w:val="5F7F14A9"/>
    <w:rsid w:val="5F861B9C"/>
    <w:rsid w:val="5F931BDA"/>
    <w:rsid w:val="5F957EC3"/>
    <w:rsid w:val="5F970638"/>
    <w:rsid w:val="5F985825"/>
    <w:rsid w:val="5F9F01C5"/>
    <w:rsid w:val="5F9F59E9"/>
    <w:rsid w:val="5FA0037B"/>
    <w:rsid w:val="5FA17F30"/>
    <w:rsid w:val="5FA208DF"/>
    <w:rsid w:val="5FB617C5"/>
    <w:rsid w:val="5FBB2770"/>
    <w:rsid w:val="5FBD3BE8"/>
    <w:rsid w:val="5FBE0EF6"/>
    <w:rsid w:val="5FC47B75"/>
    <w:rsid w:val="5FCC27C1"/>
    <w:rsid w:val="5FD47CCA"/>
    <w:rsid w:val="5FD730ED"/>
    <w:rsid w:val="5FDC6997"/>
    <w:rsid w:val="5FED6E69"/>
    <w:rsid w:val="5FF20775"/>
    <w:rsid w:val="5FF701FE"/>
    <w:rsid w:val="5FF92759"/>
    <w:rsid w:val="5FFE0E0C"/>
    <w:rsid w:val="5FFE3821"/>
    <w:rsid w:val="600336FD"/>
    <w:rsid w:val="600476E8"/>
    <w:rsid w:val="600525A9"/>
    <w:rsid w:val="60070A68"/>
    <w:rsid w:val="60095DDF"/>
    <w:rsid w:val="60095EBA"/>
    <w:rsid w:val="60097479"/>
    <w:rsid w:val="600C00D2"/>
    <w:rsid w:val="600C6876"/>
    <w:rsid w:val="600D0B33"/>
    <w:rsid w:val="601306E5"/>
    <w:rsid w:val="601C61E1"/>
    <w:rsid w:val="601D2369"/>
    <w:rsid w:val="602E7346"/>
    <w:rsid w:val="603C4971"/>
    <w:rsid w:val="603D004D"/>
    <w:rsid w:val="60441762"/>
    <w:rsid w:val="604456A3"/>
    <w:rsid w:val="604744D3"/>
    <w:rsid w:val="604A296D"/>
    <w:rsid w:val="604D19A9"/>
    <w:rsid w:val="604E5895"/>
    <w:rsid w:val="60511EF2"/>
    <w:rsid w:val="60563F07"/>
    <w:rsid w:val="605C0629"/>
    <w:rsid w:val="605F3896"/>
    <w:rsid w:val="6066140F"/>
    <w:rsid w:val="6068330C"/>
    <w:rsid w:val="60762DC9"/>
    <w:rsid w:val="60851859"/>
    <w:rsid w:val="608929D9"/>
    <w:rsid w:val="608D78EB"/>
    <w:rsid w:val="60973053"/>
    <w:rsid w:val="609764AC"/>
    <w:rsid w:val="60987206"/>
    <w:rsid w:val="6099255D"/>
    <w:rsid w:val="609C7F21"/>
    <w:rsid w:val="609D40C1"/>
    <w:rsid w:val="609E2E2E"/>
    <w:rsid w:val="60AB0F54"/>
    <w:rsid w:val="60AF339F"/>
    <w:rsid w:val="60B0368A"/>
    <w:rsid w:val="60B55B7C"/>
    <w:rsid w:val="60B631E5"/>
    <w:rsid w:val="60B84687"/>
    <w:rsid w:val="60BA2417"/>
    <w:rsid w:val="60BA76A7"/>
    <w:rsid w:val="60BB0D68"/>
    <w:rsid w:val="60C55341"/>
    <w:rsid w:val="60CB7EAA"/>
    <w:rsid w:val="60CD20BB"/>
    <w:rsid w:val="60D109FB"/>
    <w:rsid w:val="60D15169"/>
    <w:rsid w:val="60D33F01"/>
    <w:rsid w:val="60D3751A"/>
    <w:rsid w:val="60D83AB4"/>
    <w:rsid w:val="60DA271E"/>
    <w:rsid w:val="60DB6EEF"/>
    <w:rsid w:val="60DB766B"/>
    <w:rsid w:val="60EC7790"/>
    <w:rsid w:val="60ED605E"/>
    <w:rsid w:val="60EE5835"/>
    <w:rsid w:val="60F22066"/>
    <w:rsid w:val="60F261BC"/>
    <w:rsid w:val="60F92BD9"/>
    <w:rsid w:val="6101785F"/>
    <w:rsid w:val="610605AA"/>
    <w:rsid w:val="61135C72"/>
    <w:rsid w:val="611810BE"/>
    <w:rsid w:val="61186F30"/>
    <w:rsid w:val="61205127"/>
    <w:rsid w:val="61211C10"/>
    <w:rsid w:val="61212344"/>
    <w:rsid w:val="61225E5C"/>
    <w:rsid w:val="613054A1"/>
    <w:rsid w:val="61352054"/>
    <w:rsid w:val="61405DEB"/>
    <w:rsid w:val="614119F2"/>
    <w:rsid w:val="614B3485"/>
    <w:rsid w:val="614E6900"/>
    <w:rsid w:val="6157092E"/>
    <w:rsid w:val="61595342"/>
    <w:rsid w:val="615F2DD5"/>
    <w:rsid w:val="61622290"/>
    <w:rsid w:val="61635290"/>
    <w:rsid w:val="61646087"/>
    <w:rsid w:val="616674D2"/>
    <w:rsid w:val="61694007"/>
    <w:rsid w:val="616B4FA5"/>
    <w:rsid w:val="6171392B"/>
    <w:rsid w:val="61724A12"/>
    <w:rsid w:val="617566F7"/>
    <w:rsid w:val="617F4744"/>
    <w:rsid w:val="618D649D"/>
    <w:rsid w:val="618E693F"/>
    <w:rsid w:val="618F61FE"/>
    <w:rsid w:val="61910E43"/>
    <w:rsid w:val="6193441A"/>
    <w:rsid w:val="61971FD0"/>
    <w:rsid w:val="619B2CC6"/>
    <w:rsid w:val="619C6F35"/>
    <w:rsid w:val="61A718EF"/>
    <w:rsid w:val="61A924EC"/>
    <w:rsid w:val="61AC71DE"/>
    <w:rsid w:val="61AD671E"/>
    <w:rsid w:val="61B16A41"/>
    <w:rsid w:val="61B16D78"/>
    <w:rsid w:val="61B227D5"/>
    <w:rsid w:val="61B33BD1"/>
    <w:rsid w:val="61B879A4"/>
    <w:rsid w:val="61C650D3"/>
    <w:rsid w:val="61D51880"/>
    <w:rsid w:val="61D61F62"/>
    <w:rsid w:val="61E73DBE"/>
    <w:rsid w:val="61ED1E7E"/>
    <w:rsid w:val="61EF527D"/>
    <w:rsid w:val="61F1707A"/>
    <w:rsid w:val="61FA2011"/>
    <w:rsid w:val="62023BAD"/>
    <w:rsid w:val="62085168"/>
    <w:rsid w:val="620D380B"/>
    <w:rsid w:val="620D4244"/>
    <w:rsid w:val="62130ACB"/>
    <w:rsid w:val="62146E09"/>
    <w:rsid w:val="6219476C"/>
    <w:rsid w:val="62241F8C"/>
    <w:rsid w:val="62267669"/>
    <w:rsid w:val="6227331C"/>
    <w:rsid w:val="622845B7"/>
    <w:rsid w:val="623412E7"/>
    <w:rsid w:val="62372667"/>
    <w:rsid w:val="62432746"/>
    <w:rsid w:val="624C1FD2"/>
    <w:rsid w:val="62506690"/>
    <w:rsid w:val="62556D7C"/>
    <w:rsid w:val="62564876"/>
    <w:rsid w:val="625678C6"/>
    <w:rsid w:val="625F177C"/>
    <w:rsid w:val="625F347B"/>
    <w:rsid w:val="62605894"/>
    <w:rsid w:val="62617C2E"/>
    <w:rsid w:val="626B08E5"/>
    <w:rsid w:val="6270572D"/>
    <w:rsid w:val="627249E8"/>
    <w:rsid w:val="628055A5"/>
    <w:rsid w:val="62835DFE"/>
    <w:rsid w:val="62862FE7"/>
    <w:rsid w:val="628A4BEF"/>
    <w:rsid w:val="628E2860"/>
    <w:rsid w:val="6291424B"/>
    <w:rsid w:val="62923CD7"/>
    <w:rsid w:val="62961EC0"/>
    <w:rsid w:val="6297009B"/>
    <w:rsid w:val="62993285"/>
    <w:rsid w:val="62A0039B"/>
    <w:rsid w:val="62A07E7F"/>
    <w:rsid w:val="62A433D4"/>
    <w:rsid w:val="62A46A44"/>
    <w:rsid w:val="62A663A5"/>
    <w:rsid w:val="62B21C98"/>
    <w:rsid w:val="62B41484"/>
    <w:rsid w:val="62B864CF"/>
    <w:rsid w:val="62BA7D6A"/>
    <w:rsid w:val="62BE7D28"/>
    <w:rsid w:val="62C2427C"/>
    <w:rsid w:val="62C24906"/>
    <w:rsid w:val="62C24922"/>
    <w:rsid w:val="62D54F95"/>
    <w:rsid w:val="62DB1346"/>
    <w:rsid w:val="62E443FC"/>
    <w:rsid w:val="62E57135"/>
    <w:rsid w:val="62F727A8"/>
    <w:rsid w:val="62FB1FBA"/>
    <w:rsid w:val="62FE09E3"/>
    <w:rsid w:val="63032300"/>
    <w:rsid w:val="63082AC5"/>
    <w:rsid w:val="63085298"/>
    <w:rsid w:val="630B2B4D"/>
    <w:rsid w:val="630F03CF"/>
    <w:rsid w:val="631A5EA7"/>
    <w:rsid w:val="631B0244"/>
    <w:rsid w:val="631D0F09"/>
    <w:rsid w:val="631E1A83"/>
    <w:rsid w:val="631F0BB7"/>
    <w:rsid w:val="631F516A"/>
    <w:rsid w:val="632014E3"/>
    <w:rsid w:val="632116E2"/>
    <w:rsid w:val="632C6718"/>
    <w:rsid w:val="632D2B28"/>
    <w:rsid w:val="63324998"/>
    <w:rsid w:val="63384DCA"/>
    <w:rsid w:val="634356A0"/>
    <w:rsid w:val="634914B5"/>
    <w:rsid w:val="634B19F9"/>
    <w:rsid w:val="634C0A79"/>
    <w:rsid w:val="634F40A7"/>
    <w:rsid w:val="634F68EB"/>
    <w:rsid w:val="63500E89"/>
    <w:rsid w:val="635623FD"/>
    <w:rsid w:val="635C17A6"/>
    <w:rsid w:val="635C6942"/>
    <w:rsid w:val="635E7485"/>
    <w:rsid w:val="637177C0"/>
    <w:rsid w:val="63795AD7"/>
    <w:rsid w:val="637C080F"/>
    <w:rsid w:val="637C3068"/>
    <w:rsid w:val="637E5EB0"/>
    <w:rsid w:val="638B0BE7"/>
    <w:rsid w:val="638E4168"/>
    <w:rsid w:val="6393343B"/>
    <w:rsid w:val="63A16174"/>
    <w:rsid w:val="63A822EF"/>
    <w:rsid w:val="63A82A3F"/>
    <w:rsid w:val="63AB7DA6"/>
    <w:rsid w:val="63B35549"/>
    <w:rsid w:val="63B94DA1"/>
    <w:rsid w:val="63C55DBD"/>
    <w:rsid w:val="63CC6071"/>
    <w:rsid w:val="63CF0167"/>
    <w:rsid w:val="63D21F77"/>
    <w:rsid w:val="63DA749B"/>
    <w:rsid w:val="63DC0CD9"/>
    <w:rsid w:val="63DE2EE7"/>
    <w:rsid w:val="63F235C1"/>
    <w:rsid w:val="63F279D2"/>
    <w:rsid w:val="63FB1A0F"/>
    <w:rsid w:val="63FB4E12"/>
    <w:rsid w:val="63FF660E"/>
    <w:rsid w:val="64011070"/>
    <w:rsid w:val="64025EFA"/>
    <w:rsid w:val="640D1462"/>
    <w:rsid w:val="64180F45"/>
    <w:rsid w:val="6418395A"/>
    <w:rsid w:val="641B7393"/>
    <w:rsid w:val="642120AC"/>
    <w:rsid w:val="64271AB8"/>
    <w:rsid w:val="642A4F89"/>
    <w:rsid w:val="642D5A59"/>
    <w:rsid w:val="643973C0"/>
    <w:rsid w:val="643A00D9"/>
    <w:rsid w:val="643D00FF"/>
    <w:rsid w:val="644942D4"/>
    <w:rsid w:val="64497488"/>
    <w:rsid w:val="644D5DED"/>
    <w:rsid w:val="64516F04"/>
    <w:rsid w:val="64547E30"/>
    <w:rsid w:val="64595115"/>
    <w:rsid w:val="64637560"/>
    <w:rsid w:val="64663B7A"/>
    <w:rsid w:val="646C24F7"/>
    <w:rsid w:val="646D5971"/>
    <w:rsid w:val="6471613A"/>
    <w:rsid w:val="64720C2F"/>
    <w:rsid w:val="64746E2F"/>
    <w:rsid w:val="64750B8C"/>
    <w:rsid w:val="6476092E"/>
    <w:rsid w:val="647A13E4"/>
    <w:rsid w:val="647A1BB4"/>
    <w:rsid w:val="647C3039"/>
    <w:rsid w:val="647C7069"/>
    <w:rsid w:val="64811360"/>
    <w:rsid w:val="6483008C"/>
    <w:rsid w:val="64853A41"/>
    <w:rsid w:val="648B62B1"/>
    <w:rsid w:val="648C0894"/>
    <w:rsid w:val="648F3434"/>
    <w:rsid w:val="649643A2"/>
    <w:rsid w:val="64964795"/>
    <w:rsid w:val="6497424E"/>
    <w:rsid w:val="649E3AB0"/>
    <w:rsid w:val="64A127A2"/>
    <w:rsid w:val="64A33655"/>
    <w:rsid w:val="64AB6EA4"/>
    <w:rsid w:val="64AD4B25"/>
    <w:rsid w:val="64AE281D"/>
    <w:rsid w:val="64B276F1"/>
    <w:rsid w:val="64BA5403"/>
    <w:rsid w:val="64BB00F5"/>
    <w:rsid w:val="64BF2E25"/>
    <w:rsid w:val="64C92555"/>
    <w:rsid w:val="64CA515A"/>
    <w:rsid w:val="64CA6432"/>
    <w:rsid w:val="64CF031F"/>
    <w:rsid w:val="64D56FF4"/>
    <w:rsid w:val="64DA148F"/>
    <w:rsid w:val="64DA1E47"/>
    <w:rsid w:val="64E14465"/>
    <w:rsid w:val="64E30F7B"/>
    <w:rsid w:val="64E419AF"/>
    <w:rsid w:val="64EA762E"/>
    <w:rsid w:val="64F003EA"/>
    <w:rsid w:val="64F2696A"/>
    <w:rsid w:val="64F27518"/>
    <w:rsid w:val="64F72C8D"/>
    <w:rsid w:val="65001033"/>
    <w:rsid w:val="65024849"/>
    <w:rsid w:val="65074996"/>
    <w:rsid w:val="650B2473"/>
    <w:rsid w:val="650C0797"/>
    <w:rsid w:val="650C2360"/>
    <w:rsid w:val="651018C3"/>
    <w:rsid w:val="65117098"/>
    <w:rsid w:val="651A251C"/>
    <w:rsid w:val="65216E25"/>
    <w:rsid w:val="6531101A"/>
    <w:rsid w:val="65344F74"/>
    <w:rsid w:val="653503A7"/>
    <w:rsid w:val="653A08F6"/>
    <w:rsid w:val="653B13A2"/>
    <w:rsid w:val="653B5F41"/>
    <w:rsid w:val="653F0322"/>
    <w:rsid w:val="653F1FDC"/>
    <w:rsid w:val="654233A7"/>
    <w:rsid w:val="654616D9"/>
    <w:rsid w:val="654D6169"/>
    <w:rsid w:val="65540BB9"/>
    <w:rsid w:val="65540D5D"/>
    <w:rsid w:val="6555574E"/>
    <w:rsid w:val="655671B3"/>
    <w:rsid w:val="65584B18"/>
    <w:rsid w:val="655A55EE"/>
    <w:rsid w:val="655F01DE"/>
    <w:rsid w:val="655F27B6"/>
    <w:rsid w:val="65673549"/>
    <w:rsid w:val="65691454"/>
    <w:rsid w:val="656D095A"/>
    <w:rsid w:val="65706644"/>
    <w:rsid w:val="65767214"/>
    <w:rsid w:val="657B07CC"/>
    <w:rsid w:val="657E6F2E"/>
    <w:rsid w:val="657F41CA"/>
    <w:rsid w:val="65802783"/>
    <w:rsid w:val="658228F0"/>
    <w:rsid w:val="658A65EB"/>
    <w:rsid w:val="658E17F3"/>
    <w:rsid w:val="658E45A7"/>
    <w:rsid w:val="659D17B5"/>
    <w:rsid w:val="65A066B9"/>
    <w:rsid w:val="65A36CD5"/>
    <w:rsid w:val="65B02D80"/>
    <w:rsid w:val="65B478B6"/>
    <w:rsid w:val="65B73A9C"/>
    <w:rsid w:val="65B74506"/>
    <w:rsid w:val="65BC7FA2"/>
    <w:rsid w:val="65C46FEA"/>
    <w:rsid w:val="65C52709"/>
    <w:rsid w:val="65C83EB8"/>
    <w:rsid w:val="65CC57D7"/>
    <w:rsid w:val="65CE2CD5"/>
    <w:rsid w:val="65D01AF5"/>
    <w:rsid w:val="65DD345D"/>
    <w:rsid w:val="65E36062"/>
    <w:rsid w:val="65E9282E"/>
    <w:rsid w:val="65ED28FD"/>
    <w:rsid w:val="65F23E76"/>
    <w:rsid w:val="65F55134"/>
    <w:rsid w:val="65FA7F7F"/>
    <w:rsid w:val="65FB0DB3"/>
    <w:rsid w:val="65FC0F25"/>
    <w:rsid w:val="65FF6DF8"/>
    <w:rsid w:val="66017313"/>
    <w:rsid w:val="6607040D"/>
    <w:rsid w:val="66120E59"/>
    <w:rsid w:val="66150352"/>
    <w:rsid w:val="66172886"/>
    <w:rsid w:val="66196183"/>
    <w:rsid w:val="66225105"/>
    <w:rsid w:val="662E6FD3"/>
    <w:rsid w:val="662F23B8"/>
    <w:rsid w:val="662F6AC4"/>
    <w:rsid w:val="66331F2F"/>
    <w:rsid w:val="66336588"/>
    <w:rsid w:val="66340032"/>
    <w:rsid w:val="663D2629"/>
    <w:rsid w:val="66446EC5"/>
    <w:rsid w:val="664F5FAC"/>
    <w:rsid w:val="665D2A3C"/>
    <w:rsid w:val="665E4CDD"/>
    <w:rsid w:val="665F1278"/>
    <w:rsid w:val="66606642"/>
    <w:rsid w:val="66697BC5"/>
    <w:rsid w:val="666C31D5"/>
    <w:rsid w:val="666C5839"/>
    <w:rsid w:val="666E0D2F"/>
    <w:rsid w:val="667755BB"/>
    <w:rsid w:val="66805E9F"/>
    <w:rsid w:val="668A1058"/>
    <w:rsid w:val="669252F2"/>
    <w:rsid w:val="66925DDF"/>
    <w:rsid w:val="66971726"/>
    <w:rsid w:val="6698659D"/>
    <w:rsid w:val="669B62DF"/>
    <w:rsid w:val="669C2915"/>
    <w:rsid w:val="669F532C"/>
    <w:rsid w:val="66A03ECE"/>
    <w:rsid w:val="66A53064"/>
    <w:rsid w:val="66A87611"/>
    <w:rsid w:val="66B60C76"/>
    <w:rsid w:val="66B60D63"/>
    <w:rsid w:val="66BC49E1"/>
    <w:rsid w:val="66C00C96"/>
    <w:rsid w:val="66C60964"/>
    <w:rsid w:val="66C90CE0"/>
    <w:rsid w:val="66C95C36"/>
    <w:rsid w:val="66CC1FEA"/>
    <w:rsid w:val="66D520EA"/>
    <w:rsid w:val="66D90CA5"/>
    <w:rsid w:val="66DD5A8F"/>
    <w:rsid w:val="66DF77BD"/>
    <w:rsid w:val="66EE52AB"/>
    <w:rsid w:val="66FF6C68"/>
    <w:rsid w:val="67041718"/>
    <w:rsid w:val="67056169"/>
    <w:rsid w:val="6710540B"/>
    <w:rsid w:val="671114B8"/>
    <w:rsid w:val="67136D61"/>
    <w:rsid w:val="6719611E"/>
    <w:rsid w:val="671C71B3"/>
    <w:rsid w:val="67277E6F"/>
    <w:rsid w:val="672873B2"/>
    <w:rsid w:val="6729792C"/>
    <w:rsid w:val="673126E3"/>
    <w:rsid w:val="673553AA"/>
    <w:rsid w:val="67384F74"/>
    <w:rsid w:val="674734C3"/>
    <w:rsid w:val="674F4267"/>
    <w:rsid w:val="6754273B"/>
    <w:rsid w:val="675A3BB7"/>
    <w:rsid w:val="675A78EF"/>
    <w:rsid w:val="675F7449"/>
    <w:rsid w:val="67612A90"/>
    <w:rsid w:val="67721EB0"/>
    <w:rsid w:val="6772772A"/>
    <w:rsid w:val="677654DD"/>
    <w:rsid w:val="678005AC"/>
    <w:rsid w:val="678026E3"/>
    <w:rsid w:val="678C38CE"/>
    <w:rsid w:val="678E051E"/>
    <w:rsid w:val="678E54AC"/>
    <w:rsid w:val="678F6C17"/>
    <w:rsid w:val="6791410D"/>
    <w:rsid w:val="67923D97"/>
    <w:rsid w:val="679A4C3E"/>
    <w:rsid w:val="679C2434"/>
    <w:rsid w:val="679D6EE4"/>
    <w:rsid w:val="67A81D98"/>
    <w:rsid w:val="67A90F75"/>
    <w:rsid w:val="67A969DB"/>
    <w:rsid w:val="67AF5CA0"/>
    <w:rsid w:val="67B24DC3"/>
    <w:rsid w:val="67B31862"/>
    <w:rsid w:val="67BB4606"/>
    <w:rsid w:val="67BE0124"/>
    <w:rsid w:val="67C04892"/>
    <w:rsid w:val="67C049FE"/>
    <w:rsid w:val="67C10364"/>
    <w:rsid w:val="67C344DC"/>
    <w:rsid w:val="67C51F57"/>
    <w:rsid w:val="67C87FAF"/>
    <w:rsid w:val="67CC5732"/>
    <w:rsid w:val="67CD6E09"/>
    <w:rsid w:val="67CF7D96"/>
    <w:rsid w:val="67DA0714"/>
    <w:rsid w:val="67E74106"/>
    <w:rsid w:val="67E9564C"/>
    <w:rsid w:val="67EB08E9"/>
    <w:rsid w:val="67EB3877"/>
    <w:rsid w:val="67EE34A0"/>
    <w:rsid w:val="67F41000"/>
    <w:rsid w:val="67F74644"/>
    <w:rsid w:val="67F7756A"/>
    <w:rsid w:val="67F93B9C"/>
    <w:rsid w:val="67F945E1"/>
    <w:rsid w:val="67F9606B"/>
    <w:rsid w:val="67FC04D9"/>
    <w:rsid w:val="67FD5235"/>
    <w:rsid w:val="67FD6688"/>
    <w:rsid w:val="680A701B"/>
    <w:rsid w:val="6821726E"/>
    <w:rsid w:val="682178BC"/>
    <w:rsid w:val="6827128C"/>
    <w:rsid w:val="682B1A62"/>
    <w:rsid w:val="68412B7F"/>
    <w:rsid w:val="684A2A34"/>
    <w:rsid w:val="684D1908"/>
    <w:rsid w:val="685141E6"/>
    <w:rsid w:val="68543F73"/>
    <w:rsid w:val="68544006"/>
    <w:rsid w:val="68561BA7"/>
    <w:rsid w:val="68573050"/>
    <w:rsid w:val="685D097C"/>
    <w:rsid w:val="68667FEA"/>
    <w:rsid w:val="686E2BE5"/>
    <w:rsid w:val="68703F96"/>
    <w:rsid w:val="68705E01"/>
    <w:rsid w:val="687243E7"/>
    <w:rsid w:val="687306F3"/>
    <w:rsid w:val="687651B1"/>
    <w:rsid w:val="68781158"/>
    <w:rsid w:val="687C736B"/>
    <w:rsid w:val="68800FE1"/>
    <w:rsid w:val="68802102"/>
    <w:rsid w:val="688736DE"/>
    <w:rsid w:val="68887624"/>
    <w:rsid w:val="688C1E0A"/>
    <w:rsid w:val="6895502A"/>
    <w:rsid w:val="68A32B3C"/>
    <w:rsid w:val="68A663CF"/>
    <w:rsid w:val="68A666EC"/>
    <w:rsid w:val="68A91ABD"/>
    <w:rsid w:val="68AF1310"/>
    <w:rsid w:val="68B648C9"/>
    <w:rsid w:val="68BC0364"/>
    <w:rsid w:val="68C0435A"/>
    <w:rsid w:val="68C7579D"/>
    <w:rsid w:val="68C77A57"/>
    <w:rsid w:val="68D160D2"/>
    <w:rsid w:val="68D35CD0"/>
    <w:rsid w:val="68D606C5"/>
    <w:rsid w:val="68D6183E"/>
    <w:rsid w:val="68DC6E33"/>
    <w:rsid w:val="68DF13A4"/>
    <w:rsid w:val="68E01B64"/>
    <w:rsid w:val="68E726B1"/>
    <w:rsid w:val="68EA1693"/>
    <w:rsid w:val="68F0365E"/>
    <w:rsid w:val="68F10195"/>
    <w:rsid w:val="68F6590C"/>
    <w:rsid w:val="68FA0A2D"/>
    <w:rsid w:val="69044CF8"/>
    <w:rsid w:val="690A3D55"/>
    <w:rsid w:val="690B7FC0"/>
    <w:rsid w:val="691B7BE0"/>
    <w:rsid w:val="691D24A8"/>
    <w:rsid w:val="691D25C2"/>
    <w:rsid w:val="691D329F"/>
    <w:rsid w:val="69263E55"/>
    <w:rsid w:val="692F534F"/>
    <w:rsid w:val="69357FED"/>
    <w:rsid w:val="693A7DC6"/>
    <w:rsid w:val="693E1410"/>
    <w:rsid w:val="6949363F"/>
    <w:rsid w:val="694E201F"/>
    <w:rsid w:val="69531824"/>
    <w:rsid w:val="695D50B1"/>
    <w:rsid w:val="69613106"/>
    <w:rsid w:val="696802E1"/>
    <w:rsid w:val="69706CFE"/>
    <w:rsid w:val="69715B20"/>
    <w:rsid w:val="6976071D"/>
    <w:rsid w:val="697B617B"/>
    <w:rsid w:val="697D52AE"/>
    <w:rsid w:val="698202DE"/>
    <w:rsid w:val="698579AE"/>
    <w:rsid w:val="69950B48"/>
    <w:rsid w:val="69967B63"/>
    <w:rsid w:val="69975D4F"/>
    <w:rsid w:val="69985E36"/>
    <w:rsid w:val="699A62C3"/>
    <w:rsid w:val="699C3D77"/>
    <w:rsid w:val="69A5600E"/>
    <w:rsid w:val="69A67D12"/>
    <w:rsid w:val="69A7147A"/>
    <w:rsid w:val="69B17F50"/>
    <w:rsid w:val="69BB14C1"/>
    <w:rsid w:val="69BC4815"/>
    <w:rsid w:val="69BF031D"/>
    <w:rsid w:val="69C07027"/>
    <w:rsid w:val="69C10324"/>
    <w:rsid w:val="69C255B6"/>
    <w:rsid w:val="69CD137C"/>
    <w:rsid w:val="69D223EA"/>
    <w:rsid w:val="69D37748"/>
    <w:rsid w:val="69D46E7D"/>
    <w:rsid w:val="69D65C83"/>
    <w:rsid w:val="69D72E28"/>
    <w:rsid w:val="69DA026E"/>
    <w:rsid w:val="69DC120A"/>
    <w:rsid w:val="69DE6146"/>
    <w:rsid w:val="69DF364C"/>
    <w:rsid w:val="69E135B9"/>
    <w:rsid w:val="69E74C02"/>
    <w:rsid w:val="69E7613D"/>
    <w:rsid w:val="69F4096E"/>
    <w:rsid w:val="69F87D57"/>
    <w:rsid w:val="6A0800EF"/>
    <w:rsid w:val="6A0C2F9C"/>
    <w:rsid w:val="6A1056DB"/>
    <w:rsid w:val="6A132858"/>
    <w:rsid w:val="6A194EA0"/>
    <w:rsid w:val="6A215C4D"/>
    <w:rsid w:val="6A260FFA"/>
    <w:rsid w:val="6A262A50"/>
    <w:rsid w:val="6A2D2907"/>
    <w:rsid w:val="6A312AD4"/>
    <w:rsid w:val="6A34322D"/>
    <w:rsid w:val="6A3D591C"/>
    <w:rsid w:val="6A431C8C"/>
    <w:rsid w:val="6A434D88"/>
    <w:rsid w:val="6A4B389C"/>
    <w:rsid w:val="6A4C0223"/>
    <w:rsid w:val="6A4F40B1"/>
    <w:rsid w:val="6A5A26DF"/>
    <w:rsid w:val="6A5F3377"/>
    <w:rsid w:val="6A5F68C2"/>
    <w:rsid w:val="6A663180"/>
    <w:rsid w:val="6A687075"/>
    <w:rsid w:val="6A6A7F98"/>
    <w:rsid w:val="6A750202"/>
    <w:rsid w:val="6A762699"/>
    <w:rsid w:val="6A7D3E54"/>
    <w:rsid w:val="6A7E5052"/>
    <w:rsid w:val="6A836661"/>
    <w:rsid w:val="6A857307"/>
    <w:rsid w:val="6A86308F"/>
    <w:rsid w:val="6A8678A2"/>
    <w:rsid w:val="6A89460E"/>
    <w:rsid w:val="6A8C179E"/>
    <w:rsid w:val="6A8C688B"/>
    <w:rsid w:val="6A8D702D"/>
    <w:rsid w:val="6A9236C7"/>
    <w:rsid w:val="6A9864E7"/>
    <w:rsid w:val="6A993F86"/>
    <w:rsid w:val="6AA90D1B"/>
    <w:rsid w:val="6AB4227C"/>
    <w:rsid w:val="6AC1380E"/>
    <w:rsid w:val="6AC20397"/>
    <w:rsid w:val="6AC85666"/>
    <w:rsid w:val="6ACE5649"/>
    <w:rsid w:val="6ACF5F7D"/>
    <w:rsid w:val="6AD516EC"/>
    <w:rsid w:val="6AE210A4"/>
    <w:rsid w:val="6AE43377"/>
    <w:rsid w:val="6AE47DCA"/>
    <w:rsid w:val="6AE8419E"/>
    <w:rsid w:val="6AEB141B"/>
    <w:rsid w:val="6AED52E9"/>
    <w:rsid w:val="6AEE6EF8"/>
    <w:rsid w:val="6AF63489"/>
    <w:rsid w:val="6AF9247D"/>
    <w:rsid w:val="6AF96A12"/>
    <w:rsid w:val="6AFE4DDA"/>
    <w:rsid w:val="6B0151D3"/>
    <w:rsid w:val="6B02247B"/>
    <w:rsid w:val="6B0878D9"/>
    <w:rsid w:val="6B0E6579"/>
    <w:rsid w:val="6B100049"/>
    <w:rsid w:val="6B115A0F"/>
    <w:rsid w:val="6B122A36"/>
    <w:rsid w:val="6B13150A"/>
    <w:rsid w:val="6B1A2961"/>
    <w:rsid w:val="6B1E51AD"/>
    <w:rsid w:val="6B2111CB"/>
    <w:rsid w:val="6B264A66"/>
    <w:rsid w:val="6B28335C"/>
    <w:rsid w:val="6B355DC2"/>
    <w:rsid w:val="6B37780C"/>
    <w:rsid w:val="6B391752"/>
    <w:rsid w:val="6B432BE9"/>
    <w:rsid w:val="6B4358C4"/>
    <w:rsid w:val="6B47396E"/>
    <w:rsid w:val="6B481426"/>
    <w:rsid w:val="6B4D5532"/>
    <w:rsid w:val="6B562911"/>
    <w:rsid w:val="6B5B7D07"/>
    <w:rsid w:val="6B652707"/>
    <w:rsid w:val="6B6922BE"/>
    <w:rsid w:val="6B6B7F33"/>
    <w:rsid w:val="6B704FD8"/>
    <w:rsid w:val="6B743BA4"/>
    <w:rsid w:val="6B843794"/>
    <w:rsid w:val="6B8A7EE2"/>
    <w:rsid w:val="6B903A12"/>
    <w:rsid w:val="6B9871E4"/>
    <w:rsid w:val="6B9E2B3B"/>
    <w:rsid w:val="6BA442E7"/>
    <w:rsid w:val="6BAE5352"/>
    <w:rsid w:val="6BB05931"/>
    <w:rsid w:val="6BB06769"/>
    <w:rsid w:val="6BB54A49"/>
    <w:rsid w:val="6BB677B6"/>
    <w:rsid w:val="6BB864C8"/>
    <w:rsid w:val="6BB91DA4"/>
    <w:rsid w:val="6BC3743B"/>
    <w:rsid w:val="6BC546ED"/>
    <w:rsid w:val="6BCD71E3"/>
    <w:rsid w:val="6BCE10C5"/>
    <w:rsid w:val="6BD02B6A"/>
    <w:rsid w:val="6BD56BA4"/>
    <w:rsid w:val="6BDA1B57"/>
    <w:rsid w:val="6BE15B06"/>
    <w:rsid w:val="6BE34C91"/>
    <w:rsid w:val="6BE71DE3"/>
    <w:rsid w:val="6BF13562"/>
    <w:rsid w:val="6BF266C8"/>
    <w:rsid w:val="6BF735D0"/>
    <w:rsid w:val="6BFB4B2E"/>
    <w:rsid w:val="6C012722"/>
    <w:rsid w:val="6C014F54"/>
    <w:rsid w:val="6C0656A4"/>
    <w:rsid w:val="6C06746D"/>
    <w:rsid w:val="6C0C2992"/>
    <w:rsid w:val="6C113C54"/>
    <w:rsid w:val="6C155045"/>
    <w:rsid w:val="6C166B69"/>
    <w:rsid w:val="6C1C7114"/>
    <w:rsid w:val="6C22002D"/>
    <w:rsid w:val="6C2814C5"/>
    <w:rsid w:val="6C2C724D"/>
    <w:rsid w:val="6C2E3BB7"/>
    <w:rsid w:val="6C35571F"/>
    <w:rsid w:val="6C5B14E7"/>
    <w:rsid w:val="6C5B2395"/>
    <w:rsid w:val="6C634B84"/>
    <w:rsid w:val="6C637157"/>
    <w:rsid w:val="6C666CCC"/>
    <w:rsid w:val="6C6D614D"/>
    <w:rsid w:val="6C711404"/>
    <w:rsid w:val="6C7476FD"/>
    <w:rsid w:val="6C796123"/>
    <w:rsid w:val="6C7F441E"/>
    <w:rsid w:val="6C83552D"/>
    <w:rsid w:val="6C894A19"/>
    <w:rsid w:val="6C8E7B6C"/>
    <w:rsid w:val="6C924457"/>
    <w:rsid w:val="6C9C030F"/>
    <w:rsid w:val="6C9F018E"/>
    <w:rsid w:val="6CA166BE"/>
    <w:rsid w:val="6CA513DC"/>
    <w:rsid w:val="6CAA1693"/>
    <w:rsid w:val="6CB226ED"/>
    <w:rsid w:val="6CB23666"/>
    <w:rsid w:val="6CB344F1"/>
    <w:rsid w:val="6CB40931"/>
    <w:rsid w:val="6CB638D0"/>
    <w:rsid w:val="6CB707D6"/>
    <w:rsid w:val="6CC12C6C"/>
    <w:rsid w:val="6CC43517"/>
    <w:rsid w:val="6CC52FDE"/>
    <w:rsid w:val="6CC867D6"/>
    <w:rsid w:val="6CC977C4"/>
    <w:rsid w:val="6CD11BD9"/>
    <w:rsid w:val="6CD13449"/>
    <w:rsid w:val="6CE935F3"/>
    <w:rsid w:val="6CEA68A2"/>
    <w:rsid w:val="6CF92C27"/>
    <w:rsid w:val="6CFB5DC6"/>
    <w:rsid w:val="6CFC638A"/>
    <w:rsid w:val="6CFD3D03"/>
    <w:rsid w:val="6D010B2A"/>
    <w:rsid w:val="6D01256E"/>
    <w:rsid w:val="6D0457DD"/>
    <w:rsid w:val="6D047EAC"/>
    <w:rsid w:val="6D050491"/>
    <w:rsid w:val="6D052EF9"/>
    <w:rsid w:val="6D06157F"/>
    <w:rsid w:val="6D064EDE"/>
    <w:rsid w:val="6D134C99"/>
    <w:rsid w:val="6D144832"/>
    <w:rsid w:val="6D1736A6"/>
    <w:rsid w:val="6D1955DE"/>
    <w:rsid w:val="6D196221"/>
    <w:rsid w:val="6D1D0904"/>
    <w:rsid w:val="6D1F1D6C"/>
    <w:rsid w:val="6D217334"/>
    <w:rsid w:val="6D2832EA"/>
    <w:rsid w:val="6D2D532D"/>
    <w:rsid w:val="6D2F1CFE"/>
    <w:rsid w:val="6D32272C"/>
    <w:rsid w:val="6D3959EC"/>
    <w:rsid w:val="6D3A61AC"/>
    <w:rsid w:val="6D3C13C5"/>
    <w:rsid w:val="6D4041BB"/>
    <w:rsid w:val="6D44130D"/>
    <w:rsid w:val="6D45714A"/>
    <w:rsid w:val="6D462369"/>
    <w:rsid w:val="6D502729"/>
    <w:rsid w:val="6D526691"/>
    <w:rsid w:val="6D575B6F"/>
    <w:rsid w:val="6D5A4148"/>
    <w:rsid w:val="6D5D5A6F"/>
    <w:rsid w:val="6D6205F1"/>
    <w:rsid w:val="6D675DFA"/>
    <w:rsid w:val="6D6B2350"/>
    <w:rsid w:val="6D6E4932"/>
    <w:rsid w:val="6D706C37"/>
    <w:rsid w:val="6D706C6D"/>
    <w:rsid w:val="6D750941"/>
    <w:rsid w:val="6D78549D"/>
    <w:rsid w:val="6D7C6530"/>
    <w:rsid w:val="6D7E115D"/>
    <w:rsid w:val="6D826488"/>
    <w:rsid w:val="6D83209E"/>
    <w:rsid w:val="6D8F6B22"/>
    <w:rsid w:val="6D91642C"/>
    <w:rsid w:val="6D940B5E"/>
    <w:rsid w:val="6D9A5B6D"/>
    <w:rsid w:val="6D9D2A0E"/>
    <w:rsid w:val="6D9E5A3F"/>
    <w:rsid w:val="6DA47FA7"/>
    <w:rsid w:val="6DAB4D8A"/>
    <w:rsid w:val="6DAC54A6"/>
    <w:rsid w:val="6DAC6771"/>
    <w:rsid w:val="6DB671FB"/>
    <w:rsid w:val="6DBA3D06"/>
    <w:rsid w:val="6DBD7D1F"/>
    <w:rsid w:val="6DC121F7"/>
    <w:rsid w:val="6DC13FFF"/>
    <w:rsid w:val="6DC65C07"/>
    <w:rsid w:val="6DC93B7F"/>
    <w:rsid w:val="6DC97B96"/>
    <w:rsid w:val="6DCE41BA"/>
    <w:rsid w:val="6DDB46A8"/>
    <w:rsid w:val="6DE3575B"/>
    <w:rsid w:val="6DE53D86"/>
    <w:rsid w:val="6DE700C8"/>
    <w:rsid w:val="6DE76812"/>
    <w:rsid w:val="6DE9003C"/>
    <w:rsid w:val="6DE916F8"/>
    <w:rsid w:val="6DEE264A"/>
    <w:rsid w:val="6DF577F7"/>
    <w:rsid w:val="6E00770B"/>
    <w:rsid w:val="6E09067E"/>
    <w:rsid w:val="6E0D7C0F"/>
    <w:rsid w:val="6E0F1580"/>
    <w:rsid w:val="6E113A11"/>
    <w:rsid w:val="6E134691"/>
    <w:rsid w:val="6E1F45A2"/>
    <w:rsid w:val="6E243BE5"/>
    <w:rsid w:val="6E260592"/>
    <w:rsid w:val="6E2B6BFC"/>
    <w:rsid w:val="6E2D208D"/>
    <w:rsid w:val="6E2D3052"/>
    <w:rsid w:val="6E2D3749"/>
    <w:rsid w:val="6E2E5C37"/>
    <w:rsid w:val="6E30558E"/>
    <w:rsid w:val="6E3656E8"/>
    <w:rsid w:val="6E37684B"/>
    <w:rsid w:val="6E376E74"/>
    <w:rsid w:val="6E3858AD"/>
    <w:rsid w:val="6E3D4FAC"/>
    <w:rsid w:val="6E3D79A0"/>
    <w:rsid w:val="6E410DF6"/>
    <w:rsid w:val="6E414EC5"/>
    <w:rsid w:val="6E4854ED"/>
    <w:rsid w:val="6E491F7F"/>
    <w:rsid w:val="6E4959E9"/>
    <w:rsid w:val="6E4D1507"/>
    <w:rsid w:val="6E595C4B"/>
    <w:rsid w:val="6E5C5A24"/>
    <w:rsid w:val="6E5D63AB"/>
    <w:rsid w:val="6E611A9E"/>
    <w:rsid w:val="6E6C623F"/>
    <w:rsid w:val="6E6D1536"/>
    <w:rsid w:val="6E736078"/>
    <w:rsid w:val="6E757DEB"/>
    <w:rsid w:val="6E7A6498"/>
    <w:rsid w:val="6E823ABE"/>
    <w:rsid w:val="6E892A77"/>
    <w:rsid w:val="6E8B2719"/>
    <w:rsid w:val="6E8E08F7"/>
    <w:rsid w:val="6E945E1D"/>
    <w:rsid w:val="6E993914"/>
    <w:rsid w:val="6E994F67"/>
    <w:rsid w:val="6E9D5453"/>
    <w:rsid w:val="6E9E04AA"/>
    <w:rsid w:val="6EA31FBE"/>
    <w:rsid w:val="6EA765CD"/>
    <w:rsid w:val="6EAC1966"/>
    <w:rsid w:val="6EAD5F0F"/>
    <w:rsid w:val="6EB228E2"/>
    <w:rsid w:val="6EB622A1"/>
    <w:rsid w:val="6EB72DC0"/>
    <w:rsid w:val="6ECD7D83"/>
    <w:rsid w:val="6EE21DFA"/>
    <w:rsid w:val="6EE264E8"/>
    <w:rsid w:val="6EE843C4"/>
    <w:rsid w:val="6EF05C57"/>
    <w:rsid w:val="6EF65B00"/>
    <w:rsid w:val="6EF96A7F"/>
    <w:rsid w:val="6EFB3C07"/>
    <w:rsid w:val="6F0304F4"/>
    <w:rsid w:val="6F046643"/>
    <w:rsid w:val="6F050F46"/>
    <w:rsid w:val="6F0B6421"/>
    <w:rsid w:val="6F0C1912"/>
    <w:rsid w:val="6F147CF4"/>
    <w:rsid w:val="6F171088"/>
    <w:rsid w:val="6F173F90"/>
    <w:rsid w:val="6F18202D"/>
    <w:rsid w:val="6F2A65FA"/>
    <w:rsid w:val="6F2D7363"/>
    <w:rsid w:val="6F3171DD"/>
    <w:rsid w:val="6F3315A7"/>
    <w:rsid w:val="6F3406D7"/>
    <w:rsid w:val="6F3B1E92"/>
    <w:rsid w:val="6F3B6823"/>
    <w:rsid w:val="6F4215BC"/>
    <w:rsid w:val="6F4B2009"/>
    <w:rsid w:val="6F4F6761"/>
    <w:rsid w:val="6F5139F9"/>
    <w:rsid w:val="6F54142F"/>
    <w:rsid w:val="6F546444"/>
    <w:rsid w:val="6F5B7FDC"/>
    <w:rsid w:val="6F5D2427"/>
    <w:rsid w:val="6F5F28F5"/>
    <w:rsid w:val="6F6141B8"/>
    <w:rsid w:val="6F6155A7"/>
    <w:rsid w:val="6F615F5E"/>
    <w:rsid w:val="6F67074A"/>
    <w:rsid w:val="6F6B16ED"/>
    <w:rsid w:val="6F6F7748"/>
    <w:rsid w:val="6F7B3B16"/>
    <w:rsid w:val="6F9710A6"/>
    <w:rsid w:val="6F981E00"/>
    <w:rsid w:val="6F9F2CDA"/>
    <w:rsid w:val="6FA605E4"/>
    <w:rsid w:val="6FA72EA0"/>
    <w:rsid w:val="6FAF0AF5"/>
    <w:rsid w:val="6FAF15BD"/>
    <w:rsid w:val="6FBA6707"/>
    <w:rsid w:val="6FC77453"/>
    <w:rsid w:val="6FCB170E"/>
    <w:rsid w:val="6FCB25A4"/>
    <w:rsid w:val="6FCD6218"/>
    <w:rsid w:val="6FCF63E4"/>
    <w:rsid w:val="6FD04545"/>
    <w:rsid w:val="6FD32A5D"/>
    <w:rsid w:val="6FD504C9"/>
    <w:rsid w:val="6FD64EAD"/>
    <w:rsid w:val="6FD779F1"/>
    <w:rsid w:val="6FDB0F1B"/>
    <w:rsid w:val="6FDC4B9D"/>
    <w:rsid w:val="6FDD27D6"/>
    <w:rsid w:val="6FF52B1B"/>
    <w:rsid w:val="6FF61B9F"/>
    <w:rsid w:val="6FF81C1A"/>
    <w:rsid w:val="6FF82FD4"/>
    <w:rsid w:val="6FFB0FF1"/>
    <w:rsid w:val="6FFB40EC"/>
    <w:rsid w:val="70023756"/>
    <w:rsid w:val="700346D4"/>
    <w:rsid w:val="70036BB5"/>
    <w:rsid w:val="70042C6A"/>
    <w:rsid w:val="70097B2E"/>
    <w:rsid w:val="700B0BA2"/>
    <w:rsid w:val="700E45C5"/>
    <w:rsid w:val="70104E00"/>
    <w:rsid w:val="701372BB"/>
    <w:rsid w:val="701956EF"/>
    <w:rsid w:val="701D6153"/>
    <w:rsid w:val="701E4260"/>
    <w:rsid w:val="70224F57"/>
    <w:rsid w:val="702459A8"/>
    <w:rsid w:val="702608E2"/>
    <w:rsid w:val="702B0DCB"/>
    <w:rsid w:val="702F0108"/>
    <w:rsid w:val="70330979"/>
    <w:rsid w:val="70391E13"/>
    <w:rsid w:val="704275CC"/>
    <w:rsid w:val="70441DB4"/>
    <w:rsid w:val="70444793"/>
    <w:rsid w:val="70551138"/>
    <w:rsid w:val="705D6E76"/>
    <w:rsid w:val="706042A3"/>
    <w:rsid w:val="7060638A"/>
    <w:rsid w:val="70687EB7"/>
    <w:rsid w:val="706D0C63"/>
    <w:rsid w:val="70760EFF"/>
    <w:rsid w:val="70786F1D"/>
    <w:rsid w:val="70792E46"/>
    <w:rsid w:val="707F37AA"/>
    <w:rsid w:val="707F5E5A"/>
    <w:rsid w:val="70825A52"/>
    <w:rsid w:val="70833D91"/>
    <w:rsid w:val="70855A0E"/>
    <w:rsid w:val="708C12E1"/>
    <w:rsid w:val="7093476C"/>
    <w:rsid w:val="70984676"/>
    <w:rsid w:val="70994FE0"/>
    <w:rsid w:val="709E55D4"/>
    <w:rsid w:val="709F6035"/>
    <w:rsid w:val="70A34756"/>
    <w:rsid w:val="70A4038A"/>
    <w:rsid w:val="70A506E1"/>
    <w:rsid w:val="70A85273"/>
    <w:rsid w:val="70AB2B12"/>
    <w:rsid w:val="70AC5DF4"/>
    <w:rsid w:val="70AE3E92"/>
    <w:rsid w:val="70AF1CC8"/>
    <w:rsid w:val="70AF2CEA"/>
    <w:rsid w:val="70B066A1"/>
    <w:rsid w:val="70BD75AB"/>
    <w:rsid w:val="70C0191D"/>
    <w:rsid w:val="70CE299B"/>
    <w:rsid w:val="70DB2DEC"/>
    <w:rsid w:val="70E50981"/>
    <w:rsid w:val="70E852C5"/>
    <w:rsid w:val="70E938E1"/>
    <w:rsid w:val="70EA4FB5"/>
    <w:rsid w:val="70F11D54"/>
    <w:rsid w:val="70F301A3"/>
    <w:rsid w:val="70FB6A02"/>
    <w:rsid w:val="70FD54BB"/>
    <w:rsid w:val="71011BD7"/>
    <w:rsid w:val="71097A9D"/>
    <w:rsid w:val="71154581"/>
    <w:rsid w:val="71165C8F"/>
    <w:rsid w:val="711813E4"/>
    <w:rsid w:val="711824AE"/>
    <w:rsid w:val="711A2F36"/>
    <w:rsid w:val="7121413B"/>
    <w:rsid w:val="712142F5"/>
    <w:rsid w:val="7122754B"/>
    <w:rsid w:val="712700C4"/>
    <w:rsid w:val="712D5C8B"/>
    <w:rsid w:val="71307E25"/>
    <w:rsid w:val="713170A0"/>
    <w:rsid w:val="71334AD0"/>
    <w:rsid w:val="7134455D"/>
    <w:rsid w:val="71353F4A"/>
    <w:rsid w:val="713E59CC"/>
    <w:rsid w:val="71490EED"/>
    <w:rsid w:val="714B6C07"/>
    <w:rsid w:val="71524555"/>
    <w:rsid w:val="71530A68"/>
    <w:rsid w:val="71551EDE"/>
    <w:rsid w:val="7155770D"/>
    <w:rsid w:val="715A1587"/>
    <w:rsid w:val="715E0638"/>
    <w:rsid w:val="715F1432"/>
    <w:rsid w:val="7160306C"/>
    <w:rsid w:val="716324EA"/>
    <w:rsid w:val="7166314F"/>
    <w:rsid w:val="71753856"/>
    <w:rsid w:val="71834C32"/>
    <w:rsid w:val="718B2A36"/>
    <w:rsid w:val="718B37D7"/>
    <w:rsid w:val="718D41CC"/>
    <w:rsid w:val="718E2047"/>
    <w:rsid w:val="718E4BC4"/>
    <w:rsid w:val="719D6729"/>
    <w:rsid w:val="71A319BF"/>
    <w:rsid w:val="71A452F8"/>
    <w:rsid w:val="71A45CFB"/>
    <w:rsid w:val="71A561FA"/>
    <w:rsid w:val="71AB45E4"/>
    <w:rsid w:val="71AD018A"/>
    <w:rsid w:val="71BD1F32"/>
    <w:rsid w:val="71BD6D30"/>
    <w:rsid w:val="71C5263E"/>
    <w:rsid w:val="71C560A6"/>
    <w:rsid w:val="71CB0450"/>
    <w:rsid w:val="71CC1372"/>
    <w:rsid w:val="71CD6362"/>
    <w:rsid w:val="71CE145C"/>
    <w:rsid w:val="71D51B0E"/>
    <w:rsid w:val="71DA4F6A"/>
    <w:rsid w:val="71DC5668"/>
    <w:rsid w:val="71E10600"/>
    <w:rsid w:val="71E574F1"/>
    <w:rsid w:val="71F71D1A"/>
    <w:rsid w:val="71FB31A6"/>
    <w:rsid w:val="71FD006C"/>
    <w:rsid w:val="71FF289E"/>
    <w:rsid w:val="72033BCA"/>
    <w:rsid w:val="72063676"/>
    <w:rsid w:val="72081ADB"/>
    <w:rsid w:val="720A1607"/>
    <w:rsid w:val="720C0512"/>
    <w:rsid w:val="721C11BA"/>
    <w:rsid w:val="721F51CD"/>
    <w:rsid w:val="72207433"/>
    <w:rsid w:val="722403BB"/>
    <w:rsid w:val="722C65BC"/>
    <w:rsid w:val="72352AFB"/>
    <w:rsid w:val="7235400B"/>
    <w:rsid w:val="72383B18"/>
    <w:rsid w:val="723A08E3"/>
    <w:rsid w:val="723A0C25"/>
    <w:rsid w:val="723A2377"/>
    <w:rsid w:val="723F1DBA"/>
    <w:rsid w:val="724041C8"/>
    <w:rsid w:val="724605E2"/>
    <w:rsid w:val="72483DE8"/>
    <w:rsid w:val="7258020B"/>
    <w:rsid w:val="725A5C75"/>
    <w:rsid w:val="725C3BA6"/>
    <w:rsid w:val="725C5A2D"/>
    <w:rsid w:val="72604AAF"/>
    <w:rsid w:val="726431F7"/>
    <w:rsid w:val="72674985"/>
    <w:rsid w:val="726A341D"/>
    <w:rsid w:val="726F3072"/>
    <w:rsid w:val="727162C3"/>
    <w:rsid w:val="72761F3C"/>
    <w:rsid w:val="72775C1B"/>
    <w:rsid w:val="727A0474"/>
    <w:rsid w:val="727E15A6"/>
    <w:rsid w:val="72800660"/>
    <w:rsid w:val="72832A6F"/>
    <w:rsid w:val="72844C11"/>
    <w:rsid w:val="728634BC"/>
    <w:rsid w:val="72880B0D"/>
    <w:rsid w:val="72895A22"/>
    <w:rsid w:val="7292212A"/>
    <w:rsid w:val="72954D3B"/>
    <w:rsid w:val="729D635F"/>
    <w:rsid w:val="72A34975"/>
    <w:rsid w:val="72A43974"/>
    <w:rsid w:val="72A83CCB"/>
    <w:rsid w:val="72AB1275"/>
    <w:rsid w:val="72AC6C76"/>
    <w:rsid w:val="72B63E7B"/>
    <w:rsid w:val="72B76A5B"/>
    <w:rsid w:val="72BD3ED6"/>
    <w:rsid w:val="72C05B9A"/>
    <w:rsid w:val="72C12024"/>
    <w:rsid w:val="72C67611"/>
    <w:rsid w:val="72D02567"/>
    <w:rsid w:val="72DF1877"/>
    <w:rsid w:val="72E108B2"/>
    <w:rsid w:val="72E36DC6"/>
    <w:rsid w:val="72ED7F45"/>
    <w:rsid w:val="72F27134"/>
    <w:rsid w:val="72F41577"/>
    <w:rsid w:val="72F76F2B"/>
    <w:rsid w:val="72F91613"/>
    <w:rsid w:val="7301303B"/>
    <w:rsid w:val="730307F0"/>
    <w:rsid w:val="730729D4"/>
    <w:rsid w:val="730D7AB6"/>
    <w:rsid w:val="730E5D0C"/>
    <w:rsid w:val="731A2128"/>
    <w:rsid w:val="731B38ED"/>
    <w:rsid w:val="731E48A3"/>
    <w:rsid w:val="73284685"/>
    <w:rsid w:val="73290132"/>
    <w:rsid w:val="732922BE"/>
    <w:rsid w:val="732A7B5E"/>
    <w:rsid w:val="732B29BF"/>
    <w:rsid w:val="732D181E"/>
    <w:rsid w:val="73307B25"/>
    <w:rsid w:val="73316950"/>
    <w:rsid w:val="73410F47"/>
    <w:rsid w:val="734114F5"/>
    <w:rsid w:val="73412BB6"/>
    <w:rsid w:val="73440E8D"/>
    <w:rsid w:val="734A4D6E"/>
    <w:rsid w:val="73580F9D"/>
    <w:rsid w:val="73602E06"/>
    <w:rsid w:val="73605370"/>
    <w:rsid w:val="73776B84"/>
    <w:rsid w:val="737C55AA"/>
    <w:rsid w:val="7380395B"/>
    <w:rsid w:val="7385440A"/>
    <w:rsid w:val="73871E68"/>
    <w:rsid w:val="738C13B8"/>
    <w:rsid w:val="738F1EF3"/>
    <w:rsid w:val="739D3501"/>
    <w:rsid w:val="73A474E9"/>
    <w:rsid w:val="73A95DBB"/>
    <w:rsid w:val="73B23B3B"/>
    <w:rsid w:val="73B70C74"/>
    <w:rsid w:val="73BB0134"/>
    <w:rsid w:val="73C76759"/>
    <w:rsid w:val="73C832BD"/>
    <w:rsid w:val="73CB3EC2"/>
    <w:rsid w:val="73CD5684"/>
    <w:rsid w:val="73CE1C8F"/>
    <w:rsid w:val="73CE454B"/>
    <w:rsid w:val="73D844F2"/>
    <w:rsid w:val="73DD0578"/>
    <w:rsid w:val="73E46A4C"/>
    <w:rsid w:val="73EB0ABB"/>
    <w:rsid w:val="73F115DC"/>
    <w:rsid w:val="73F46631"/>
    <w:rsid w:val="73FB332F"/>
    <w:rsid w:val="74030560"/>
    <w:rsid w:val="74040366"/>
    <w:rsid w:val="740875C0"/>
    <w:rsid w:val="74093544"/>
    <w:rsid w:val="740A01F7"/>
    <w:rsid w:val="7414307E"/>
    <w:rsid w:val="74260BE5"/>
    <w:rsid w:val="742B3BFC"/>
    <w:rsid w:val="742B76A5"/>
    <w:rsid w:val="742F3296"/>
    <w:rsid w:val="742F73BF"/>
    <w:rsid w:val="743152B7"/>
    <w:rsid w:val="743922CA"/>
    <w:rsid w:val="743A07E8"/>
    <w:rsid w:val="743C79F7"/>
    <w:rsid w:val="74456D0E"/>
    <w:rsid w:val="74464B92"/>
    <w:rsid w:val="744B69DC"/>
    <w:rsid w:val="74502BA3"/>
    <w:rsid w:val="7454392E"/>
    <w:rsid w:val="745A4E67"/>
    <w:rsid w:val="746054FE"/>
    <w:rsid w:val="74663731"/>
    <w:rsid w:val="746F1A8C"/>
    <w:rsid w:val="74726784"/>
    <w:rsid w:val="7473472C"/>
    <w:rsid w:val="747A7F04"/>
    <w:rsid w:val="7482230A"/>
    <w:rsid w:val="74891F2C"/>
    <w:rsid w:val="748A7C5C"/>
    <w:rsid w:val="748B7924"/>
    <w:rsid w:val="748F48EF"/>
    <w:rsid w:val="749144A6"/>
    <w:rsid w:val="74985B15"/>
    <w:rsid w:val="74A4348F"/>
    <w:rsid w:val="74AB09E7"/>
    <w:rsid w:val="74AB1DEF"/>
    <w:rsid w:val="74AB2F48"/>
    <w:rsid w:val="74AC7D62"/>
    <w:rsid w:val="74B00C7A"/>
    <w:rsid w:val="74B16FBD"/>
    <w:rsid w:val="74B331CE"/>
    <w:rsid w:val="74B916B5"/>
    <w:rsid w:val="74BF3E8D"/>
    <w:rsid w:val="74BF7340"/>
    <w:rsid w:val="74C01DA4"/>
    <w:rsid w:val="74C576E8"/>
    <w:rsid w:val="74CA081D"/>
    <w:rsid w:val="74D2728A"/>
    <w:rsid w:val="74F06E9F"/>
    <w:rsid w:val="74F6794E"/>
    <w:rsid w:val="74FE07E9"/>
    <w:rsid w:val="74FE7A9B"/>
    <w:rsid w:val="75070225"/>
    <w:rsid w:val="75134C5F"/>
    <w:rsid w:val="75155079"/>
    <w:rsid w:val="751F7CCE"/>
    <w:rsid w:val="75246385"/>
    <w:rsid w:val="752543BB"/>
    <w:rsid w:val="752C3F97"/>
    <w:rsid w:val="7536158E"/>
    <w:rsid w:val="75394FB4"/>
    <w:rsid w:val="753E54A6"/>
    <w:rsid w:val="75431857"/>
    <w:rsid w:val="75441FAA"/>
    <w:rsid w:val="75492D3F"/>
    <w:rsid w:val="75496994"/>
    <w:rsid w:val="754A0B2A"/>
    <w:rsid w:val="7555337E"/>
    <w:rsid w:val="755565E9"/>
    <w:rsid w:val="755B4F87"/>
    <w:rsid w:val="755F1856"/>
    <w:rsid w:val="756E6FD0"/>
    <w:rsid w:val="75712F6C"/>
    <w:rsid w:val="757A328F"/>
    <w:rsid w:val="757D18CB"/>
    <w:rsid w:val="757D6CBB"/>
    <w:rsid w:val="7580067B"/>
    <w:rsid w:val="75835047"/>
    <w:rsid w:val="75843FA9"/>
    <w:rsid w:val="75866DA9"/>
    <w:rsid w:val="75891A8F"/>
    <w:rsid w:val="759544F3"/>
    <w:rsid w:val="759643E4"/>
    <w:rsid w:val="75A307BB"/>
    <w:rsid w:val="75AB0730"/>
    <w:rsid w:val="75B16B00"/>
    <w:rsid w:val="75B41D19"/>
    <w:rsid w:val="75B528B2"/>
    <w:rsid w:val="75BC080B"/>
    <w:rsid w:val="75BF2563"/>
    <w:rsid w:val="75CF2FEB"/>
    <w:rsid w:val="75D2482D"/>
    <w:rsid w:val="75D35AC0"/>
    <w:rsid w:val="75D56A22"/>
    <w:rsid w:val="75D72B73"/>
    <w:rsid w:val="75DB2E94"/>
    <w:rsid w:val="75DE26BD"/>
    <w:rsid w:val="75DF4876"/>
    <w:rsid w:val="75E9694B"/>
    <w:rsid w:val="75E97A9A"/>
    <w:rsid w:val="75F064A9"/>
    <w:rsid w:val="75F2239E"/>
    <w:rsid w:val="75F506DA"/>
    <w:rsid w:val="75FC43D5"/>
    <w:rsid w:val="7601450C"/>
    <w:rsid w:val="76071C66"/>
    <w:rsid w:val="760730C8"/>
    <w:rsid w:val="760A5F72"/>
    <w:rsid w:val="76171309"/>
    <w:rsid w:val="761E06C2"/>
    <w:rsid w:val="76224381"/>
    <w:rsid w:val="762300CE"/>
    <w:rsid w:val="76254440"/>
    <w:rsid w:val="762875D5"/>
    <w:rsid w:val="762B6ABB"/>
    <w:rsid w:val="762E5AAD"/>
    <w:rsid w:val="76324DEF"/>
    <w:rsid w:val="763562DA"/>
    <w:rsid w:val="76376E41"/>
    <w:rsid w:val="7639297C"/>
    <w:rsid w:val="763C78D1"/>
    <w:rsid w:val="7648616B"/>
    <w:rsid w:val="764A6B7E"/>
    <w:rsid w:val="764C2E71"/>
    <w:rsid w:val="76530380"/>
    <w:rsid w:val="76537915"/>
    <w:rsid w:val="76564499"/>
    <w:rsid w:val="76577B8B"/>
    <w:rsid w:val="765959F6"/>
    <w:rsid w:val="76677285"/>
    <w:rsid w:val="766B11C6"/>
    <w:rsid w:val="766D627F"/>
    <w:rsid w:val="7676797B"/>
    <w:rsid w:val="76775905"/>
    <w:rsid w:val="76864771"/>
    <w:rsid w:val="76864A17"/>
    <w:rsid w:val="7686641F"/>
    <w:rsid w:val="76872C6D"/>
    <w:rsid w:val="76890C02"/>
    <w:rsid w:val="768C7784"/>
    <w:rsid w:val="768F1A51"/>
    <w:rsid w:val="769F1F2A"/>
    <w:rsid w:val="76A27663"/>
    <w:rsid w:val="76A35273"/>
    <w:rsid w:val="76A5438A"/>
    <w:rsid w:val="76A636D6"/>
    <w:rsid w:val="76A76A6D"/>
    <w:rsid w:val="76A87D02"/>
    <w:rsid w:val="76AE297F"/>
    <w:rsid w:val="76AE6517"/>
    <w:rsid w:val="76AF2AC6"/>
    <w:rsid w:val="76B1570B"/>
    <w:rsid w:val="76B26B05"/>
    <w:rsid w:val="76B471F1"/>
    <w:rsid w:val="76B75339"/>
    <w:rsid w:val="76BA1132"/>
    <w:rsid w:val="76C137FA"/>
    <w:rsid w:val="76C25567"/>
    <w:rsid w:val="76CF6FD7"/>
    <w:rsid w:val="76D03D97"/>
    <w:rsid w:val="76D427A6"/>
    <w:rsid w:val="76E05930"/>
    <w:rsid w:val="76E313E5"/>
    <w:rsid w:val="76E72ECE"/>
    <w:rsid w:val="76E73313"/>
    <w:rsid w:val="76EE042D"/>
    <w:rsid w:val="76EE7EFF"/>
    <w:rsid w:val="76F2779F"/>
    <w:rsid w:val="76F46587"/>
    <w:rsid w:val="76F850E9"/>
    <w:rsid w:val="76F8521A"/>
    <w:rsid w:val="76F90AD7"/>
    <w:rsid w:val="76F94E7E"/>
    <w:rsid w:val="76FA49D1"/>
    <w:rsid w:val="77017F9E"/>
    <w:rsid w:val="77080540"/>
    <w:rsid w:val="770B42D4"/>
    <w:rsid w:val="770E5F88"/>
    <w:rsid w:val="77164AE2"/>
    <w:rsid w:val="77191F42"/>
    <w:rsid w:val="7719509D"/>
    <w:rsid w:val="772002DF"/>
    <w:rsid w:val="77213510"/>
    <w:rsid w:val="7725218D"/>
    <w:rsid w:val="772612AF"/>
    <w:rsid w:val="77284D77"/>
    <w:rsid w:val="77296FB5"/>
    <w:rsid w:val="772A51A4"/>
    <w:rsid w:val="772D3299"/>
    <w:rsid w:val="7735150B"/>
    <w:rsid w:val="77367730"/>
    <w:rsid w:val="7737508C"/>
    <w:rsid w:val="773C1716"/>
    <w:rsid w:val="774229E1"/>
    <w:rsid w:val="774527E5"/>
    <w:rsid w:val="77455687"/>
    <w:rsid w:val="77456D82"/>
    <w:rsid w:val="774D6E7A"/>
    <w:rsid w:val="77534854"/>
    <w:rsid w:val="77574E65"/>
    <w:rsid w:val="77741ADC"/>
    <w:rsid w:val="7774393A"/>
    <w:rsid w:val="777F1A53"/>
    <w:rsid w:val="778E0580"/>
    <w:rsid w:val="778E3145"/>
    <w:rsid w:val="779836BD"/>
    <w:rsid w:val="779E51F4"/>
    <w:rsid w:val="77A058BA"/>
    <w:rsid w:val="77A05E6C"/>
    <w:rsid w:val="77A13326"/>
    <w:rsid w:val="77A96A51"/>
    <w:rsid w:val="77AD59DB"/>
    <w:rsid w:val="77AE0728"/>
    <w:rsid w:val="77B42658"/>
    <w:rsid w:val="77B77AB4"/>
    <w:rsid w:val="77B964FD"/>
    <w:rsid w:val="77BC164C"/>
    <w:rsid w:val="77BE28BC"/>
    <w:rsid w:val="77C11911"/>
    <w:rsid w:val="77C6585D"/>
    <w:rsid w:val="77CA1C66"/>
    <w:rsid w:val="77CF6960"/>
    <w:rsid w:val="77D07C98"/>
    <w:rsid w:val="77D3766C"/>
    <w:rsid w:val="77D5113B"/>
    <w:rsid w:val="77D54020"/>
    <w:rsid w:val="77DA5B25"/>
    <w:rsid w:val="77DC2F59"/>
    <w:rsid w:val="77E81FA4"/>
    <w:rsid w:val="77FA382D"/>
    <w:rsid w:val="77FE4867"/>
    <w:rsid w:val="78032A65"/>
    <w:rsid w:val="7803783B"/>
    <w:rsid w:val="780519FC"/>
    <w:rsid w:val="780C4FEB"/>
    <w:rsid w:val="780D35EB"/>
    <w:rsid w:val="781106C5"/>
    <w:rsid w:val="78126318"/>
    <w:rsid w:val="78160CAA"/>
    <w:rsid w:val="781A644B"/>
    <w:rsid w:val="782751A2"/>
    <w:rsid w:val="7829751B"/>
    <w:rsid w:val="78317FD8"/>
    <w:rsid w:val="7833163A"/>
    <w:rsid w:val="78344F9D"/>
    <w:rsid w:val="78360292"/>
    <w:rsid w:val="783B2EFF"/>
    <w:rsid w:val="78484CF6"/>
    <w:rsid w:val="784B12EF"/>
    <w:rsid w:val="784B49E9"/>
    <w:rsid w:val="784C7972"/>
    <w:rsid w:val="7851779D"/>
    <w:rsid w:val="785C6A4E"/>
    <w:rsid w:val="785F6AAB"/>
    <w:rsid w:val="786023E3"/>
    <w:rsid w:val="786845BB"/>
    <w:rsid w:val="7869627C"/>
    <w:rsid w:val="78696B56"/>
    <w:rsid w:val="786B3BB9"/>
    <w:rsid w:val="78731884"/>
    <w:rsid w:val="7878513F"/>
    <w:rsid w:val="787E6DD3"/>
    <w:rsid w:val="78862309"/>
    <w:rsid w:val="788949EC"/>
    <w:rsid w:val="788D38AC"/>
    <w:rsid w:val="789206CF"/>
    <w:rsid w:val="78921351"/>
    <w:rsid w:val="78932D33"/>
    <w:rsid w:val="789944A9"/>
    <w:rsid w:val="789B5BCC"/>
    <w:rsid w:val="789D32E3"/>
    <w:rsid w:val="78B9431E"/>
    <w:rsid w:val="78BD5DF1"/>
    <w:rsid w:val="78BF64FE"/>
    <w:rsid w:val="78C26FB6"/>
    <w:rsid w:val="78C35147"/>
    <w:rsid w:val="78C81FC8"/>
    <w:rsid w:val="78CD4035"/>
    <w:rsid w:val="78D47583"/>
    <w:rsid w:val="78D870A3"/>
    <w:rsid w:val="78D90120"/>
    <w:rsid w:val="78DA3C56"/>
    <w:rsid w:val="78DE39C2"/>
    <w:rsid w:val="78DE67A5"/>
    <w:rsid w:val="78E066A4"/>
    <w:rsid w:val="78E16E2D"/>
    <w:rsid w:val="78F32CBE"/>
    <w:rsid w:val="790A2AD8"/>
    <w:rsid w:val="790D0E80"/>
    <w:rsid w:val="79136097"/>
    <w:rsid w:val="79143985"/>
    <w:rsid w:val="79180818"/>
    <w:rsid w:val="791B43BB"/>
    <w:rsid w:val="791B46C0"/>
    <w:rsid w:val="791B54F4"/>
    <w:rsid w:val="7920267F"/>
    <w:rsid w:val="792569BE"/>
    <w:rsid w:val="792C6E68"/>
    <w:rsid w:val="792D5F1E"/>
    <w:rsid w:val="793262F2"/>
    <w:rsid w:val="793D5E2E"/>
    <w:rsid w:val="79432008"/>
    <w:rsid w:val="7948623A"/>
    <w:rsid w:val="794A3F4F"/>
    <w:rsid w:val="794C1DE1"/>
    <w:rsid w:val="794D202A"/>
    <w:rsid w:val="795611DD"/>
    <w:rsid w:val="79570B04"/>
    <w:rsid w:val="79571433"/>
    <w:rsid w:val="79572BFF"/>
    <w:rsid w:val="795A60AB"/>
    <w:rsid w:val="7963519A"/>
    <w:rsid w:val="79642CC6"/>
    <w:rsid w:val="796632FE"/>
    <w:rsid w:val="796644DA"/>
    <w:rsid w:val="79697570"/>
    <w:rsid w:val="79706502"/>
    <w:rsid w:val="79723D0D"/>
    <w:rsid w:val="79740185"/>
    <w:rsid w:val="79756D0F"/>
    <w:rsid w:val="79796D4F"/>
    <w:rsid w:val="79841C43"/>
    <w:rsid w:val="7984609A"/>
    <w:rsid w:val="799559EE"/>
    <w:rsid w:val="799763E9"/>
    <w:rsid w:val="79A22FCC"/>
    <w:rsid w:val="79B1452F"/>
    <w:rsid w:val="79C04450"/>
    <w:rsid w:val="79CA6881"/>
    <w:rsid w:val="79CC76F6"/>
    <w:rsid w:val="79CD16E6"/>
    <w:rsid w:val="79CD3A71"/>
    <w:rsid w:val="79D833C4"/>
    <w:rsid w:val="79D92170"/>
    <w:rsid w:val="79DA2390"/>
    <w:rsid w:val="79DB3165"/>
    <w:rsid w:val="79DE7531"/>
    <w:rsid w:val="79DF6830"/>
    <w:rsid w:val="79E3376B"/>
    <w:rsid w:val="79EA2FB8"/>
    <w:rsid w:val="79F13FCA"/>
    <w:rsid w:val="79F75952"/>
    <w:rsid w:val="79F83F59"/>
    <w:rsid w:val="79F91C40"/>
    <w:rsid w:val="79FC3536"/>
    <w:rsid w:val="79FE122C"/>
    <w:rsid w:val="79FE669E"/>
    <w:rsid w:val="7A041F6D"/>
    <w:rsid w:val="7A095F46"/>
    <w:rsid w:val="7A13793E"/>
    <w:rsid w:val="7A1976F2"/>
    <w:rsid w:val="7A1B39AE"/>
    <w:rsid w:val="7A1C0142"/>
    <w:rsid w:val="7A1F0E92"/>
    <w:rsid w:val="7A2635DE"/>
    <w:rsid w:val="7A280613"/>
    <w:rsid w:val="7A332FCB"/>
    <w:rsid w:val="7A3A0A36"/>
    <w:rsid w:val="7A440B42"/>
    <w:rsid w:val="7A484CDC"/>
    <w:rsid w:val="7A531516"/>
    <w:rsid w:val="7A5C6B9A"/>
    <w:rsid w:val="7A5E58E8"/>
    <w:rsid w:val="7A6923F0"/>
    <w:rsid w:val="7A6E299B"/>
    <w:rsid w:val="7A6E37F7"/>
    <w:rsid w:val="7A7024A4"/>
    <w:rsid w:val="7A7100C8"/>
    <w:rsid w:val="7A7704BC"/>
    <w:rsid w:val="7A792F84"/>
    <w:rsid w:val="7A793176"/>
    <w:rsid w:val="7A7E1CED"/>
    <w:rsid w:val="7A854DC7"/>
    <w:rsid w:val="7A8A2EDE"/>
    <w:rsid w:val="7A8D6216"/>
    <w:rsid w:val="7A8D7AA8"/>
    <w:rsid w:val="7A9C2623"/>
    <w:rsid w:val="7AA1104B"/>
    <w:rsid w:val="7AA42443"/>
    <w:rsid w:val="7AB30ACD"/>
    <w:rsid w:val="7AB42B7F"/>
    <w:rsid w:val="7AB444E2"/>
    <w:rsid w:val="7ABD4637"/>
    <w:rsid w:val="7AC12A0F"/>
    <w:rsid w:val="7AC43FA0"/>
    <w:rsid w:val="7AC50AFA"/>
    <w:rsid w:val="7AC94D19"/>
    <w:rsid w:val="7AC96108"/>
    <w:rsid w:val="7ACB7C95"/>
    <w:rsid w:val="7ADC177F"/>
    <w:rsid w:val="7ADE3B57"/>
    <w:rsid w:val="7ADE4610"/>
    <w:rsid w:val="7AE00319"/>
    <w:rsid w:val="7AE977BC"/>
    <w:rsid w:val="7AF30787"/>
    <w:rsid w:val="7AF44C5D"/>
    <w:rsid w:val="7AF77804"/>
    <w:rsid w:val="7B1378FB"/>
    <w:rsid w:val="7B146EEE"/>
    <w:rsid w:val="7B150CF8"/>
    <w:rsid w:val="7B2405B2"/>
    <w:rsid w:val="7B2412DC"/>
    <w:rsid w:val="7B261848"/>
    <w:rsid w:val="7B27542E"/>
    <w:rsid w:val="7B281133"/>
    <w:rsid w:val="7B286FAA"/>
    <w:rsid w:val="7B317B25"/>
    <w:rsid w:val="7B3C0B18"/>
    <w:rsid w:val="7B4030FC"/>
    <w:rsid w:val="7B4056A3"/>
    <w:rsid w:val="7B464140"/>
    <w:rsid w:val="7B4B16B2"/>
    <w:rsid w:val="7B59266F"/>
    <w:rsid w:val="7B5A2055"/>
    <w:rsid w:val="7B5F5E48"/>
    <w:rsid w:val="7B684E8B"/>
    <w:rsid w:val="7B697887"/>
    <w:rsid w:val="7B701BF3"/>
    <w:rsid w:val="7B712690"/>
    <w:rsid w:val="7B7147E1"/>
    <w:rsid w:val="7B794623"/>
    <w:rsid w:val="7B7A1E99"/>
    <w:rsid w:val="7B7C749C"/>
    <w:rsid w:val="7B7F3652"/>
    <w:rsid w:val="7B811A80"/>
    <w:rsid w:val="7B851991"/>
    <w:rsid w:val="7B862A70"/>
    <w:rsid w:val="7B900202"/>
    <w:rsid w:val="7B9441EC"/>
    <w:rsid w:val="7B9660E7"/>
    <w:rsid w:val="7B982DE1"/>
    <w:rsid w:val="7B9F140A"/>
    <w:rsid w:val="7BA344D6"/>
    <w:rsid w:val="7BA6353D"/>
    <w:rsid w:val="7BAC396E"/>
    <w:rsid w:val="7BB26DB3"/>
    <w:rsid w:val="7BB9068F"/>
    <w:rsid w:val="7BBA5F8F"/>
    <w:rsid w:val="7BC14493"/>
    <w:rsid w:val="7BC17F69"/>
    <w:rsid w:val="7BC4695B"/>
    <w:rsid w:val="7BC93398"/>
    <w:rsid w:val="7BD0212C"/>
    <w:rsid w:val="7BD02224"/>
    <w:rsid w:val="7BD05102"/>
    <w:rsid w:val="7BD34688"/>
    <w:rsid w:val="7BD41BB9"/>
    <w:rsid w:val="7BD50509"/>
    <w:rsid w:val="7BD60FE4"/>
    <w:rsid w:val="7BE25C93"/>
    <w:rsid w:val="7BE6442E"/>
    <w:rsid w:val="7BE81F54"/>
    <w:rsid w:val="7BF40E20"/>
    <w:rsid w:val="7BFB3FCE"/>
    <w:rsid w:val="7BFE0D1E"/>
    <w:rsid w:val="7BFF0021"/>
    <w:rsid w:val="7BFF7D35"/>
    <w:rsid w:val="7C006E69"/>
    <w:rsid w:val="7C046051"/>
    <w:rsid w:val="7C083C55"/>
    <w:rsid w:val="7C085945"/>
    <w:rsid w:val="7C0B6E2D"/>
    <w:rsid w:val="7C0C0081"/>
    <w:rsid w:val="7C187077"/>
    <w:rsid w:val="7C1C3A43"/>
    <w:rsid w:val="7C1D0C7C"/>
    <w:rsid w:val="7C1D6069"/>
    <w:rsid w:val="7C2626B3"/>
    <w:rsid w:val="7C280509"/>
    <w:rsid w:val="7C3001C0"/>
    <w:rsid w:val="7C306FC3"/>
    <w:rsid w:val="7C326073"/>
    <w:rsid w:val="7C345244"/>
    <w:rsid w:val="7C364435"/>
    <w:rsid w:val="7C391D8B"/>
    <w:rsid w:val="7C3D173F"/>
    <w:rsid w:val="7C435D80"/>
    <w:rsid w:val="7C4366E0"/>
    <w:rsid w:val="7C4C347B"/>
    <w:rsid w:val="7C4C3EE3"/>
    <w:rsid w:val="7C4F5E21"/>
    <w:rsid w:val="7C520C55"/>
    <w:rsid w:val="7C5250BF"/>
    <w:rsid w:val="7C5272CA"/>
    <w:rsid w:val="7C5273F1"/>
    <w:rsid w:val="7C562D36"/>
    <w:rsid w:val="7C5B2F20"/>
    <w:rsid w:val="7C5D1350"/>
    <w:rsid w:val="7C65498B"/>
    <w:rsid w:val="7C6A6387"/>
    <w:rsid w:val="7C6B2E24"/>
    <w:rsid w:val="7C6C5283"/>
    <w:rsid w:val="7C6F7D12"/>
    <w:rsid w:val="7C727458"/>
    <w:rsid w:val="7C775ECB"/>
    <w:rsid w:val="7C834A34"/>
    <w:rsid w:val="7C860CB6"/>
    <w:rsid w:val="7C8675C8"/>
    <w:rsid w:val="7C8975CA"/>
    <w:rsid w:val="7C8A2C69"/>
    <w:rsid w:val="7C8C1131"/>
    <w:rsid w:val="7C8D3B1E"/>
    <w:rsid w:val="7C8E4882"/>
    <w:rsid w:val="7C993A30"/>
    <w:rsid w:val="7C9A1A78"/>
    <w:rsid w:val="7CA3347C"/>
    <w:rsid w:val="7CA45313"/>
    <w:rsid w:val="7CA84991"/>
    <w:rsid w:val="7CA97D7D"/>
    <w:rsid w:val="7CAD0A42"/>
    <w:rsid w:val="7CBA42F0"/>
    <w:rsid w:val="7CBB58ED"/>
    <w:rsid w:val="7CBE320E"/>
    <w:rsid w:val="7CC3051D"/>
    <w:rsid w:val="7CC60055"/>
    <w:rsid w:val="7CCA4091"/>
    <w:rsid w:val="7CD0139E"/>
    <w:rsid w:val="7CD50FFB"/>
    <w:rsid w:val="7CD5387C"/>
    <w:rsid w:val="7CDB308A"/>
    <w:rsid w:val="7CDE6EFD"/>
    <w:rsid w:val="7CE05A78"/>
    <w:rsid w:val="7CE166BE"/>
    <w:rsid w:val="7CE52578"/>
    <w:rsid w:val="7CE577D9"/>
    <w:rsid w:val="7CE7048B"/>
    <w:rsid w:val="7CF277A6"/>
    <w:rsid w:val="7CF35B20"/>
    <w:rsid w:val="7CFA0FEE"/>
    <w:rsid w:val="7CFA4897"/>
    <w:rsid w:val="7D055ECB"/>
    <w:rsid w:val="7D0564DB"/>
    <w:rsid w:val="7D084A67"/>
    <w:rsid w:val="7D0A1E42"/>
    <w:rsid w:val="7D0D6C00"/>
    <w:rsid w:val="7D111768"/>
    <w:rsid w:val="7D1E1A11"/>
    <w:rsid w:val="7D207B9C"/>
    <w:rsid w:val="7D2148F6"/>
    <w:rsid w:val="7D216877"/>
    <w:rsid w:val="7D2916FA"/>
    <w:rsid w:val="7D2F550A"/>
    <w:rsid w:val="7D307F1F"/>
    <w:rsid w:val="7D4744D0"/>
    <w:rsid w:val="7D4B6ED5"/>
    <w:rsid w:val="7D4D2838"/>
    <w:rsid w:val="7D512069"/>
    <w:rsid w:val="7D545068"/>
    <w:rsid w:val="7D5859F6"/>
    <w:rsid w:val="7D5927BA"/>
    <w:rsid w:val="7D5940B2"/>
    <w:rsid w:val="7D5C61BA"/>
    <w:rsid w:val="7D5C7534"/>
    <w:rsid w:val="7D5E7BDF"/>
    <w:rsid w:val="7D612983"/>
    <w:rsid w:val="7D670CBA"/>
    <w:rsid w:val="7D6C04A0"/>
    <w:rsid w:val="7D70231F"/>
    <w:rsid w:val="7D741F16"/>
    <w:rsid w:val="7D747288"/>
    <w:rsid w:val="7D797A50"/>
    <w:rsid w:val="7D7B0DB7"/>
    <w:rsid w:val="7D9517AB"/>
    <w:rsid w:val="7D9C3A24"/>
    <w:rsid w:val="7D9C3EF1"/>
    <w:rsid w:val="7D9D489A"/>
    <w:rsid w:val="7DA04785"/>
    <w:rsid w:val="7DA500A7"/>
    <w:rsid w:val="7DA9635F"/>
    <w:rsid w:val="7DB66825"/>
    <w:rsid w:val="7DBC43DD"/>
    <w:rsid w:val="7DC04B5F"/>
    <w:rsid w:val="7DC07183"/>
    <w:rsid w:val="7DC319E5"/>
    <w:rsid w:val="7DCD3F20"/>
    <w:rsid w:val="7DCE3F7B"/>
    <w:rsid w:val="7DDA72F5"/>
    <w:rsid w:val="7DDC076D"/>
    <w:rsid w:val="7DDE7674"/>
    <w:rsid w:val="7DE804E3"/>
    <w:rsid w:val="7DEA161C"/>
    <w:rsid w:val="7DEA41AE"/>
    <w:rsid w:val="7DF17648"/>
    <w:rsid w:val="7DF73F25"/>
    <w:rsid w:val="7DF9657E"/>
    <w:rsid w:val="7DFA6736"/>
    <w:rsid w:val="7DFD7D33"/>
    <w:rsid w:val="7E005074"/>
    <w:rsid w:val="7E036F65"/>
    <w:rsid w:val="7E050BD4"/>
    <w:rsid w:val="7E06711B"/>
    <w:rsid w:val="7E07350D"/>
    <w:rsid w:val="7E0F3A22"/>
    <w:rsid w:val="7E0F57DF"/>
    <w:rsid w:val="7E111FE6"/>
    <w:rsid w:val="7E1541F7"/>
    <w:rsid w:val="7E1820F8"/>
    <w:rsid w:val="7E1A2D7E"/>
    <w:rsid w:val="7E1A3A04"/>
    <w:rsid w:val="7E1F0989"/>
    <w:rsid w:val="7E2125DD"/>
    <w:rsid w:val="7E240D04"/>
    <w:rsid w:val="7E293A20"/>
    <w:rsid w:val="7E3903F3"/>
    <w:rsid w:val="7E392F5A"/>
    <w:rsid w:val="7E3D48A5"/>
    <w:rsid w:val="7E45586F"/>
    <w:rsid w:val="7E457266"/>
    <w:rsid w:val="7E475FAD"/>
    <w:rsid w:val="7E4935A0"/>
    <w:rsid w:val="7E4B05E8"/>
    <w:rsid w:val="7E4D4569"/>
    <w:rsid w:val="7E5513DB"/>
    <w:rsid w:val="7E554E26"/>
    <w:rsid w:val="7E5D518C"/>
    <w:rsid w:val="7E630E3A"/>
    <w:rsid w:val="7E6B1500"/>
    <w:rsid w:val="7E7134C3"/>
    <w:rsid w:val="7E735FB0"/>
    <w:rsid w:val="7E783A67"/>
    <w:rsid w:val="7E7D5D51"/>
    <w:rsid w:val="7E7E0499"/>
    <w:rsid w:val="7E8A680A"/>
    <w:rsid w:val="7E8B3E88"/>
    <w:rsid w:val="7E8F56CC"/>
    <w:rsid w:val="7E924FFA"/>
    <w:rsid w:val="7E991781"/>
    <w:rsid w:val="7EA542CA"/>
    <w:rsid w:val="7EA57D3E"/>
    <w:rsid w:val="7EAD3CD2"/>
    <w:rsid w:val="7EB2745B"/>
    <w:rsid w:val="7EB65352"/>
    <w:rsid w:val="7EBA6CC6"/>
    <w:rsid w:val="7EBB70D2"/>
    <w:rsid w:val="7EC7201E"/>
    <w:rsid w:val="7ECA306E"/>
    <w:rsid w:val="7ECC280E"/>
    <w:rsid w:val="7ECC5B01"/>
    <w:rsid w:val="7ED33362"/>
    <w:rsid w:val="7EDD0ED3"/>
    <w:rsid w:val="7EE22A3C"/>
    <w:rsid w:val="7EE25ABF"/>
    <w:rsid w:val="7EE4501D"/>
    <w:rsid w:val="7EE60045"/>
    <w:rsid w:val="7EE8399A"/>
    <w:rsid w:val="7EE94EF4"/>
    <w:rsid w:val="7EEA5A2C"/>
    <w:rsid w:val="7EEF6E1D"/>
    <w:rsid w:val="7EF50077"/>
    <w:rsid w:val="7EF9179B"/>
    <w:rsid w:val="7EF97286"/>
    <w:rsid w:val="7EFA2C7D"/>
    <w:rsid w:val="7EFB79C7"/>
    <w:rsid w:val="7EFE5E07"/>
    <w:rsid w:val="7F0C1147"/>
    <w:rsid w:val="7F150C33"/>
    <w:rsid w:val="7F15329D"/>
    <w:rsid w:val="7F196FB3"/>
    <w:rsid w:val="7F236C7A"/>
    <w:rsid w:val="7F276E2C"/>
    <w:rsid w:val="7F282A38"/>
    <w:rsid w:val="7F295466"/>
    <w:rsid w:val="7F304A85"/>
    <w:rsid w:val="7F313A0F"/>
    <w:rsid w:val="7F33013E"/>
    <w:rsid w:val="7F347748"/>
    <w:rsid w:val="7F3806D9"/>
    <w:rsid w:val="7F404832"/>
    <w:rsid w:val="7F43076F"/>
    <w:rsid w:val="7F451033"/>
    <w:rsid w:val="7F4C2F52"/>
    <w:rsid w:val="7F4E2C0E"/>
    <w:rsid w:val="7F523EE6"/>
    <w:rsid w:val="7F527DA8"/>
    <w:rsid w:val="7F5A46A2"/>
    <w:rsid w:val="7F5F04F4"/>
    <w:rsid w:val="7F654AF0"/>
    <w:rsid w:val="7F6849E0"/>
    <w:rsid w:val="7F690557"/>
    <w:rsid w:val="7F6907C1"/>
    <w:rsid w:val="7F6A2B6F"/>
    <w:rsid w:val="7F6F40E8"/>
    <w:rsid w:val="7F705C1E"/>
    <w:rsid w:val="7F7275AB"/>
    <w:rsid w:val="7F731943"/>
    <w:rsid w:val="7F791011"/>
    <w:rsid w:val="7F7A6981"/>
    <w:rsid w:val="7F874F13"/>
    <w:rsid w:val="7F9045A1"/>
    <w:rsid w:val="7F91675B"/>
    <w:rsid w:val="7FA67015"/>
    <w:rsid w:val="7FAC5754"/>
    <w:rsid w:val="7FAD2D27"/>
    <w:rsid w:val="7FB1701C"/>
    <w:rsid w:val="7FB5037C"/>
    <w:rsid w:val="7FB76642"/>
    <w:rsid w:val="7FBC5ADC"/>
    <w:rsid w:val="7FC21F76"/>
    <w:rsid w:val="7FC55655"/>
    <w:rsid w:val="7FC91C63"/>
    <w:rsid w:val="7FCF589E"/>
    <w:rsid w:val="7FD91E58"/>
    <w:rsid w:val="7FDF1552"/>
    <w:rsid w:val="7FDF7469"/>
    <w:rsid w:val="7FE064AE"/>
    <w:rsid w:val="7FE959CB"/>
    <w:rsid w:val="7FEB7EDB"/>
    <w:rsid w:val="7FEC2BF4"/>
    <w:rsid w:val="7FF52B3B"/>
    <w:rsid w:val="7FFA3C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qFormat="1" w:unhideWhenUsed="0" w:uiPriority="99" w:semiHidden="0" w:name="Note Heading"/>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qFormat="1" w:uiPriority="99" w:semiHidden="0"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99"/>
    <w:pPr>
      <w:spacing w:line="360" w:lineRule="auto"/>
      <w:jc w:val="center"/>
      <w:outlineLvl w:val="0"/>
    </w:pPr>
    <w:rPr>
      <w:b/>
      <w:bCs/>
      <w:kern w:val="44"/>
      <w:sz w:val="44"/>
      <w:szCs w:val="44"/>
    </w:rPr>
  </w:style>
  <w:style w:type="paragraph" w:styleId="4">
    <w:name w:val="heading 2"/>
    <w:basedOn w:val="1"/>
    <w:next w:val="1"/>
    <w:link w:val="53"/>
    <w:qFormat/>
    <w:uiPriority w:val="99"/>
    <w:pPr>
      <w:keepNext/>
      <w:keepLines/>
      <w:spacing w:before="260" w:after="260" w:line="360" w:lineRule="auto"/>
      <w:jc w:val="center"/>
      <w:outlineLvl w:val="1"/>
    </w:pPr>
    <w:rPr>
      <w:rFonts w:ascii="Cambria" w:hAnsi="Cambria"/>
      <w:b/>
      <w:bCs/>
      <w:kern w:val="0"/>
      <w:sz w:val="32"/>
      <w:szCs w:val="32"/>
    </w:rPr>
  </w:style>
  <w:style w:type="paragraph" w:styleId="5">
    <w:name w:val="heading 3"/>
    <w:basedOn w:val="1"/>
    <w:next w:val="1"/>
    <w:link w:val="54"/>
    <w:qFormat/>
    <w:uiPriority w:val="99"/>
    <w:pPr>
      <w:spacing w:line="360" w:lineRule="auto"/>
      <w:ind w:firstLine="482" w:firstLineChars="200"/>
      <w:outlineLvl w:val="2"/>
    </w:pPr>
    <w:rPr>
      <w:b/>
      <w:bCs/>
      <w:kern w:val="0"/>
      <w:sz w:val="32"/>
      <w:szCs w:val="32"/>
    </w:rPr>
  </w:style>
  <w:style w:type="paragraph" w:styleId="6">
    <w:name w:val="heading 4"/>
    <w:basedOn w:val="1"/>
    <w:next w:val="1"/>
    <w:link w:val="55"/>
    <w:qFormat/>
    <w:uiPriority w:val="99"/>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56"/>
    <w:qFormat/>
    <w:uiPriority w:val="99"/>
    <w:pPr>
      <w:keepNext/>
      <w:keepLines/>
      <w:spacing w:before="280" w:after="290" w:line="376" w:lineRule="auto"/>
      <w:outlineLvl w:val="4"/>
    </w:pPr>
    <w:rPr>
      <w:b/>
      <w:bCs/>
      <w:kern w:val="0"/>
      <w:sz w:val="28"/>
      <w:szCs w:val="28"/>
    </w:rPr>
  </w:style>
  <w:style w:type="paragraph" w:styleId="8">
    <w:name w:val="heading 6"/>
    <w:basedOn w:val="1"/>
    <w:next w:val="1"/>
    <w:link w:val="57"/>
    <w:qFormat/>
    <w:uiPriority w:val="99"/>
    <w:pPr>
      <w:keepNext/>
      <w:keepLines/>
      <w:spacing w:before="240" w:after="64" w:line="320" w:lineRule="auto"/>
      <w:outlineLvl w:val="5"/>
    </w:pPr>
    <w:rPr>
      <w:rFonts w:ascii="Cambria" w:hAnsi="Cambria"/>
      <w:b/>
      <w:bCs/>
      <w:kern w:val="0"/>
      <w:sz w:val="24"/>
    </w:rPr>
  </w:style>
  <w:style w:type="paragraph" w:styleId="9">
    <w:name w:val="heading 7"/>
    <w:basedOn w:val="1"/>
    <w:next w:val="1"/>
    <w:link w:val="58"/>
    <w:qFormat/>
    <w:uiPriority w:val="99"/>
    <w:pPr>
      <w:keepNext/>
      <w:keepLines/>
      <w:spacing w:before="240" w:after="64" w:line="320" w:lineRule="auto"/>
      <w:outlineLvl w:val="6"/>
    </w:pPr>
    <w:rPr>
      <w:b/>
      <w:bCs/>
      <w:kern w:val="0"/>
      <w:sz w:val="24"/>
    </w:rPr>
  </w:style>
  <w:style w:type="paragraph" w:styleId="10">
    <w:name w:val="heading 8"/>
    <w:basedOn w:val="1"/>
    <w:next w:val="1"/>
    <w:link w:val="59"/>
    <w:qFormat/>
    <w:uiPriority w:val="99"/>
    <w:pPr>
      <w:keepNext/>
      <w:keepLines/>
      <w:spacing w:before="240" w:after="64" w:line="320" w:lineRule="auto"/>
      <w:outlineLvl w:val="7"/>
    </w:pPr>
    <w:rPr>
      <w:rFonts w:ascii="Cambria" w:hAnsi="Cambria"/>
      <w:kern w:val="0"/>
      <w:sz w:val="24"/>
    </w:rPr>
  </w:style>
  <w:style w:type="paragraph" w:styleId="11">
    <w:name w:val="heading 9"/>
    <w:basedOn w:val="1"/>
    <w:next w:val="1"/>
    <w:link w:val="60"/>
    <w:qFormat/>
    <w:uiPriority w:val="99"/>
    <w:pPr>
      <w:keepNext/>
      <w:keepLines/>
      <w:spacing w:before="240" w:after="64" w:line="320" w:lineRule="auto"/>
      <w:outlineLvl w:val="8"/>
    </w:pPr>
    <w:rPr>
      <w:rFonts w:ascii="Cambria" w:hAnsi="Cambria"/>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12">
    <w:name w:val="Note Heading"/>
    <w:basedOn w:val="1"/>
    <w:next w:val="1"/>
    <w:link w:val="61"/>
    <w:qFormat/>
    <w:uiPriority w:val="99"/>
    <w:pPr>
      <w:jc w:val="center"/>
    </w:pPr>
    <w:rPr>
      <w:kern w:val="0"/>
      <w:sz w:val="24"/>
    </w:rPr>
  </w:style>
  <w:style w:type="paragraph" w:styleId="13">
    <w:name w:val="Normal Indent"/>
    <w:basedOn w:val="1"/>
    <w:qFormat/>
    <w:uiPriority w:val="99"/>
    <w:pPr>
      <w:spacing w:after="120" w:line="360" w:lineRule="auto"/>
      <w:ind w:firstLine="420"/>
    </w:pPr>
    <w:rPr>
      <w:sz w:val="24"/>
      <w:szCs w:val="20"/>
    </w:rPr>
  </w:style>
  <w:style w:type="paragraph" w:styleId="14">
    <w:name w:val="caption"/>
    <w:basedOn w:val="1"/>
    <w:next w:val="1"/>
    <w:semiHidden/>
    <w:unhideWhenUsed/>
    <w:qFormat/>
    <w:locked/>
    <w:uiPriority w:val="35"/>
    <w:rPr>
      <w:rFonts w:ascii="Cambria" w:hAnsi="Cambria" w:eastAsia="黑体"/>
      <w:sz w:val="20"/>
      <w:szCs w:val="20"/>
    </w:rPr>
  </w:style>
  <w:style w:type="paragraph" w:styleId="15">
    <w:name w:val="index 5"/>
    <w:basedOn w:val="1"/>
    <w:next w:val="1"/>
    <w:qFormat/>
    <w:locked/>
    <w:uiPriority w:val="0"/>
    <w:pPr>
      <w:ind w:left="1680"/>
    </w:pPr>
  </w:style>
  <w:style w:type="paragraph" w:styleId="16">
    <w:name w:val="Document Map"/>
    <w:basedOn w:val="1"/>
    <w:link w:val="62"/>
    <w:semiHidden/>
    <w:qFormat/>
    <w:locked/>
    <w:uiPriority w:val="99"/>
    <w:rPr>
      <w:rFonts w:ascii="宋体"/>
      <w:sz w:val="18"/>
      <w:szCs w:val="18"/>
    </w:rPr>
  </w:style>
  <w:style w:type="paragraph" w:styleId="17">
    <w:name w:val="annotation text"/>
    <w:basedOn w:val="1"/>
    <w:unhideWhenUsed/>
    <w:qFormat/>
    <w:locked/>
    <w:uiPriority w:val="99"/>
    <w:pPr>
      <w:jc w:val="left"/>
    </w:pPr>
  </w:style>
  <w:style w:type="paragraph" w:styleId="18">
    <w:name w:val="Body Text"/>
    <w:basedOn w:val="1"/>
    <w:next w:val="19"/>
    <w:link w:val="63"/>
    <w:qFormat/>
    <w:uiPriority w:val="99"/>
    <w:pPr>
      <w:snapToGrid w:val="0"/>
      <w:spacing w:line="300" w:lineRule="auto"/>
    </w:pPr>
    <w:rPr>
      <w:kern w:val="0"/>
      <w:sz w:val="24"/>
    </w:rPr>
  </w:style>
  <w:style w:type="paragraph" w:customStyle="1" w:styleId="19">
    <w:name w:val="Default"/>
    <w:next w:val="15"/>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20">
    <w:name w:val="Body Text Indent"/>
    <w:basedOn w:val="1"/>
    <w:link w:val="64"/>
    <w:qFormat/>
    <w:uiPriority w:val="99"/>
    <w:pPr>
      <w:spacing w:line="460" w:lineRule="exact"/>
      <w:ind w:firstLine="570"/>
    </w:pPr>
    <w:rPr>
      <w:kern w:val="0"/>
      <w:sz w:val="24"/>
    </w:rPr>
  </w:style>
  <w:style w:type="paragraph" w:styleId="21">
    <w:name w:val="toc 3"/>
    <w:basedOn w:val="1"/>
    <w:next w:val="1"/>
    <w:qFormat/>
    <w:uiPriority w:val="99"/>
    <w:pPr>
      <w:ind w:left="840" w:leftChars="400"/>
    </w:pPr>
  </w:style>
  <w:style w:type="paragraph" w:styleId="22">
    <w:name w:val="Plain Text"/>
    <w:basedOn w:val="1"/>
    <w:link w:val="65"/>
    <w:qFormat/>
    <w:uiPriority w:val="99"/>
    <w:pPr>
      <w:adjustRightInd w:val="0"/>
      <w:spacing w:line="335" w:lineRule="atLeast"/>
      <w:textAlignment w:val="baseline"/>
    </w:pPr>
    <w:rPr>
      <w:rFonts w:ascii="宋体" w:hAnsi="Courier New"/>
      <w:kern w:val="0"/>
      <w:szCs w:val="21"/>
    </w:rPr>
  </w:style>
  <w:style w:type="paragraph" w:styleId="23">
    <w:name w:val="Date"/>
    <w:basedOn w:val="1"/>
    <w:next w:val="1"/>
    <w:link w:val="66"/>
    <w:qFormat/>
    <w:uiPriority w:val="99"/>
    <w:pPr>
      <w:ind w:left="100" w:leftChars="2500"/>
    </w:pPr>
    <w:rPr>
      <w:kern w:val="0"/>
      <w:sz w:val="24"/>
    </w:rPr>
  </w:style>
  <w:style w:type="paragraph" w:styleId="24">
    <w:name w:val="Body Text Indent 2"/>
    <w:basedOn w:val="1"/>
    <w:link w:val="67"/>
    <w:qFormat/>
    <w:uiPriority w:val="99"/>
    <w:pPr>
      <w:spacing w:line="460" w:lineRule="exact"/>
      <w:ind w:firstLine="570"/>
    </w:pPr>
    <w:rPr>
      <w:kern w:val="0"/>
      <w:sz w:val="24"/>
    </w:rPr>
  </w:style>
  <w:style w:type="paragraph" w:styleId="25">
    <w:name w:val="Balloon Text"/>
    <w:basedOn w:val="1"/>
    <w:link w:val="68"/>
    <w:qFormat/>
    <w:uiPriority w:val="99"/>
    <w:rPr>
      <w:kern w:val="0"/>
      <w:sz w:val="16"/>
      <w:szCs w:val="16"/>
    </w:rPr>
  </w:style>
  <w:style w:type="paragraph" w:styleId="26">
    <w:name w:val="footer"/>
    <w:basedOn w:val="1"/>
    <w:link w:val="69"/>
    <w:qFormat/>
    <w:uiPriority w:val="99"/>
    <w:pPr>
      <w:tabs>
        <w:tab w:val="center" w:pos="4153"/>
        <w:tab w:val="right" w:pos="8306"/>
      </w:tabs>
      <w:snapToGrid w:val="0"/>
      <w:jc w:val="left"/>
    </w:pPr>
    <w:rPr>
      <w:kern w:val="0"/>
      <w:sz w:val="18"/>
      <w:szCs w:val="18"/>
    </w:rPr>
  </w:style>
  <w:style w:type="paragraph" w:styleId="27">
    <w:name w:val="header"/>
    <w:basedOn w:val="1"/>
    <w:link w:val="70"/>
    <w:qFormat/>
    <w:uiPriority w:val="99"/>
    <w:pPr>
      <w:tabs>
        <w:tab w:val="center" w:pos="4153"/>
        <w:tab w:val="right" w:pos="8306"/>
      </w:tabs>
      <w:snapToGrid w:val="0"/>
      <w:jc w:val="center"/>
    </w:pPr>
    <w:rPr>
      <w:kern w:val="0"/>
      <w:sz w:val="18"/>
      <w:szCs w:val="18"/>
    </w:rPr>
  </w:style>
  <w:style w:type="paragraph" w:styleId="28">
    <w:name w:val="toc 1"/>
    <w:basedOn w:val="1"/>
    <w:next w:val="1"/>
    <w:qFormat/>
    <w:uiPriority w:val="99"/>
    <w:pPr>
      <w:tabs>
        <w:tab w:val="right" w:leader="dot" w:pos="9344"/>
      </w:tabs>
    </w:pPr>
  </w:style>
  <w:style w:type="paragraph" w:styleId="29">
    <w:name w:val="Body Text Indent 3"/>
    <w:basedOn w:val="1"/>
    <w:link w:val="71"/>
    <w:qFormat/>
    <w:uiPriority w:val="99"/>
    <w:pPr>
      <w:spacing w:after="120"/>
      <w:ind w:left="420"/>
    </w:pPr>
    <w:rPr>
      <w:kern w:val="0"/>
      <w:sz w:val="16"/>
      <w:szCs w:val="16"/>
    </w:rPr>
  </w:style>
  <w:style w:type="paragraph" w:styleId="30">
    <w:name w:val="toc 2"/>
    <w:basedOn w:val="1"/>
    <w:next w:val="1"/>
    <w:qFormat/>
    <w:uiPriority w:val="99"/>
    <w:pPr>
      <w:ind w:left="420" w:leftChars="200"/>
    </w:pPr>
  </w:style>
  <w:style w:type="paragraph" w:styleId="31">
    <w:name w:val="HTML Preformatted"/>
    <w:basedOn w:val="1"/>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next w:val="19"/>
    <w:qFormat/>
    <w:uiPriority w:val="99"/>
    <w:pPr>
      <w:widowControl/>
      <w:spacing w:before="100" w:beforeAutospacing="1" w:after="100" w:afterAutospacing="1"/>
      <w:jc w:val="left"/>
    </w:pPr>
    <w:rPr>
      <w:rFonts w:ascii="宋体" w:hAnsi="宋体" w:cs="宋体"/>
      <w:kern w:val="0"/>
      <w:sz w:val="24"/>
    </w:rPr>
  </w:style>
  <w:style w:type="paragraph" w:styleId="33">
    <w:name w:val="index 1"/>
    <w:basedOn w:val="1"/>
    <w:next w:val="1"/>
    <w:qFormat/>
    <w:uiPriority w:val="99"/>
  </w:style>
  <w:style w:type="paragraph" w:styleId="34">
    <w:name w:val="index 2"/>
    <w:basedOn w:val="1"/>
    <w:next w:val="1"/>
    <w:qFormat/>
    <w:uiPriority w:val="99"/>
    <w:pPr>
      <w:ind w:left="200" w:leftChars="200"/>
    </w:pPr>
  </w:style>
  <w:style w:type="paragraph" w:styleId="35">
    <w:name w:val="Title"/>
    <w:basedOn w:val="1"/>
    <w:next w:val="1"/>
    <w:link w:val="72"/>
    <w:qFormat/>
    <w:uiPriority w:val="99"/>
    <w:pPr>
      <w:spacing w:before="240" w:after="60"/>
      <w:jc w:val="center"/>
      <w:outlineLvl w:val="0"/>
    </w:pPr>
    <w:rPr>
      <w:rFonts w:ascii="Cambria" w:hAnsi="Cambria"/>
      <w:b/>
      <w:bCs/>
      <w:sz w:val="32"/>
      <w:szCs w:val="32"/>
    </w:rPr>
  </w:style>
  <w:style w:type="paragraph" w:styleId="36">
    <w:name w:val="Body Text First Indent"/>
    <w:basedOn w:val="18"/>
    <w:unhideWhenUsed/>
    <w:qFormat/>
    <w:locked/>
    <w:uiPriority w:val="99"/>
    <w:pPr>
      <w:tabs>
        <w:tab w:val="left" w:pos="420"/>
      </w:tabs>
      <w:ind w:firstLine="420" w:firstLineChars="100"/>
    </w:pPr>
  </w:style>
  <w:style w:type="paragraph" w:styleId="37">
    <w:name w:val="Body Text First Indent 2"/>
    <w:basedOn w:val="20"/>
    <w:qFormat/>
    <w:locked/>
    <w:uiPriority w:val="0"/>
    <w:pPr>
      <w:spacing w:after="120" w:line="240" w:lineRule="auto"/>
      <w:ind w:left="420" w:leftChars="200" w:firstLine="420" w:firstLineChars="200"/>
    </w:pPr>
    <w:rPr>
      <w:sz w:val="21"/>
    </w:rPr>
  </w:style>
  <w:style w:type="table" w:styleId="39">
    <w:name w:val="Table Grid"/>
    <w:basedOn w:val="3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99"/>
    <w:rPr>
      <w:rFonts w:cs="Times New Roman"/>
      <w:b/>
      <w:bCs/>
    </w:rPr>
  </w:style>
  <w:style w:type="character" w:styleId="42">
    <w:name w:val="page number"/>
    <w:basedOn w:val="40"/>
    <w:qFormat/>
    <w:uiPriority w:val="99"/>
    <w:rPr>
      <w:rFonts w:cs="Times New Roman"/>
    </w:rPr>
  </w:style>
  <w:style w:type="character" w:styleId="43">
    <w:name w:val="FollowedHyperlink"/>
    <w:qFormat/>
    <w:uiPriority w:val="99"/>
    <w:rPr>
      <w:rFonts w:cs="Times New Roman"/>
      <w:color w:val="800080"/>
      <w:u w:val="single"/>
    </w:rPr>
  </w:style>
  <w:style w:type="character" w:styleId="44">
    <w:name w:val="Emphasis"/>
    <w:basedOn w:val="40"/>
    <w:qFormat/>
    <w:locked/>
    <w:uiPriority w:val="20"/>
  </w:style>
  <w:style w:type="character" w:styleId="45">
    <w:name w:val="HTML Definition"/>
    <w:basedOn w:val="40"/>
    <w:unhideWhenUsed/>
    <w:qFormat/>
    <w:locked/>
    <w:uiPriority w:val="99"/>
  </w:style>
  <w:style w:type="character" w:styleId="46">
    <w:name w:val="HTML Acronym"/>
    <w:basedOn w:val="40"/>
    <w:unhideWhenUsed/>
    <w:qFormat/>
    <w:locked/>
    <w:uiPriority w:val="99"/>
  </w:style>
  <w:style w:type="character" w:styleId="47">
    <w:name w:val="HTML Variable"/>
    <w:basedOn w:val="40"/>
    <w:unhideWhenUsed/>
    <w:qFormat/>
    <w:locked/>
    <w:uiPriority w:val="99"/>
  </w:style>
  <w:style w:type="character" w:styleId="48">
    <w:name w:val="Hyperlink"/>
    <w:basedOn w:val="40"/>
    <w:qFormat/>
    <w:uiPriority w:val="99"/>
    <w:rPr>
      <w:rFonts w:ascii="Times New Roman" w:cs="Times New Roman"/>
      <w:color w:val="0000FF"/>
      <w:u w:val="single"/>
    </w:rPr>
  </w:style>
  <w:style w:type="character" w:styleId="49">
    <w:name w:val="HTML Code"/>
    <w:unhideWhenUsed/>
    <w:qFormat/>
    <w:locked/>
    <w:uiPriority w:val="99"/>
    <w:rPr>
      <w:rFonts w:ascii="Courier New" w:hAnsi="Courier New"/>
      <w:sz w:val="20"/>
    </w:rPr>
  </w:style>
  <w:style w:type="character" w:styleId="50">
    <w:name w:val="HTML Cite"/>
    <w:basedOn w:val="40"/>
    <w:unhideWhenUsed/>
    <w:qFormat/>
    <w:locked/>
    <w:uiPriority w:val="99"/>
  </w:style>
  <w:style w:type="paragraph" w:customStyle="1" w:styleId="51">
    <w:name w:val="Char1"/>
    <w:basedOn w:val="1"/>
    <w:qFormat/>
    <w:uiPriority w:val="0"/>
  </w:style>
  <w:style w:type="character" w:customStyle="1" w:styleId="52">
    <w:name w:val="标题 1 Char"/>
    <w:link w:val="3"/>
    <w:qFormat/>
    <w:locked/>
    <w:uiPriority w:val="99"/>
    <w:rPr>
      <w:rFonts w:cs="Times New Roman"/>
      <w:b/>
      <w:bCs/>
      <w:kern w:val="44"/>
      <w:sz w:val="44"/>
      <w:szCs w:val="44"/>
    </w:rPr>
  </w:style>
  <w:style w:type="character" w:customStyle="1" w:styleId="53">
    <w:name w:val="标题 2 Char"/>
    <w:link w:val="4"/>
    <w:semiHidden/>
    <w:qFormat/>
    <w:locked/>
    <w:uiPriority w:val="99"/>
    <w:rPr>
      <w:rFonts w:ascii="Cambria" w:hAnsi="Cambria" w:eastAsia="宋体" w:cs="黑体"/>
      <w:b/>
      <w:bCs/>
      <w:sz w:val="32"/>
      <w:szCs w:val="32"/>
    </w:rPr>
  </w:style>
  <w:style w:type="character" w:customStyle="1" w:styleId="54">
    <w:name w:val="标题 3 Char"/>
    <w:link w:val="5"/>
    <w:semiHidden/>
    <w:qFormat/>
    <w:locked/>
    <w:uiPriority w:val="99"/>
    <w:rPr>
      <w:rFonts w:cs="Times New Roman"/>
      <w:b/>
      <w:bCs/>
      <w:sz w:val="32"/>
      <w:szCs w:val="32"/>
    </w:rPr>
  </w:style>
  <w:style w:type="character" w:customStyle="1" w:styleId="55">
    <w:name w:val="标题 4 Char"/>
    <w:link w:val="6"/>
    <w:semiHidden/>
    <w:qFormat/>
    <w:locked/>
    <w:uiPriority w:val="99"/>
    <w:rPr>
      <w:rFonts w:ascii="Cambria" w:hAnsi="Cambria" w:eastAsia="宋体" w:cs="黑体"/>
      <w:b/>
      <w:bCs/>
      <w:sz w:val="28"/>
      <w:szCs w:val="28"/>
    </w:rPr>
  </w:style>
  <w:style w:type="character" w:customStyle="1" w:styleId="56">
    <w:name w:val="标题 5 Char"/>
    <w:link w:val="7"/>
    <w:semiHidden/>
    <w:qFormat/>
    <w:locked/>
    <w:uiPriority w:val="99"/>
    <w:rPr>
      <w:rFonts w:cs="Times New Roman"/>
      <w:b/>
      <w:bCs/>
      <w:sz w:val="28"/>
      <w:szCs w:val="28"/>
    </w:rPr>
  </w:style>
  <w:style w:type="character" w:customStyle="1" w:styleId="57">
    <w:name w:val="标题 6 Char"/>
    <w:link w:val="8"/>
    <w:semiHidden/>
    <w:qFormat/>
    <w:locked/>
    <w:uiPriority w:val="99"/>
    <w:rPr>
      <w:rFonts w:ascii="Cambria" w:hAnsi="Cambria" w:eastAsia="宋体" w:cs="黑体"/>
      <w:b/>
      <w:bCs/>
      <w:sz w:val="24"/>
      <w:szCs w:val="24"/>
    </w:rPr>
  </w:style>
  <w:style w:type="character" w:customStyle="1" w:styleId="58">
    <w:name w:val="标题 7 Char"/>
    <w:link w:val="9"/>
    <w:semiHidden/>
    <w:qFormat/>
    <w:locked/>
    <w:uiPriority w:val="99"/>
    <w:rPr>
      <w:rFonts w:cs="Times New Roman"/>
      <w:b/>
      <w:bCs/>
      <w:sz w:val="24"/>
      <w:szCs w:val="24"/>
    </w:rPr>
  </w:style>
  <w:style w:type="character" w:customStyle="1" w:styleId="59">
    <w:name w:val="标题 8 Char"/>
    <w:link w:val="10"/>
    <w:semiHidden/>
    <w:qFormat/>
    <w:locked/>
    <w:uiPriority w:val="99"/>
    <w:rPr>
      <w:rFonts w:ascii="Cambria" w:hAnsi="Cambria" w:eastAsia="宋体" w:cs="黑体"/>
      <w:sz w:val="24"/>
      <w:szCs w:val="24"/>
    </w:rPr>
  </w:style>
  <w:style w:type="character" w:customStyle="1" w:styleId="60">
    <w:name w:val="标题 9 Char"/>
    <w:link w:val="11"/>
    <w:semiHidden/>
    <w:qFormat/>
    <w:locked/>
    <w:uiPriority w:val="99"/>
    <w:rPr>
      <w:rFonts w:ascii="Cambria" w:hAnsi="Cambria" w:eastAsia="宋体" w:cs="黑体"/>
      <w:sz w:val="21"/>
      <w:szCs w:val="21"/>
    </w:rPr>
  </w:style>
  <w:style w:type="character" w:customStyle="1" w:styleId="61">
    <w:name w:val="注释标题 Char"/>
    <w:link w:val="12"/>
    <w:semiHidden/>
    <w:qFormat/>
    <w:locked/>
    <w:uiPriority w:val="99"/>
    <w:rPr>
      <w:rFonts w:cs="Times New Roman"/>
      <w:sz w:val="24"/>
      <w:szCs w:val="24"/>
    </w:rPr>
  </w:style>
  <w:style w:type="character" w:customStyle="1" w:styleId="62">
    <w:name w:val="文档结构图 Char"/>
    <w:link w:val="16"/>
    <w:semiHidden/>
    <w:qFormat/>
    <w:locked/>
    <w:uiPriority w:val="99"/>
    <w:rPr>
      <w:rFonts w:ascii="宋体" w:cs="Times New Roman"/>
      <w:kern w:val="2"/>
      <w:sz w:val="18"/>
      <w:szCs w:val="18"/>
    </w:rPr>
  </w:style>
  <w:style w:type="character" w:customStyle="1" w:styleId="63">
    <w:name w:val="正文文本 Char"/>
    <w:link w:val="18"/>
    <w:semiHidden/>
    <w:qFormat/>
    <w:locked/>
    <w:uiPriority w:val="99"/>
    <w:rPr>
      <w:rFonts w:cs="Times New Roman"/>
      <w:sz w:val="24"/>
      <w:szCs w:val="24"/>
    </w:rPr>
  </w:style>
  <w:style w:type="character" w:customStyle="1" w:styleId="64">
    <w:name w:val="正文文本缩进 Char"/>
    <w:link w:val="20"/>
    <w:semiHidden/>
    <w:qFormat/>
    <w:locked/>
    <w:uiPriority w:val="99"/>
    <w:rPr>
      <w:rFonts w:cs="Times New Roman"/>
      <w:sz w:val="24"/>
      <w:szCs w:val="24"/>
    </w:rPr>
  </w:style>
  <w:style w:type="character" w:customStyle="1" w:styleId="65">
    <w:name w:val="纯文本 Char"/>
    <w:link w:val="22"/>
    <w:semiHidden/>
    <w:qFormat/>
    <w:locked/>
    <w:uiPriority w:val="99"/>
    <w:rPr>
      <w:rFonts w:ascii="宋体" w:hAnsi="Courier New" w:cs="Courier New"/>
      <w:sz w:val="21"/>
      <w:szCs w:val="21"/>
    </w:rPr>
  </w:style>
  <w:style w:type="character" w:customStyle="1" w:styleId="66">
    <w:name w:val="日期 Char"/>
    <w:link w:val="23"/>
    <w:semiHidden/>
    <w:qFormat/>
    <w:locked/>
    <w:uiPriority w:val="99"/>
    <w:rPr>
      <w:rFonts w:cs="Times New Roman"/>
      <w:sz w:val="24"/>
      <w:szCs w:val="24"/>
    </w:rPr>
  </w:style>
  <w:style w:type="character" w:customStyle="1" w:styleId="67">
    <w:name w:val="正文文本缩进 2 Char"/>
    <w:link w:val="24"/>
    <w:semiHidden/>
    <w:qFormat/>
    <w:locked/>
    <w:uiPriority w:val="99"/>
    <w:rPr>
      <w:rFonts w:cs="Times New Roman"/>
      <w:sz w:val="24"/>
      <w:szCs w:val="24"/>
    </w:rPr>
  </w:style>
  <w:style w:type="character" w:customStyle="1" w:styleId="68">
    <w:name w:val="批注框文本 Char"/>
    <w:link w:val="25"/>
    <w:semiHidden/>
    <w:qFormat/>
    <w:locked/>
    <w:uiPriority w:val="99"/>
    <w:rPr>
      <w:rFonts w:cs="Times New Roman"/>
      <w:sz w:val="16"/>
      <w:szCs w:val="16"/>
    </w:rPr>
  </w:style>
  <w:style w:type="character" w:customStyle="1" w:styleId="69">
    <w:name w:val="页脚 Char"/>
    <w:link w:val="26"/>
    <w:semiHidden/>
    <w:qFormat/>
    <w:locked/>
    <w:uiPriority w:val="99"/>
    <w:rPr>
      <w:rFonts w:cs="Times New Roman"/>
      <w:sz w:val="18"/>
      <w:szCs w:val="18"/>
    </w:rPr>
  </w:style>
  <w:style w:type="character" w:customStyle="1" w:styleId="70">
    <w:name w:val="页眉 Char"/>
    <w:link w:val="27"/>
    <w:semiHidden/>
    <w:qFormat/>
    <w:locked/>
    <w:uiPriority w:val="99"/>
    <w:rPr>
      <w:rFonts w:cs="Times New Roman"/>
      <w:sz w:val="18"/>
      <w:szCs w:val="18"/>
    </w:rPr>
  </w:style>
  <w:style w:type="character" w:customStyle="1" w:styleId="71">
    <w:name w:val="正文文本缩进 3 Char"/>
    <w:link w:val="29"/>
    <w:semiHidden/>
    <w:qFormat/>
    <w:locked/>
    <w:uiPriority w:val="99"/>
    <w:rPr>
      <w:rFonts w:cs="Times New Roman"/>
      <w:sz w:val="16"/>
      <w:szCs w:val="16"/>
    </w:rPr>
  </w:style>
  <w:style w:type="character" w:customStyle="1" w:styleId="72">
    <w:name w:val="标题 Char"/>
    <w:link w:val="35"/>
    <w:qFormat/>
    <w:locked/>
    <w:uiPriority w:val="99"/>
    <w:rPr>
      <w:rFonts w:ascii="Cambria" w:hAnsi="Cambria" w:cs="Times New Roman"/>
      <w:b/>
      <w:bCs/>
      <w:kern w:val="2"/>
      <w:sz w:val="32"/>
      <w:szCs w:val="32"/>
    </w:rPr>
  </w:style>
  <w:style w:type="paragraph" w:customStyle="1" w:styleId="73">
    <w:name w:val="Char Char Char Char"/>
    <w:basedOn w:val="1"/>
    <w:qFormat/>
    <w:uiPriority w:val="99"/>
    <w:pPr>
      <w:widowControl/>
      <w:spacing w:after="160" w:line="240" w:lineRule="exact"/>
      <w:jc w:val="left"/>
    </w:pPr>
    <w:rPr>
      <w:rFonts w:ascii="Verdana" w:hAnsi="Verdana"/>
      <w:kern w:val="0"/>
      <w:szCs w:val="20"/>
      <w:lang w:eastAsia="en-US"/>
    </w:rPr>
  </w:style>
  <w:style w:type="paragraph" w:customStyle="1" w:styleId="74">
    <w:name w:val="表中"/>
    <w:basedOn w:val="1"/>
    <w:qFormat/>
    <w:uiPriority w:val="99"/>
    <w:pPr>
      <w:adjustRightInd w:val="0"/>
      <w:snapToGrid w:val="0"/>
      <w:spacing w:line="420" w:lineRule="atLeast"/>
      <w:jc w:val="center"/>
      <w:textAlignment w:val="baseline"/>
    </w:pPr>
    <w:rPr>
      <w:kern w:val="0"/>
      <w:szCs w:val="20"/>
    </w:rPr>
  </w:style>
  <w:style w:type="paragraph" w:customStyle="1" w:styleId="75">
    <w:name w:val="样式1"/>
    <w:basedOn w:val="1"/>
    <w:qFormat/>
    <w:uiPriority w:val="99"/>
    <w:pPr>
      <w:tabs>
        <w:tab w:val="left" w:pos="360"/>
      </w:tabs>
    </w:pPr>
  </w:style>
  <w:style w:type="paragraph" w:customStyle="1" w:styleId="76">
    <w:name w:val="附件正文"/>
    <w:basedOn w:val="1"/>
    <w:qFormat/>
    <w:uiPriority w:val="99"/>
    <w:pPr>
      <w:snapToGrid w:val="0"/>
    </w:pPr>
    <w:rPr>
      <w:kern w:val="0"/>
      <w:sz w:val="24"/>
    </w:rPr>
  </w:style>
  <w:style w:type="paragraph" w:customStyle="1" w:styleId="77">
    <w:name w:val="列出段落1"/>
    <w:basedOn w:val="1"/>
    <w:qFormat/>
    <w:uiPriority w:val="99"/>
    <w:pPr>
      <w:ind w:firstLine="420" w:firstLineChars="200"/>
    </w:pPr>
  </w:style>
  <w:style w:type="paragraph" w:customStyle="1" w:styleId="78">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79">
    <w:name w:val="注"/>
    <w:basedOn w:val="1"/>
    <w:qFormat/>
    <w:uiPriority w:val="99"/>
    <w:pPr>
      <w:adjustRightInd w:val="0"/>
      <w:spacing w:line="420" w:lineRule="atLeast"/>
      <w:ind w:firstLine="340"/>
      <w:textAlignment w:val="baseline"/>
    </w:pPr>
    <w:rPr>
      <w:kern w:val="0"/>
      <w:sz w:val="18"/>
      <w:szCs w:val="20"/>
    </w:rPr>
  </w:style>
  <w:style w:type="paragraph" w:customStyle="1" w:styleId="80">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81">
    <w:name w:val="1"/>
    <w:basedOn w:val="1"/>
    <w:next w:val="18"/>
    <w:qFormat/>
    <w:uiPriority w:val="99"/>
    <w:pPr>
      <w:autoSpaceDE w:val="0"/>
      <w:autoSpaceDN w:val="0"/>
      <w:adjustRightInd w:val="0"/>
      <w:jc w:val="left"/>
      <w:textAlignment w:val="baseline"/>
    </w:pPr>
    <w:rPr>
      <w:rFonts w:ascii="宋体"/>
      <w:kern w:val="0"/>
      <w:sz w:val="28"/>
      <w:szCs w:val="20"/>
    </w:rPr>
  </w:style>
  <w:style w:type="paragraph" w:customStyle="1" w:styleId="82">
    <w:name w:val="标题4"/>
    <w:basedOn w:val="1"/>
    <w:qFormat/>
    <w:uiPriority w:val="99"/>
    <w:pPr>
      <w:spacing w:beforeLines="100" w:afterLines="100" w:line="360" w:lineRule="auto"/>
    </w:pPr>
    <w:rPr>
      <w:sz w:val="28"/>
    </w:rPr>
  </w:style>
  <w:style w:type="paragraph" w:customStyle="1" w:styleId="83">
    <w:name w:val="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84">
    <w:name w:val="列出段落2"/>
    <w:basedOn w:val="1"/>
    <w:qFormat/>
    <w:uiPriority w:val="99"/>
    <w:pPr>
      <w:ind w:firstLine="420" w:firstLineChars="200"/>
    </w:pPr>
    <w:rPr>
      <w:rFonts w:ascii="Calibri" w:hAnsi="Calibri"/>
      <w:szCs w:val="22"/>
    </w:rPr>
  </w:style>
  <w:style w:type="paragraph" w:customStyle="1" w:styleId="85">
    <w:name w:val="列出段落3"/>
    <w:basedOn w:val="1"/>
    <w:qFormat/>
    <w:uiPriority w:val="99"/>
    <w:pPr>
      <w:ind w:firstLine="420" w:firstLineChars="200"/>
    </w:pPr>
    <w:rPr>
      <w:rFonts w:ascii="Calibri" w:hAnsi="Calibri"/>
      <w:szCs w:val="22"/>
    </w:rPr>
  </w:style>
  <w:style w:type="paragraph" w:customStyle="1" w:styleId="86">
    <w:name w:val="font5"/>
    <w:basedOn w:val="1"/>
    <w:qFormat/>
    <w:uiPriority w:val="99"/>
    <w:pPr>
      <w:widowControl/>
      <w:spacing w:before="100" w:beforeAutospacing="1" w:after="100" w:afterAutospacing="1"/>
      <w:jc w:val="left"/>
    </w:pPr>
    <w:rPr>
      <w:rFonts w:ascii="宋体" w:hAnsi="宋体" w:cs="宋体"/>
      <w:kern w:val="0"/>
      <w:sz w:val="22"/>
      <w:szCs w:val="22"/>
    </w:rPr>
  </w:style>
  <w:style w:type="paragraph" w:customStyle="1" w:styleId="87">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8">
    <w:name w:val="font7"/>
    <w:basedOn w:val="1"/>
    <w:qFormat/>
    <w:uiPriority w:val="99"/>
    <w:pPr>
      <w:widowControl/>
      <w:spacing w:before="100" w:beforeAutospacing="1" w:after="100" w:afterAutospacing="1"/>
      <w:jc w:val="left"/>
    </w:pPr>
    <w:rPr>
      <w:kern w:val="0"/>
      <w:sz w:val="20"/>
      <w:szCs w:val="20"/>
    </w:rPr>
  </w:style>
  <w:style w:type="paragraph" w:customStyle="1" w:styleId="89">
    <w:name w:val="font8"/>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90">
    <w:name w:val="font9"/>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91">
    <w:name w:val="font10"/>
    <w:basedOn w:val="1"/>
    <w:qFormat/>
    <w:uiPriority w:val="99"/>
    <w:pPr>
      <w:widowControl/>
      <w:spacing w:before="100" w:beforeAutospacing="1" w:after="100" w:afterAutospacing="1"/>
      <w:jc w:val="left"/>
    </w:pPr>
    <w:rPr>
      <w:kern w:val="0"/>
      <w:szCs w:val="21"/>
    </w:rPr>
  </w:style>
  <w:style w:type="paragraph" w:customStyle="1" w:styleId="92">
    <w:name w:val="font11"/>
    <w:basedOn w:val="1"/>
    <w:qFormat/>
    <w:uiPriority w:val="99"/>
    <w:pPr>
      <w:widowControl/>
      <w:spacing w:before="100" w:beforeAutospacing="1" w:after="100" w:afterAutospacing="1"/>
      <w:jc w:val="left"/>
    </w:pPr>
    <w:rPr>
      <w:kern w:val="0"/>
      <w:sz w:val="22"/>
      <w:szCs w:val="22"/>
    </w:rPr>
  </w:style>
  <w:style w:type="paragraph" w:customStyle="1" w:styleId="93">
    <w:name w:val="font12"/>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94">
    <w:name w:val="font13"/>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5">
    <w:name w:val="font14"/>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96">
    <w:name w:val="font15"/>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97">
    <w:name w:val="font16"/>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98">
    <w:name w:val="font1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9">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00">
    <w:name w:val="xl6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0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0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0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 w:val="20"/>
      <w:szCs w:val="20"/>
    </w:rPr>
  </w:style>
  <w:style w:type="paragraph" w:customStyle="1" w:styleId="104">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5">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06">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0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8">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09">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0"/>
      <w:szCs w:val="20"/>
    </w:rPr>
  </w:style>
  <w:style w:type="paragraph" w:customStyle="1" w:styleId="110">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11">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2">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13">
    <w:name w:val="xl7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14">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5">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16">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Cs w:val="21"/>
    </w:rPr>
  </w:style>
  <w:style w:type="paragraph" w:customStyle="1" w:styleId="117">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18">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19">
    <w:name w:val="xl8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20">
    <w:name w:val="xl8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21">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cs="宋体"/>
      <w:kern w:val="0"/>
      <w:szCs w:val="21"/>
    </w:rPr>
  </w:style>
  <w:style w:type="paragraph" w:customStyle="1" w:styleId="122">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23">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4">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5">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4"/>
    </w:rPr>
  </w:style>
  <w:style w:type="paragraph" w:customStyle="1" w:styleId="126">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27">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28">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29">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24"/>
    </w:rPr>
  </w:style>
  <w:style w:type="paragraph" w:customStyle="1" w:styleId="130">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131">
    <w:name w:val="xl95"/>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132">
    <w:name w:val="xl96"/>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4"/>
    </w:rPr>
  </w:style>
  <w:style w:type="paragraph" w:customStyle="1" w:styleId="133">
    <w:name w:val="xl97"/>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textAlignment w:val="top"/>
    </w:pPr>
    <w:rPr>
      <w:rFonts w:ascii="宋体" w:hAnsi="宋体" w:cs="宋体"/>
      <w:kern w:val="0"/>
      <w:sz w:val="24"/>
    </w:rPr>
  </w:style>
  <w:style w:type="paragraph" w:customStyle="1" w:styleId="134">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35">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36">
    <w:name w:val="xl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37">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138">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39">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40">
    <w:name w:val="xl104"/>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top"/>
    </w:pPr>
    <w:rPr>
      <w:rFonts w:ascii="宋体" w:hAnsi="宋体" w:cs="宋体"/>
      <w:kern w:val="0"/>
      <w:sz w:val="20"/>
      <w:szCs w:val="20"/>
    </w:rPr>
  </w:style>
  <w:style w:type="paragraph" w:customStyle="1" w:styleId="141">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42">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3">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4">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5">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4"/>
    </w:rPr>
  </w:style>
  <w:style w:type="paragraph" w:customStyle="1" w:styleId="146">
    <w:name w:val="xl110"/>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147">
    <w:name w:val="xl111"/>
    <w:basedOn w:val="1"/>
    <w:qFormat/>
    <w:uiPriority w:val="99"/>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right"/>
      <w:textAlignment w:val="top"/>
    </w:pPr>
    <w:rPr>
      <w:rFonts w:ascii="宋体" w:hAnsi="宋体" w:cs="宋体"/>
      <w:kern w:val="0"/>
      <w:sz w:val="24"/>
    </w:rPr>
  </w:style>
  <w:style w:type="paragraph" w:customStyle="1" w:styleId="148">
    <w:name w:val="xl112"/>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49">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50">
    <w:name w:val="xl1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51">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52">
    <w:name w:val="xl116"/>
    <w:basedOn w:val="1"/>
    <w:qFormat/>
    <w:uiPriority w:val="99"/>
    <w:pPr>
      <w:widowControl/>
      <w:spacing w:before="100" w:beforeAutospacing="1" w:after="100" w:afterAutospacing="1"/>
      <w:jc w:val="center"/>
      <w:textAlignment w:val="top"/>
    </w:pPr>
    <w:rPr>
      <w:rFonts w:ascii="宋体" w:hAnsi="宋体" w:cs="宋体"/>
      <w:b/>
      <w:bCs/>
      <w:kern w:val="0"/>
      <w:sz w:val="32"/>
      <w:szCs w:val="32"/>
    </w:rPr>
  </w:style>
  <w:style w:type="paragraph" w:customStyle="1" w:styleId="153">
    <w:name w:val="xl11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4">
    <w:name w:val="xl118"/>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5">
    <w:name w:val="xl11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56">
    <w:name w:val="xl12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121"/>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8">
    <w:name w:val="xl122"/>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59">
    <w:name w:val="xl123"/>
    <w:basedOn w:val="1"/>
    <w:qFormat/>
    <w:uiPriority w:val="99"/>
    <w:pPr>
      <w:widowControl/>
      <w:pBdr>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60">
    <w:name w:val="xl124"/>
    <w:basedOn w:val="1"/>
    <w:qFormat/>
    <w:uiPriority w:val="99"/>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161">
    <w:name w:val="xl125"/>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2">
    <w:name w:val="xl126"/>
    <w:basedOn w:val="1"/>
    <w:qFormat/>
    <w:uiPriority w:val="99"/>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163">
    <w:name w:val="xl127"/>
    <w:basedOn w:val="1"/>
    <w:qFormat/>
    <w:uiPriority w:val="99"/>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164">
    <w:name w:val="xl128"/>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165">
    <w:name w:val="xl129"/>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66">
    <w:name w:val="xl13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67">
    <w:name w:val="xl131"/>
    <w:basedOn w:val="1"/>
    <w:qFormat/>
    <w:uiPriority w:val="99"/>
    <w:pPr>
      <w:widowControl/>
      <w:pBdr>
        <w:top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68">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9">
    <w:name w:val="xl13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0">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1">
    <w:name w:val="xl13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2">
    <w:name w:val="xl136"/>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3">
    <w:name w:val="xl1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74">
    <w:name w:val="xl13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75">
    <w:name w:val="xl13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176">
    <w:name w:val="xl140"/>
    <w:basedOn w:val="1"/>
    <w:qFormat/>
    <w:uiPriority w:val="99"/>
    <w:pPr>
      <w:widowControl/>
      <w:pBdr>
        <w:top w:val="single" w:color="auto" w:sz="4" w:space="0"/>
        <w:bottom w:val="single" w:color="auto" w:sz="4" w:space="0"/>
      </w:pBdr>
      <w:spacing w:before="100" w:beforeAutospacing="1" w:after="100" w:afterAutospacing="1"/>
      <w:jc w:val="left"/>
      <w:textAlignment w:val="top"/>
    </w:pPr>
    <w:rPr>
      <w:rFonts w:ascii="宋体" w:hAnsi="宋体" w:cs="宋体"/>
      <w:b/>
      <w:bCs/>
      <w:kern w:val="0"/>
      <w:sz w:val="28"/>
      <w:szCs w:val="28"/>
    </w:rPr>
  </w:style>
  <w:style w:type="paragraph" w:customStyle="1" w:styleId="177">
    <w:name w:val="xl141"/>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8">
    <w:name w:val="xl1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179">
    <w:name w:val="Char Char Char"/>
    <w:qFormat/>
    <w:uiPriority w:val="99"/>
    <w:rPr>
      <w:rFonts w:ascii="Arial" w:hAnsi="Arial" w:eastAsia="宋体" w:cs="Times New Roman"/>
      <w:b/>
      <w:bCs/>
      <w:kern w:val="2"/>
      <w:sz w:val="32"/>
      <w:szCs w:val="32"/>
      <w:lang w:val="en-US" w:eastAsia="zh-CN" w:bidi="ar-SA"/>
    </w:rPr>
  </w:style>
  <w:style w:type="character" w:customStyle="1" w:styleId="180">
    <w:name w:val="Char Char1"/>
    <w:qFormat/>
    <w:uiPriority w:val="99"/>
    <w:rPr>
      <w:rFonts w:eastAsia="宋体" w:cs="Times New Roman"/>
      <w:b/>
      <w:bCs/>
      <w:kern w:val="44"/>
      <w:sz w:val="44"/>
      <w:szCs w:val="44"/>
      <w:lang w:val="en-US" w:eastAsia="zh-CN" w:bidi="ar-SA"/>
    </w:rPr>
  </w:style>
  <w:style w:type="character" w:customStyle="1" w:styleId="181">
    <w:name w:val="标题 2 Char Char"/>
    <w:qFormat/>
    <w:uiPriority w:val="99"/>
    <w:rPr>
      <w:rFonts w:ascii="Arial" w:hAnsi="Arial" w:eastAsia="宋体" w:cs="Times New Roman"/>
      <w:b/>
      <w:bCs/>
      <w:kern w:val="2"/>
      <w:sz w:val="32"/>
      <w:szCs w:val="32"/>
      <w:lang w:val="en-US" w:eastAsia="zh-CN" w:bidi="ar-SA"/>
    </w:rPr>
  </w:style>
  <w:style w:type="character" w:customStyle="1" w:styleId="182">
    <w:name w:val="unnamed11"/>
    <w:qFormat/>
    <w:uiPriority w:val="99"/>
    <w:rPr>
      <w:rFonts w:cs="Times New Roman"/>
      <w:sz w:val="18"/>
      <w:szCs w:val="18"/>
    </w:rPr>
  </w:style>
  <w:style w:type="character" w:customStyle="1" w:styleId="183">
    <w:name w:val="页码1"/>
    <w:qFormat/>
    <w:uiPriority w:val="99"/>
    <w:rPr>
      <w:rFonts w:cs="Times New Roman"/>
    </w:rPr>
  </w:style>
  <w:style w:type="character" w:customStyle="1" w:styleId="184">
    <w:name w:val="font131"/>
    <w:qFormat/>
    <w:uiPriority w:val="99"/>
    <w:rPr>
      <w:rFonts w:ascii="宋体" w:hAnsi="宋体" w:eastAsia="宋体" w:cs="宋体"/>
      <w:color w:val="000000"/>
      <w:sz w:val="22"/>
      <w:szCs w:val="22"/>
      <w:u w:val="none"/>
    </w:rPr>
  </w:style>
  <w:style w:type="character" w:customStyle="1" w:styleId="185">
    <w:name w:val="font81"/>
    <w:qFormat/>
    <w:uiPriority w:val="99"/>
    <w:rPr>
      <w:rFonts w:ascii="Arial" w:hAnsi="Arial" w:cs="Arial"/>
      <w:color w:val="000000"/>
      <w:sz w:val="22"/>
      <w:szCs w:val="22"/>
      <w:u w:val="none"/>
    </w:rPr>
  </w:style>
  <w:style w:type="character" w:customStyle="1" w:styleId="186">
    <w:name w:val="font91"/>
    <w:qFormat/>
    <w:uiPriority w:val="99"/>
    <w:rPr>
      <w:rFonts w:ascii="宋体" w:hAnsi="宋体" w:eastAsia="宋体" w:cs="宋体"/>
      <w:color w:val="000000"/>
      <w:sz w:val="14"/>
      <w:szCs w:val="14"/>
      <w:u w:val="none"/>
    </w:rPr>
  </w:style>
  <w:style w:type="character" w:customStyle="1" w:styleId="187">
    <w:name w:val="font61"/>
    <w:qFormat/>
    <w:uiPriority w:val="99"/>
    <w:rPr>
      <w:rFonts w:ascii="宋体" w:hAnsi="宋体" w:eastAsia="宋体" w:cs="宋体"/>
      <w:color w:val="000000"/>
      <w:sz w:val="20"/>
      <w:szCs w:val="20"/>
      <w:u w:val="none"/>
    </w:rPr>
  </w:style>
  <w:style w:type="character" w:customStyle="1" w:styleId="188">
    <w:name w:val="font21"/>
    <w:qFormat/>
    <w:uiPriority w:val="99"/>
    <w:rPr>
      <w:rFonts w:ascii="宋体" w:hAnsi="宋体" w:eastAsia="宋体" w:cs="宋体"/>
      <w:color w:val="000000"/>
      <w:sz w:val="16"/>
      <w:szCs w:val="16"/>
      <w:u w:val="none"/>
    </w:rPr>
  </w:style>
  <w:style w:type="character" w:customStyle="1" w:styleId="189">
    <w:name w:val="font31"/>
    <w:qFormat/>
    <w:uiPriority w:val="99"/>
    <w:rPr>
      <w:rFonts w:ascii="Arial" w:hAnsi="Arial" w:cs="Arial"/>
      <w:b/>
      <w:color w:val="000000"/>
      <w:sz w:val="22"/>
      <w:szCs w:val="22"/>
      <w:u w:val="none"/>
    </w:rPr>
  </w:style>
  <w:style w:type="character" w:customStyle="1" w:styleId="190">
    <w:name w:val="font111"/>
    <w:qFormat/>
    <w:uiPriority w:val="99"/>
    <w:rPr>
      <w:rFonts w:ascii="宋体" w:hAnsi="宋体" w:eastAsia="宋体" w:cs="宋体"/>
      <w:b/>
      <w:color w:val="000000"/>
      <w:sz w:val="22"/>
      <w:szCs w:val="22"/>
      <w:u w:val="none"/>
    </w:rPr>
  </w:style>
  <w:style w:type="character" w:customStyle="1" w:styleId="191">
    <w:name w:val="font51"/>
    <w:qFormat/>
    <w:uiPriority w:val="99"/>
    <w:rPr>
      <w:rFonts w:ascii="Arial" w:hAnsi="Arial" w:cs="Arial"/>
      <w:b/>
      <w:color w:val="000000"/>
      <w:sz w:val="20"/>
      <w:szCs w:val="20"/>
      <w:u w:val="none"/>
    </w:rPr>
  </w:style>
  <w:style w:type="character" w:customStyle="1" w:styleId="192">
    <w:name w:val="font101"/>
    <w:qFormat/>
    <w:uiPriority w:val="99"/>
    <w:rPr>
      <w:rFonts w:ascii="宋体" w:hAnsi="宋体" w:eastAsia="宋体" w:cs="宋体"/>
      <w:b/>
      <w:color w:val="000000"/>
      <w:sz w:val="20"/>
      <w:szCs w:val="20"/>
      <w:u w:val="none"/>
    </w:rPr>
  </w:style>
  <w:style w:type="character" w:customStyle="1" w:styleId="193">
    <w:name w:val="font01"/>
    <w:basedOn w:val="40"/>
    <w:qFormat/>
    <w:uiPriority w:val="99"/>
    <w:rPr>
      <w:rFonts w:ascii="Arial" w:hAnsi="Arial" w:cs="Arial"/>
      <w:color w:val="000000"/>
      <w:sz w:val="20"/>
      <w:szCs w:val="20"/>
      <w:u w:val="none"/>
    </w:rPr>
  </w:style>
  <w:style w:type="character" w:customStyle="1" w:styleId="194">
    <w:name w:val="font41"/>
    <w:qFormat/>
    <w:uiPriority w:val="99"/>
    <w:rPr>
      <w:rFonts w:ascii="微软雅黑" w:hAnsi="微软雅黑" w:eastAsia="微软雅黑" w:cs="微软雅黑"/>
      <w:color w:val="000000"/>
      <w:sz w:val="20"/>
      <w:szCs w:val="20"/>
      <w:u w:val="none"/>
    </w:rPr>
  </w:style>
  <w:style w:type="character" w:customStyle="1" w:styleId="195">
    <w:name w:val="font121"/>
    <w:qFormat/>
    <w:uiPriority w:val="99"/>
    <w:rPr>
      <w:rFonts w:ascii="宋体" w:hAnsi="宋体" w:eastAsia="宋体" w:cs="宋体"/>
      <w:color w:val="000000"/>
      <w:sz w:val="22"/>
      <w:szCs w:val="22"/>
      <w:u w:val="none"/>
    </w:rPr>
  </w:style>
  <w:style w:type="character" w:customStyle="1" w:styleId="196">
    <w:name w:val="font151"/>
    <w:qFormat/>
    <w:uiPriority w:val="99"/>
    <w:rPr>
      <w:rFonts w:ascii="Calibri" w:hAnsi="Calibri" w:cs="Calibri"/>
      <w:color w:val="000000"/>
      <w:sz w:val="20"/>
      <w:szCs w:val="20"/>
      <w:u w:val="none"/>
    </w:rPr>
  </w:style>
  <w:style w:type="character" w:customStyle="1" w:styleId="197">
    <w:name w:val="font141"/>
    <w:qFormat/>
    <w:uiPriority w:val="99"/>
    <w:rPr>
      <w:rFonts w:ascii="Calibri" w:hAnsi="Calibri" w:cs="Calibri"/>
      <w:color w:val="000000"/>
      <w:sz w:val="21"/>
      <w:szCs w:val="21"/>
      <w:u w:val="none"/>
    </w:rPr>
  </w:style>
  <w:style w:type="character" w:customStyle="1" w:styleId="198">
    <w:name w:val="font71"/>
    <w:qFormat/>
    <w:uiPriority w:val="99"/>
    <w:rPr>
      <w:rFonts w:ascii="宋体" w:hAnsi="宋体" w:eastAsia="宋体" w:cs="宋体"/>
      <w:color w:val="000000"/>
      <w:sz w:val="18"/>
      <w:szCs w:val="18"/>
      <w:u w:val="none"/>
    </w:rPr>
  </w:style>
  <w:style w:type="character" w:customStyle="1" w:styleId="199">
    <w:name w:val="l-btn-empty"/>
    <w:basedOn w:val="40"/>
    <w:qFormat/>
    <w:uiPriority w:val="0"/>
  </w:style>
  <w:style w:type="character" w:customStyle="1" w:styleId="200">
    <w:name w:val="l-btn-left2"/>
    <w:basedOn w:val="40"/>
    <w:qFormat/>
    <w:uiPriority w:val="0"/>
  </w:style>
  <w:style w:type="character" w:customStyle="1" w:styleId="201">
    <w:name w:val="l-btn-left3"/>
    <w:basedOn w:val="40"/>
    <w:qFormat/>
    <w:uiPriority w:val="0"/>
  </w:style>
  <w:style w:type="character" w:customStyle="1" w:styleId="202">
    <w:name w:val="l-btn-left4"/>
    <w:basedOn w:val="40"/>
    <w:qFormat/>
    <w:uiPriority w:val="0"/>
  </w:style>
  <w:style w:type="character" w:customStyle="1" w:styleId="203">
    <w:name w:val="l-btn-left5"/>
    <w:basedOn w:val="40"/>
    <w:qFormat/>
    <w:uiPriority w:val="0"/>
  </w:style>
  <w:style w:type="character" w:customStyle="1" w:styleId="204">
    <w:name w:val="l-btn-text"/>
    <w:basedOn w:val="40"/>
    <w:qFormat/>
    <w:uiPriority w:val="0"/>
  </w:style>
  <w:style w:type="character" w:customStyle="1" w:styleId="205">
    <w:name w:val="l-selected2"/>
    <w:qFormat/>
    <w:uiPriority w:val="0"/>
    <w:rPr>
      <w:color w:val="355686"/>
      <w:bdr w:val="single" w:color="DAB364" w:sz="6" w:space="0"/>
      <w:shd w:val="clear" w:color="auto" w:fill="FFFFFF"/>
    </w:rPr>
  </w:style>
  <w:style w:type="character" w:customStyle="1" w:styleId="206">
    <w:name w:val="l-open"/>
    <w:basedOn w:val="40"/>
    <w:qFormat/>
    <w:uiPriority w:val="0"/>
  </w:style>
  <w:style w:type="character" w:customStyle="1" w:styleId="207">
    <w:name w:val="l-over"/>
    <w:qFormat/>
    <w:uiPriority w:val="0"/>
    <w:rPr>
      <w:bdr w:val="single" w:color="DAB364" w:sz="6" w:space="0"/>
    </w:rPr>
  </w:style>
  <w:style w:type="character" w:customStyle="1" w:styleId="208">
    <w:name w:val="l-selected"/>
    <w:qFormat/>
    <w:uiPriority w:val="0"/>
    <w:rPr>
      <w:color w:val="355686"/>
      <w:bdr w:val="single" w:color="DAB364" w:sz="6" w:space="0"/>
      <w:shd w:val="clear" w:color="auto" w:fill="FFFFFF"/>
    </w:rPr>
  </w:style>
  <w:style w:type="character" w:customStyle="1" w:styleId="209">
    <w:name w:val="l-btn-left"/>
    <w:basedOn w:val="40"/>
    <w:qFormat/>
    <w:uiPriority w:val="0"/>
  </w:style>
  <w:style w:type="character" w:customStyle="1" w:styleId="210">
    <w:name w:val="l-btn-left1"/>
    <w:basedOn w:val="40"/>
    <w:qFormat/>
    <w:uiPriority w:val="0"/>
  </w:style>
  <w:style w:type="paragraph" w:customStyle="1" w:styleId="21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2">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kern w:val="0"/>
      <w:position w:val="-6"/>
      <w:sz w:val="24"/>
      <w:lang w:val="fr-FR"/>
    </w:rPr>
  </w:style>
  <w:style w:type="paragraph" w:customStyle="1" w:styleId="213">
    <w:name w:val="样式3"/>
    <w:basedOn w:val="22"/>
    <w:qFormat/>
    <w:uiPriority w:val="0"/>
    <w:pPr>
      <w:spacing w:line="0" w:lineRule="atLeast"/>
      <w:outlineLvl w:val="0"/>
    </w:pPr>
    <w:rPr>
      <w:rFonts w:ascii="Times New Roman" w:hAnsi="Times New Roman"/>
      <w:sz w:val="28"/>
    </w:rPr>
  </w:style>
  <w:style w:type="paragraph" w:customStyle="1" w:styleId="214">
    <w:name w:val="列出段落4"/>
    <w:basedOn w:val="1"/>
    <w:qFormat/>
    <w:uiPriority w:val="34"/>
    <w:pPr>
      <w:ind w:firstLine="420" w:firstLineChars="200"/>
    </w:pPr>
  </w:style>
  <w:style w:type="character" w:customStyle="1" w:styleId="215">
    <w:name w:val="tcolor4"/>
    <w:qFormat/>
    <w:uiPriority w:val="0"/>
    <w:rPr>
      <w:rFonts w:ascii="lucida grande" w:hAnsi="lucida grande" w:eastAsia="lucida grande" w:cs="lucida grande"/>
      <w:color w:val="7F7F7F"/>
      <w:sz w:val="18"/>
      <w:szCs w:val="18"/>
    </w:rPr>
  </w:style>
  <w:style w:type="character" w:customStyle="1" w:styleId="216">
    <w:name w:val="apple-style-span"/>
    <w:qFormat/>
    <w:uiPriority w:val="0"/>
    <w:rPr>
      <w:rFonts w:cs="Times New Roman"/>
    </w:rPr>
  </w:style>
  <w:style w:type="paragraph" w:customStyle="1" w:styleId="217">
    <w:name w:val="_Style 1"/>
    <w:basedOn w:val="1"/>
    <w:qFormat/>
    <w:uiPriority w:val="0"/>
    <w:pPr>
      <w:ind w:firstLine="420" w:firstLineChars="200"/>
    </w:pPr>
    <w:rPr>
      <w:szCs w:val="22"/>
    </w:rPr>
  </w:style>
  <w:style w:type="character" w:customStyle="1" w:styleId="218">
    <w:name w:val="fontstyle21"/>
    <w:qFormat/>
    <w:uiPriority w:val="0"/>
    <w:rPr>
      <w:rFonts w:ascii="TimesNewRomanPSMT" w:hAnsi="TimesNewRomanPSMT" w:eastAsia="TimesNewRomanPSMT" w:cs="TimesNewRomanPSMT"/>
      <w:color w:val="000000"/>
      <w:sz w:val="18"/>
      <w:szCs w:val="18"/>
    </w:rPr>
  </w:style>
  <w:style w:type="character" w:customStyle="1" w:styleId="219">
    <w:name w:val="fontstyle01"/>
    <w:qFormat/>
    <w:uiPriority w:val="0"/>
    <w:rPr>
      <w:rFonts w:hint="eastAsia" w:ascii="宋体" w:hAnsi="宋体" w:eastAsia="宋体" w:cs="宋体"/>
      <w:color w:val="000000"/>
      <w:sz w:val="24"/>
      <w:szCs w:val="24"/>
    </w:rPr>
  </w:style>
  <w:style w:type="paragraph" w:customStyle="1" w:styleId="22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1">
    <w:name w:val="标准段落正文"/>
    <w:basedOn w:val="222"/>
    <w:qFormat/>
    <w:uiPriority w:val="0"/>
    <w:pPr>
      <w:spacing w:beforeLines="0" w:afterLines="0"/>
      <w:ind w:left="0" w:leftChars="0" w:firstLine="480" w:firstLineChars="200"/>
      <w:jc w:val="left"/>
    </w:pPr>
    <w:rPr>
      <w:rFonts w:eastAsia="宋体"/>
    </w:rPr>
  </w:style>
  <w:style w:type="paragraph" w:customStyle="1" w:styleId="222">
    <w:name w:val="单括号小标题"/>
    <w:basedOn w:val="1"/>
    <w:qFormat/>
    <w:uiPriority w:val="0"/>
    <w:pPr>
      <w:spacing w:beforeLines="50" w:afterLines="100" w:line="360" w:lineRule="auto"/>
      <w:ind w:left="200" w:leftChars="200"/>
    </w:pPr>
    <w:rPr>
      <w:rFonts w:eastAsia="黑体"/>
      <w:sz w:val="24"/>
    </w:rPr>
  </w:style>
  <w:style w:type="paragraph" w:styleId="223">
    <w:name w:val="List Paragraph"/>
    <w:basedOn w:val="1"/>
    <w:qFormat/>
    <w:uiPriority w:val="34"/>
    <w:pPr>
      <w:ind w:firstLine="420" w:firstLineChars="200"/>
    </w:pPr>
  </w:style>
  <w:style w:type="paragraph" w:customStyle="1" w:styleId="224">
    <w:name w:val="Table Paragraph"/>
    <w:basedOn w:val="1"/>
    <w:qFormat/>
    <w:uiPriority w:val="1"/>
    <w:rPr>
      <w:rFonts w:ascii="宋体" w:hAnsi="宋体" w:cs="宋体"/>
    </w:rPr>
  </w:style>
  <w:style w:type="paragraph" w:customStyle="1" w:styleId="225">
    <w:name w:val="表格"/>
    <w:qFormat/>
    <w:uiPriority w:val="0"/>
    <w:pPr>
      <w:tabs>
        <w:tab w:val="center" w:pos="4153"/>
        <w:tab w:val="right" w:pos="8306"/>
      </w:tabs>
      <w:autoSpaceDE w:val="0"/>
      <w:autoSpaceDN w:val="0"/>
      <w:adjustRightInd w:val="0"/>
      <w:snapToGrid w:val="0"/>
      <w:spacing w:line="400" w:lineRule="exact"/>
      <w:jc w:val="center"/>
    </w:pPr>
    <w:rPr>
      <w:rFonts w:ascii="宋体" w:hAnsi="宋体" w:eastAsia="宋体" w:cs="Times New Roman"/>
      <w:b/>
      <w:kern w:val="2"/>
      <w:sz w:val="21"/>
      <w:szCs w:val="21"/>
      <w:lang w:val="en-US" w:eastAsia="zh-CN" w:bidi="ar-SA"/>
    </w:rPr>
  </w:style>
  <w:style w:type="character" w:customStyle="1" w:styleId="226">
    <w:name w:val="add"/>
    <w:basedOn w:val="40"/>
    <w:qFormat/>
    <w:uiPriority w:val="0"/>
  </w:style>
  <w:style w:type="character" w:customStyle="1" w:styleId="227">
    <w:name w:val="hover9"/>
    <w:basedOn w:val="40"/>
    <w:qFormat/>
    <w:uiPriority w:val="0"/>
    <w:rPr>
      <w:color w:val="FF0000"/>
    </w:rPr>
  </w:style>
  <w:style w:type="character" w:customStyle="1" w:styleId="228">
    <w:name w:val="orange"/>
    <w:basedOn w:val="40"/>
    <w:qFormat/>
    <w:uiPriority w:val="0"/>
    <w:rPr>
      <w:color w:val="FF851A"/>
    </w:rPr>
  </w:style>
  <w:style w:type="character" w:customStyle="1" w:styleId="229">
    <w:name w:val="tradclose"/>
    <w:basedOn w:val="40"/>
    <w:qFormat/>
    <w:uiPriority w:val="0"/>
    <w:rPr>
      <w:sz w:val="30"/>
      <w:szCs w:val="30"/>
    </w:rPr>
  </w:style>
  <w:style w:type="character" w:customStyle="1" w:styleId="230">
    <w:name w:val="15"/>
    <w:basedOn w:val="40"/>
    <w:qFormat/>
    <w:uiPriority w:val="0"/>
    <w:rPr>
      <w:rFonts w:hint="default" w:ascii="Times New Roman" w:hAnsi="Times New Roman" w:cs="Times New Roman"/>
      <w:b/>
      <w:bCs/>
    </w:rPr>
  </w:style>
  <w:style w:type="paragraph" w:customStyle="1" w:styleId="231">
    <w:name w:val="我的正文"/>
    <w:basedOn w:val="1"/>
    <w:qFormat/>
    <w:uiPriority w:val="0"/>
    <w:pPr>
      <w:wordWrap w:val="0"/>
      <w:adjustRightInd w:val="0"/>
      <w:snapToGrid w:val="0"/>
      <w:spacing w:line="360" w:lineRule="auto"/>
      <w:ind w:firstLine="200" w:firstLineChars="200"/>
    </w:pPr>
    <w:rPr>
      <w:rFonts w:ascii="宋体"/>
    </w:rPr>
  </w:style>
  <w:style w:type="table" w:customStyle="1" w:styleId="232">
    <w:name w:val="网格型1"/>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网格型2"/>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网格型3"/>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5">
    <w:name w:val="网格型4"/>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6">
    <w:name w:val="NormalCharacter"/>
    <w:qFormat/>
    <w:uiPriority w:val="0"/>
    <w:rPr>
      <w:rFonts w:ascii="Times New Roman" w:hAnsi="Times New Roman" w:eastAsia="宋体"/>
    </w:rPr>
  </w:style>
  <w:style w:type="paragraph" w:customStyle="1" w:styleId="237">
    <w:name w:val="表格文字"/>
    <w:basedOn w:val="1"/>
    <w:qFormat/>
    <w:uiPriority w:val="0"/>
    <w:pPr>
      <w:spacing w:before="25" w:after="25"/>
      <w:jc w:val="left"/>
    </w:pPr>
    <w:rPr>
      <w:bCs/>
      <w:spacing w:val="10"/>
      <w:kern w:val="0"/>
      <w:sz w:val="24"/>
    </w:rPr>
  </w:style>
  <w:style w:type="paragraph" w:customStyle="1" w:styleId="238">
    <w:name w:val="HtmlNormal"/>
    <w:basedOn w:val="1"/>
    <w:qFormat/>
    <w:uiPriority w:val="0"/>
    <w:pPr>
      <w:spacing w:before="100" w:beforeAutospacing="1" w:after="100" w:afterAutospacing="1"/>
      <w:jc w:val="left"/>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8.xml"/><Relationship Id="rId25" Type="http://schemas.openxmlformats.org/officeDocument/2006/relationships/header" Target="header16.xml"/><Relationship Id="rId24" Type="http://schemas.openxmlformats.org/officeDocument/2006/relationships/header" Target="header15.xml"/><Relationship Id="rId23" Type="http://schemas.openxmlformats.org/officeDocument/2006/relationships/footer" Target="footer7.xml"/><Relationship Id="rId22" Type="http://schemas.openxmlformats.org/officeDocument/2006/relationships/footer" Target="footer6.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3" textRotate="1"/>
    <customShpInfo spid="_x0000_s3084" textRotate="1"/>
    <customShpInfo spid="_x0000_s3085" textRotate="1"/>
    <customShpInfo spid="_x0000_s3086" textRotate="1"/>
    <customShpInfo spid="_x0000_s3087" textRotate="1"/>
    <customShpInfo spid="_x0000_s308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256C3-B2E3-48D9-B792-713C9155507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74</Pages>
  <Words>34702</Words>
  <Characters>36675</Characters>
  <Lines>387</Lines>
  <Paragraphs>108</Paragraphs>
  <TotalTime>1</TotalTime>
  <ScaleCrop>false</ScaleCrop>
  <LinksUpToDate>false</LinksUpToDate>
  <CharactersWithSpaces>37863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2014-07-10T02:20:00Z</dcterms:created>
  <dc:creator>fxzm</dc:creator>
  <cp:lastModifiedBy>孤星寒月</cp:lastModifiedBy>
  <cp:lastPrinted>2021-09-02T03:49:00Z</cp:lastPrinted>
  <dcterms:modified xsi:type="dcterms:W3CDTF">2023-04-21T02:07:57Z</dcterms:modified>
  <dc:title>甘肃省省级机关事业单位</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6FDE5AC7F6F8476CB133E2DE1088F5A3</vt:lpwstr>
  </property>
</Properties>
</file>