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spacing w:line="360" w:lineRule="auto"/>
        <w:rPr>
          <w:rFonts w:ascii="宋体" w:hAnsi="宋体" w:cs="宋体"/>
          <w:b/>
          <w:kern w:val="0"/>
          <w:sz w:val="44"/>
          <w:szCs w:val="44"/>
          <w:highlight w:val="none"/>
        </w:rPr>
      </w:pPr>
      <w:bookmarkStart w:id="0" w:name="_Toc185307727"/>
    </w:p>
    <w:p>
      <w:pPr>
        <w:spacing w:line="360" w:lineRule="auto"/>
        <w:jc w:val="center"/>
        <w:rPr>
          <w:rFonts w:hint="eastAsia" w:ascii="宋体" w:hAnsi="宋体" w:cs="宋体"/>
          <w:b/>
          <w:kern w:val="0"/>
          <w:sz w:val="48"/>
          <w:szCs w:val="48"/>
          <w:highlight w:val="none"/>
          <w:lang w:val="en-US" w:eastAsia="zh-CN"/>
        </w:rPr>
      </w:pPr>
    </w:p>
    <w:p>
      <w:pPr>
        <w:spacing w:line="360" w:lineRule="auto"/>
        <w:jc w:val="center"/>
        <w:rPr>
          <w:rFonts w:hint="eastAsia" w:ascii="宋体" w:hAnsi="宋体" w:cs="宋体"/>
          <w:b/>
          <w:kern w:val="0"/>
          <w:sz w:val="48"/>
          <w:szCs w:val="48"/>
          <w:highlight w:val="none"/>
          <w:lang w:val="en-US" w:eastAsia="zh-CN"/>
        </w:rPr>
      </w:pPr>
    </w:p>
    <w:p>
      <w:pPr>
        <w:spacing w:line="271" w:lineRule="auto"/>
        <w:jc w:val="center"/>
        <w:rPr>
          <w:rFonts w:hint="eastAsia" w:ascii="宋体" w:hAnsi="宋体" w:eastAsia="宋体" w:cs="宋体"/>
          <w:b/>
          <w:bCs/>
          <w:sz w:val="72"/>
          <w:szCs w:val="72"/>
          <w:highlight w:val="none"/>
        </w:rPr>
      </w:pPr>
      <w:r>
        <w:rPr>
          <w:rFonts w:hint="eastAsia" w:ascii="宋体" w:hAnsi="宋体" w:eastAsia="宋体" w:cs="宋体"/>
          <w:b/>
          <w:bCs/>
          <w:sz w:val="72"/>
          <w:szCs w:val="72"/>
          <w:highlight w:val="none"/>
        </w:rPr>
        <w:t>甘肃省第二人民医</w:t>
      </w:r>
      <w:r>
        <w:rPr>
          <w:rFonts w:hint="eastAsia" w:ascii="宋体" w:hAnsi="宋体" w:eastAsia="宋体" w:cs="宋体"/>
          <w:b/>
          <w:bCs/>
          <w:sz w:val="72"/>
          <w:szCs w:val="72"/>
          <w:highlight w:val="none"/>
          <w:lang w:val="en-US" w:eastAsia="zh-CN"/>
        </w:rPr>
        <w:t>院幽门螺旋杆菌检测仪</w:t>
      </w:r>
      <w:r>
        <w:rPr>
          <w:rFonts w:hint="eastAsia" w:ascii="宋体" w:hAnsi="宋体" w:cs="宋体"/>
          <w:b/>
          <w:bCs/>
          <w:sz w:val="72"/>
          <w:szCs w:val="72"/>
          <w:highlight w:val="none"/>
          <w:lang w:val="en-US" w:eastAsia="zh-CN"/>
        </w:rPr>
        <w:t>二次</w:t>
      </w:r>
      <w:r>
        <w:rPr>
          <w:rFonts w:hint="eastAsia" w:ascii="宋体" w:hAnsi="宋体" w:eastAsia="宋体" w:cs="宋体"/>
          <w:b/>
          <w:bCs/>
          <w:sz w:val="72"/>
          <w:szCs w:val="72"/>
          <w:highlight w:val="none"/>
        </w:rPr>
        <w:t>采购项目</w:t>
      </w:r>
    </w:p>
    <w:p>
      <w:pPr>
        <w:spacing w:line="271" w:lineRule="auto"/>
        <w:rPr>
          <w:rFonts w:hint="eastAsia" w:ascii="宋体" w:hAnsi="宋体" w:eastAsia="宋体" w:cs="宋体"/>
          <w:sz w:val="21"/>
          <w:highlight w:val="none"/>
        </w:rPr>
      </w:pPr>
    </w:p>
    <w:p>
      <w:pPr>
        <w:rPr>
          <w:rFonts w:hint="eastAsia" w:eastAsia="宋体"/>
          <w:highlight w:val="none"/>
          <w:lang w:val="en-US" w:eastAsia="zh-CN"/>
        </w:rPr>
      </w:pPr>
    </w:p>
    <w:p>
      <w:pPr>
        <w:pStyle w:val="36"/>
        <w:ind w:left="0" w:leftChars="0" w:firstLine="0" w:firstLineChars="0"/>
        <w:rPr>
          <w:rFonts w:ascii="宋体" w:hAnsi="宋体" w:cs="宋体"/>
          <w:b/>
          <w:sz w:val="52"/>
          <w:szCs w:val="52"/>
          <w:highlight w:val="none"/>
        </w:rPr>
      </w:pPr>
    </w:p>
    <w:p>
      <w:pPr>
        <w:pStyle w:val="36"/>
        <w:ind w:left="0" w:leftChars="0" w:firstLine="0" w:firstLineChars="0"/>
        <w:rPr>
          <w:rFonts w:ascii="宋体" w:hAnsi="宋体" w:cs="宋体"/>
          <w:b/>
          <w:sz w:val="52"/>
          <w:szCs w:val="52"/>
          <w:highlight w:val="none"/>
        </w:rPr>
      </w:pPr>
    </w:p>
    <w:p>
      <w:pPr>
        <w:pStyle w:val="36"/>
        <w:ind w:left="0" w:leftChars="0" w:firstLine="0" w:firstLineChars="0"/>
        <w:rPr>
          <w:rFonts w:ascii="宋体" w:hAnsi="宋体" w:cs="宋体"/>
          <w:b/>
          <w:sz w:val="52"/>
          <w:szCs w:val="52"/>
          <w:highlight w:val="none"/>
        </w:rPr>
      </w:pPr>
    </w:p>
    <w:p>
      <w:pPr>
        <w:spacing w:line="360" w:lineRule="auto"/>
        <w:jc w:val="center"/>
        <w:rPr>
          <w:rFonts w:ascii="宋体" w:hAnsi="宋体" w:cs="宋体"/>
          <w:b/>
          <w:sz w:val="30"/>
          <w:szCs w:val="30"/>
          <w:highlight w:val="none"/>
        </w:rPr>
      </w:pPr>
      <w:r>
        <w:rPr>
          <w:rFonts w:hint="eastAsia" w:ascii="宋体" w:hAnsi="宋体" w:cs="宋体"/>
          <w:b/>
          <w:sz w:val="72"/>
          <w:highlight w:val="none"/>
        </w:rPr>
        <w:t>招标文件</w:t>
      </w:r>
    </w:p>
    <w:p>
      <w:pPr>
        <w:widowControl/>
        <w:spacing w:line="360" w:lineRule="auto"/>
        <w:jc w:val="center"/>
        <w:rPr>
          <w:rFonts w:hint="default" w:ascii="宋体" w:hAnsi="宋体" w:eastAsia="宋体" w:cs="宋体"/>
          <w:b/>
          <w:bCs/>
          <w:kern w:val="0"/>
          <w:sz w:val="30"/>
          <w:szCs w:val="30"/>
          <w:highlight w:val="none"/>
          <w:lang w:val="en-US" w:eastAsia="zh-CN"/>
        </w:rPr>
      </w:pPr>
      <w:r>
        <w:rPr>
          <w:rFonts w:hint="eastAsia" w:ascii="宋体" w:hAnsi="宋体" w:cs="宋体"/>
          <w:b/>
          <w:sz w:val="30"/>
          <w:szCs w:val="30"/>
          <w:highlight w:val="none"/>
        </w:rPr>
        <w:t>招标编号：</w:t>
      </w:r>
      <w:r>
        <w:rPr>
          <w:rFonts w:hint="eastAsia" w:ascii="宋体" w:hAnsi="宋体" w:eastAsia="宋体" w:cs="宋体"/>
          <w:spacing w:val="8"/>
          <w:sz w:val="31"/>
          <w:szCs w:val="31"/>
          <w:highlight w:val="none"/>
        </w:rPr>
        <w:t>SEY-2023YNCG-0</w:t>
      </w:r>
      <w:r>
        <w:rPr>
          <w:rFonts w:hint="eastAsia" w:ascii="宋体" w:hAnsi="宋体" w:cs="宋体"/>
          <w:spacing w:val="8"/>
          <w:sz w:val="31"/>
          <w:szCs w:val="31"/>
          <w:highlight w:val="none"/>
          <w:lang w:val="en-US" w:eastAsia="zh-CN"/>
        </w:rPr>
        <w:t>21</w:t>
      </w:r>
    </w:p>
    <w:p>
      <w:pPr>
        <w:widowControl/>
        <w:spacing w:line="360" w:lineRule="auto"/>
        <w:rPr>
          <w:rFonts w:ascii="宋体" w:hAnsi="宋体" w:cs="宋体"/>
          <w:b/>
          <w:bCs/>
          <w:kern w:val="0"/>
          <w:sz w:val="30"/>
          <w:szCs w:val="30"/>
          <w:highlight w:val="none"/>
        </w:rPr>
      </w:pPr>
    </w:p>
    <w:p>
      <w:pPr>
        <w:spacing w:line="360" w:lineRule="auto"/>
        <w:jc w:val="center"/>
        <w:rPr>
          <w:rFonts w:ascii="宋体" w:hAnsi="宋体" w:cs="宋体"/>
          <w:b/>
          <w:sz w:val="52"/>
          <w:szCs w:val="52"/>
          <w:highlight w:val="none"/>
        </w:rPr>
      </w:pPr>
    </w:p>
    <w:p>
      <w:pPr>
        <w:pStyle w:val="30"/>
        <w:rPr>
          <w:highlight w:val="none"/>
        </w:rPr>
      </w:pPr>
    </w:p>
    <w:p>
      <w:pPr>
        <w:spacing w:line="360" w:lineRule="auto"/>
        <w:ind w:firstLine="590" w:firstLineChars="196"/>
        <w:jc w:val="center"/>
        <w:rPr>
          <w:rFonts w:ascii="宋体" w:hAnsi="宋体" w:cs="宋体"/>
          <w:b/>
          <w:sz w:val="30"/>
          <w:szCs w:val="30"/>
          <w:highlight w:val="none"/>
        </w:rPr>
      </w:pPr>
    </w:p>
    <w:p>
      <w:pPr>
        <w:pStyle w:val="30"/>
        <w:rPr>
          <w:highlight w:val="none"/>
        </w:rPr>
      </w:pPr>
    </w:p>
    <w:p>
      <w:pPr>
        <w:rPr>
          <w:highlight w:val="none"/>
        </w:rPr>
      </w:pPr>
    </w:p>
    <w:p>
      <w:pPr>
        <w:pStyle w:val="30"/>
        <w:rPr>
          <w:highlight w:val="none"/>
        </w:rPr>
      </w:pPr>
    </w:p>
    <w:p>
      <w:pPr>
        <w:spacing w:line="360" w:lineRule="auto"/>
        <w:rPr>
          <w:rFonts w:ascii="宋体" w:hAnsi="宋体" w:cs="宋体"/>
          <w:sz w:val="32"/>
          <w:highlight w:val="none"/>
        </w:rPr>
      </w:pPr>
    </w:p>
    <w:p>
      <w:pPr>
        <w:spacing w:line="360" w:lineRule="auto"/>
        <w:ind w:firstLine="2108" w:firstLineChars="700"/>
        <w:rPr>
          <w:rFonts w:ascii="宋体" w:hAnsi="宋体" w:cs="宋体"/>
          <w:b/>
          <w:sz w:val="30"/>
          <w:szCs w:val="30"/>
          <w:highlight w:val="none"/>
        </w:rPr>
      </w:pPr>
      <w:r>
        <w:rPr>
          <w:rFonts w:hint="eastAsia" w:ascii="宋体" w:hAnsi="宋体" w:cs="宋体"/>
          <w:b/>
          <w:sz w:val="30"/>
          <w:szCs w:val="30"/>
          <w:highlight w:val="none"/>
        </w:rPr>
        <w:t>采 购 人：甘肃省第二人民医院</w:t>
      </w:r>
    </w:p>
    <w:p>
      <w:pPr>
        <w:widowControl/>
        <w:spacing w:line="360" w:lineRule="auto"/>
        <w:jc w:val="center"/>
        <w:rPr>
          <w:rFonts w:ascii="宋体" w:hAnsi="宋体" w:cs="宋体"/>
          <w:b/>
          <w:bCs/>
          <w:kern w:val="0"/>
          <w:sz w:val="30"/>
          <w:szCs w:val="30"/>
          <w:highlight w:val="none"/>
        </w:rPr>
        <w:sectPr>
          <w:headerReference r:id="rId4" w:type="first"/>
          <w:footerReference r:id="rId6" w:type="first"/>
          <w:headerReference r:id="rId3" w:type="default"/>
          <w:footerReference r:id="rId5" w:type="default"/>
          <w:pgSz w:w="11906" w:h="16838"/>
          <w:pgMar w:top="1077" w:right="1134" w:bottom="1077" w:left="1418" w:header="720" w:footer="720" w:gutter="0"/>
          <w:pgNumType w:fmt="decimal" w:start="1"/>
          <w:cols w:space="720" w:num="1"/>
          <w:titlePg/>
          <w:docGrid w:type="lines" w:linePitch="312" w:charSpace="0"/>
        </w:sectPr>
      </w:pPr>
      <w:r>
        <w:rPr>
          <w:rFonts w:hint="eastAsia" w:ascii="宋体" w:hAnsi="宋体" w:cs="宋体"/>
          <w:b/>
          <w:bCs/>
          <w:kern w:val="0"/>
          <w:sz w:val="30"/>
          <w:szCs w:val="30"/>
          <w:highlight w:val="none"/>
        </w:rPr>
        <w:t>二〇二</w:t>
      </w:r>
      <w:r>
        <w:rPr>
          <w:rFonts w:hint="eastAsia" w:ascii="宋体" w:hAnsi="宋体" w:cs="宋体"/>
          <w:b/>
          <w:bCs/>
          <w:kern w:val="0"/>
          <w:sz w:val="30"/>
          <w:szCs w:val="30"/>
          <w:highlight w:val="none"/>
          <w:lang w:val="en-US" w:eastAsia="zh-CN"/>
        </w:rPr>
        <w:t>三</w:t>
      </w:r>
      <w:r>
        <w:rPr>
          <w:rFonts w:hint="eastAsia" w:ascii="宋体" w:hAnsi="宋体" w:cs="宋体"/>
          <w:b/>
          <w:bCs/>
          <w:kern w:val="0"/>
          <w:sz w:val="30"/>
          <w:szCs w:val="30"/>
          <w:highlight w:val="none"/>
        </w:rPr>
        <w:t>年</w:t>
      </w:r>
      <w:r>
        <w:rPr>
          <w:rFonts w:hint="eastAsia" w:ascii="宋体" w:hAnsi="宋体" w:cs="宋体"/>
          <w:b/>
          <w:bCs/>
          <w:kern w:val="0"/>
          <w:sz w:val="30"/>
          <w:szCs w:val="30"/>
          <w:highlight w:val="none"/>
          <w:lang w:val="en-US" w:eastAsia="zh-CN"/>
        </w:rPr>
        <w:t>三</w:t>
      </w:r>
      <w:r>
        <w:rPr>
          <w:rFonts w:hint="eastAsia" w:ascii="宋体" w:hAnsi="宋体" w:cs="宋体"/>
          <w:b/>
          <w:bCs/>
          <w:kern w:val="0"/>
          <w:sz w:val="30"/>
          <w:szCs w:val="30"/>
          <w:highlight w:val="none"/>
        </w:rPr>
        <w:t>月</w:t>
      </w:r>
    </w:p>
    <w:p>
      <w:pPr>
        <w:pStyle w:val="6"/>
        <w:rPr>
          <w:rFonts w:ascii="宋体" w:hAnsi="宋体" w:cs="宋体"/>
          <w:highlight w:val="none"/>
        </w:rPr>
      </w:pPr>
      <w:bookmarkStart w:id="1" w:name="_Toc2876"/>
      <w:bookmarkStart w:id="2" w:name="_Toc23188"/>
      <w:bookmarkStart w:id="3" w:name="_Toc9008"/>
      <w:bookmarkStart w:id="4" w:name="_Toc17951"/>
      <w:bookmarkStart w:id="5" w:name="_Toc6666"/>
      <w:r>
        <w:rPr>
          <w:rFonts w:hint="eastAsia" w:ascii="宋体" w:hAnsi="宋体" w:cs="宋体"/>
          <w:highlight w:val="none"/>
        </w:rPr>
        <w:t>目录</w:t>
      </w:r>
      <w:bookmarkEnd w:id="1"/>
      <w:bookmarkEnd w:id="2"/>
      <w:bookmarkEnd w:id="3"/>
      <w:bookmarkEnd w:id="4"/>
      <w:bookmarkEnd w:id="5"/>
    </w:p>
    <w:p>
      <w:pPr>
        <w:pStyle w:val="28"/>
        <w:tabs>
          <w:tab w:val="right" w:leader="dot" w:pos="9355"/>
          <w:tab w:val="clear" w:pos="9344"/>
        </w:tabs>
        <w:rPr>
          <w:rFonts w:ascii="宋体" w:hAnsi="宋体" w:cs="宋体"/>
          <w:sz w:val="28"/>
          <w:szCs w:val="28"/>
          <w:highlight w:val="none"/>
        </w:rPr>
      </w:pPr>
      <w:r>
        <w:rPr>
          <w:rFonts w:hint="eastAsia" w:ascii="宋体" w:hAnsi="宋体" w:cs="宋体"/>
          <w:sz w:val="28"/>
          <w:szCs w:val="28"/>
          <w:highlight w:val="none"/>
        </w:rPr>
        <w:fldChar w:fldCharType="begin"/>
      </w:r>
      <w:r>
        <w:rPr>
          <w:rFonts w:hint="eastAsia" w:ascii="宋体" w:hAnsi="宋体" w:cs="宋体"/>
          <w:sz w:val="28"/>
          <w:szCs w:val="28"/>
          <w:highlight w:val="none"/>
        </w:rPr>
        <w:instrText xml:space="preserve"> TOC \o "1-3" \h \z \u </w:instrText>
      </w:r>
      <w:r>
        <w:rPr>
          <w:rFonts w:hint="eastAsia" w:ascii="宋体" w:hAnsi="宋体" w:cs="宋体"/>
          <w:sz w:val="28"/>
          <w:szCs w:val="28"/>
          <w:highlight w:val="none"/>
        </w:rPr>
        <w:fldChar w:fldCharType="separate"/>
      </w:r>
      <w:r>
        <w:rPr>
          <w:highlight w:val="none"/>
        </w:rPr>
        <w:fldChar w:fldCharType="begin"/>
      </w:r>
      <w:r>
        <w:rPr>
          <w:highlight w:val="none"/>
        </w:rPr>
        <w:instrText xml:space="preserve"> HYPERLINK \l "_Toc14864" </w:instrText>
      </w:r>
      <w:r>
        <w:rPr>
          <w:highlight w:val="none"/>
        </w:rPr>
        <w:fldChar w:fldCharType="separate"/>
      </w:r>
      <w:r>
        <w:rPr>
          <w:rFonts w:hint="eastAsia" w:ascii="宋体" w:hAnsi="宋体" w:cs="宋体"/>
          <w:sz w:val="28"/>
          <w:szCs w:val="28"/>
          <w:highlight w:val="none"/>
        </w:rPr>
        <w:t>第一章  投标邀请</w:t>
      </w:r>
      <w:r>
        <w:rPr>
          <w:rFonts w:hint="eastAsia" w:ascii="宋体" w:hAnsi="宋体" w:cs="宋体"/>
          <w:sz w:val="28"/>
          <w:szCs w:val="28"/>
          <w:highlight w:val="none"/>
        </w:rPr>
        <w:tab/>
      </w:r>
      <w:r>
        <w:rPr>
          <w:rFonts w:hint="eastAsia" w:ascii="宋体" w:hAnsi="宋体" w:cs="宋体"/>
          <w:sz w:val="28"/>
          <w:szCs w:val="28"/>
          <w:highlight w:val="none"/>
        </w:rPr>
        <w:fldChar w:fldCharType="begin"/>
      </w:r>
      <w:r>
        <w:rPr>
          <w:rFonts w:hint="eastAsia" w:ascii="宋体" w:hAnsi="宋体" w:cs="宋体"/>
          <w:sz w:val="28"/>
          <w:szCs w:val="28"/>
          <w:highlight w:val="none"/>
        </w:rPr>
        <w:instrText xml:space="preserve"> PAGEREF _Toc14864 </w:instrText>
      </w:r>
      <w:r>
        <w:rPr>
          <w:rFonts w:hint="eastAsia" w:ascii="宋体" w:hAnsi="宋体" w:cs="宋体"/>
          <w:sz w:val="28"/>
          <w:szCs w:val="28"/>
          <w:highlight w:val="none"/>
        </w:rPr>
        <w:fldChar w:fldCharType="separate"/>
      </w:r>
      <w:r>
        <w:rPr>
          <w:rFonts w:hint="eastAsia" w:ascii="宋体" w:hAnsi="宋体" w:cs="宋体"/>
          <w:sz w:val="28"/>
          <w:szCs w:val="28"/>
          <w:highlight w:val="none"/>
        </w:rPr>
        <w:t>2</w:t>
      </w:r>
      <w:r>
        <w:rPr>
          <w:rFonts w:hint="eastAsia" w:ascii="宋体" w:hAnsi="宋体" w:cs="宋体"/>
          <w:sz w:val="28"/>
          <w:szCs w:val="28"/>
          <w:highlight w:val="none"/>
        </w:rPr>
        <w:fldChar w:fldCharType="end"/>
      </w:r>
      <w:r>
        <w:rPr>
          <w:rFonts w:hint="eastAsia" w:ascii="宋体" w:hAnsi="宋体" w:cs="宋体"/>
          <w:sz w:val="28"/>
          <w:szCs w:val="28"/>
          <w:highlight w:val="none"/>
        </w:rPr>
        <w:fldChar w:fldCharType="end"/>
      </w:r>
    </w:p>
    <w:p>
      <w:pPr>
        <w:pStyle w:val="28"/>
        <w:tabs>
          <w:tab w:val="right" w:leader="dot" w:pos="9355"/>
          <w:tab w:val="clear" w:pos="9344"/>
        </w:tabs>
        <w:rPr>
          <w:rFonts w:ascii="宋体" w:hAnsi="宋体" w:cs="宋体"/>
          <w:sz w:val="28"/>
          <w:szCs w:val="28"/>
          <w:highlight w:val="none"/>
        </w:rPr>
      </w:pPr>
      <w:r>
        <w:rPr>
          <w:highlight w:val="none"/>
        </w:rPr>
        <w:fldChar w:fldCharType="begin"/>
      </w:r>
      <w:r>
        <w:rPr>
          <w:highlight w:val="none"/>
        </w:rPr>
        <w:instrText xml:space="preserve"> HYPERLINK \l "_Toc24518" </w:instrText>
      </w:r>
      <w:r>
        <w:rPr>
          <w:highlight w:val="none"/>
        </w:rPr>
        <w:fldChar w:fldCharType="separate"/>
      </w:r>
      <w:r>
        <w:rPr>
          <w:rFonts w:hint="eastAsia" w:ascii="宋体" w:hAnsi="宋体" w:cs="宋体"/>
          <w:sz w:val="28"/>
          <w:szCs w:val="28"/>
          <w:highlight w:val="none"/>
        </w:rPr>
        <w:t>第二章  投标人须知</w:t>
      </w:r>
      <w:r>
        <w:rPr>
          <w:rFonts w:hint="eastAsia" w:ascii="宋体" w:hAnsi="宋体" w:cs="宋体"/>
          <w:sz w:val="28"/>
          <w:szCs w:val="28"/>
          <w:highlight w:val="none"/>
        </w:rPr>
        <w:tab/>
      </w:r>
      <w:r>
        <w:rPr>
          <w:rFonts w:hint="eastAsia" w:ascii="宋体" w:hAnsi="宋体" w:cs="宋体"/>
          <w:sz w:val="28"/>
          <w:szCs w:val="28"/>
          <w:highlight w:val="none"/>
        </w:rPr>
        <w:fldChar w:fldCharType="begin"/>
      </w:r>
      <w:r>
        <w:rPr>
          <w:rFonts w:hint="eastAsia" w:ascii="宋体" w:hAnsi="宋体" w:cs="宋体"/>
          <w:sz w:val="28"/>
          <w:szCs w:val="28"/>
          <w:highlight w:val="none"/>
        </w:rPr>
        <w:instrText xml:space="preserve"> PAGEREF _Toc24518 </w:instrText>
      </w:r>
      <w:r>
        <w:rPr>
          <w:rFonts w:hint="eastAsia" w:ascii="宋体" w:hAnsi="宋体" w:cs="宋体"/>
          <w:sz w:val="28"/>
          <w:szCs w:val="28"/>
          <w:highlight w:val="none"/>
        </w:rPr>
        <w:fldChar w:fldCharType="separate"/>
      </w:r>
      <w:r>
        <w:rPr>
          <w:rFonts w:hint="eastAsia" w:ascii="宋体" w:hAnsi="宋体" w:cs="宋体"/>
          <w:sz w:val="28"/>
          <w:szCs w:val="28"/>
          <w:highlight w:val="none"/>
        </w:rPr>
        <w:t>2</w:t>
      </w:r>
      <w:r>
        <w:rPr>
          <w:rFonts w:hint="eastAsia" w:ascii="宋体" w:hAnsi="宋体" w:cs="宋体"/>
          <w:sz w:val="28"/>
          <w:szCs w:val="28"/>
          <w:highlight w:val="none"/>
        </w:rPr>
        <w:fldChar w:fldCharType="end"/>
      </w:r>
      <w:r>
        <w:rPr>
          <w:rFonts w:hint="eastAsia" w:ascii="宋体" w:hAnsi="宋体" w:cs="宋体"/>
          <w:sz w:val="28"/>
          <w:szCs w:val="28"/>
          <w:highlight w:val="none"/>
        </w:rPr>
        <w:fldChar w:fldCharType="end"/>
      </w:r>
    </w:p>
    <w:p>
      <w:pPr>
        <w:pStyle w:val="28"/>
        <w:tabs>
          <w:tab w:val="right" w:leader="dot" w:pos="9355"/>
          <w:tab w:val="clear" w:pos="9344"/>
        </w:tabs>
        <w:rPr>
          <w:rFonts w:ascii="宋体" w:hAnsi="宋体" w:cs="宋体"/>
          <w:sz w:val="28"/>
          <w:szCs w:val="28"/>
          <w:highlight w:val="none"/>
        </w:rPr>
      </w:pPr>
      <w:r>
        <w:rPr>
          <w:highlight w:val="none"/>
        </w:rPr>
        <w:fldChar w:fldCharType="begin"/>
      </w:r>
      <w:r>
        <w:rPr>
          <w:highlight w:val="none"/>
        </w:rPr>
        <w:instrText xml:space="preserve"> HYPERLINK \l "_Toc21275" </w:instrText>
      </w:r>
      <w:r>
        <w:rPr>
          <w:highlight w:val="none"/>
        </w:rPr>
        <w:fldChar w:fldCharType="separate"/>
      </w:r>
      <w:r>
        <w:rPr>
          <w:rFonts w:hint="eastAsia" w:ascii="宋体" w:hAnsi="宋体" w:cs="宋体"/>
          <w:sz w:val="28"/>
          <w:szCs w:val="28"/>
          <w:highlight w:val="none"/>
        </w:rPr>
        <w:t>第三章  采购需求及技术要求</w:t>
      </w:r>
      <w:r>
        <w:rPr>
          <w:rFonts w:hint="eastAsia" w:ascii="宋体" w:hAnsi="宋体" w:cs="宋体"/>
          <w:sz w:val="28"/>
          <w:szCs w:val="28"/>
          <w:highlight w:val="none"/>
        </w:rPr>
        <w:tab/>
      </w:r>
      <w:r>
        <w:rPr>
          <w:rFonts w:hint="eastAsia" w:ascii="宋体" w:hAnsi="宋体" w:cs="宋体"/>
          <w:sz w:val="28"/>
          <w:szCs w:val="28"/>
          <w:highlight w:val="none"/>
        </w:rPr>
        <w:fldChar w:fldCharType="begin"/>
      </w:r>
      <w:r>
        <w:rPr>
          <w:rFonts w:hint="eastAsia" w:ascii="宋体" w:hAnsi="宋体" w:cs="宋体"/>
          <w:sz w:val="28"/>
          <w:szCs w:val="28"/>
          <w:highlight w:val="none"/>
        </w:rPr>
        <w:instrText xml:space="preserve"> PAGEREF _Toc21275 </w:instrText>
      </w:r>
      <w:r>
        <w:rPr>
          <w:rFonts w:hint="eastAsia" w:ascii="宋体" w:hAnsi="宋体" w:cs="宋体"/>
          <w:sz w:val="28"/>
          <w:szCs w:val="28"/>
          <w:highlight w:val="none"/>
        </w:rPr>
        <w:fldChar w:fldCharType="separate"/>
      </w:r>
      <w:r>
        <w:rPr>
          <w:rFonts w:hint="eastAsia" w:ascii="宋体" w:hAnsi="宋体" w:cs="宋体"/>
          <w:sz w:val="28"/>
          <w:szCs w:val="28"/>
          <w:highlight w:val="none"/>
        </w:rPr>
        <w:t>31</w:t>
      </w:r>
      <w:r>
        <w:rPr>
          <w:rFonts w:hint="eastAsia" w:ascii="宋体" w:hAnsi="宋体" w:cs="宋体"/>
          <w:sz w:val="28"/>
          <w:szCs w:val="28"/>
          <w:highlight w:val="none"/>
        </w:rPr>
        <w:fldChar w:fldCharType="end"/>
      </w:r>
      <w:r>
        <w:rPr>
          <w:rFonts w:hint="eastAsia" w:ascii="宋体" w:hAnsi="宋体" w:cs="宋体"/>
          <w:sz w:val="28"/>
          <w:szCs w:val="28"/>
          <w:highlight w:val="none"/>
        </w:rPr>
        <w:fldChar w:fldCharType="end"/>
      </w:r>
    </w:p>
    <w:p>
      <w:pPr>
        <w:pStyle w:val="28"/>
        <w:tabs>
          <w:tab w:val="right" w:leader="dot" w:pos="9355"/>
          <w:tab w:val="clear" w:pos="9344"/>
        </w:tabs>
        <w:rPr>
          <w:rFonts w:ascii="宋体" w:hAnsi="宋体" w:cs="宋体"/>
          <w:sz w:val="28"/>
          <w:szCs w:val="28"/>
          <w:highlight w:val="none"/>
        </w:rPr>
      </w:pPr>
      <w:r>
        <w:rPr>
          <w:highlight w:val="none"/>
        </w:rPr>
        <w:fldChar w:fldCharType="begin"/>
      </w:r>
      <w:r>
        <w:rPr>
          <w:highlight w:val="none"/>
        </w:rPr>
        <w:instrText xml:space="preserve"> HYPERLINK \l "_Toc22650" </w:instrText>
      </w:r>
      <w:r>
        <w:rPr>
          <w:highlight w:val="none"/>
        </w:rPr>
        <w:fldChar w:fldCharType="separate"/>
      </w:r>
      <w:r>
        <w:rPr>
          <w:rFonts w:hint="eastAsia" w:ascii="宋体" w:hAnsi="宋体" w:cs="宋体"/>
          <w:sz w:val="28"/>
          <w:szCs w:val="28"/>
          <w:highlight w:val="none"/>
        </w:rPr>
        <w:t>第四章  资格证明文件</w:t>
      </w:r>
      <w:r>
        <w:rPr>
          <w:rFonts w:hint="eastAsia" w:ascii="宋体" w:hAnsi="宋体" w:cs="宋体"/>
          <w:sz w:val="28"/>
          <w:szCs w:val="28"/>
          <w:highlight w:val="none"/>
        </w:rPr>
        <w:tab/>
      </w:r>
      <w:r>
        <w:rPr>
          <w:rFonts w:hint="eastAsia" w:ascii="宋体" w:hAnsi="宋体" w:cs="宋体"/>
          <w:sz w:val="28"/>
          <w:szCs w:val="28"/>
          <w:highlight w:val="none"/>
        </w:rPr>
        <w:fldChar w:fldCharType="begin"/>
      </w:r>
      <w:r>
        <w:rPr>
          <w:rFonts w:hint="eastAsia" w:ascii="宋体" w:hAnsi="宋体" w:cs="宋体"/>
          <w:sz w:val="28"/>
          <w:szCs w:val="28"/>
          <w:highlight w:val="none"/>
        </w:rPr>
        <w:instrText xml:space="preserve"> PAGEREF _Toc22650 </w:instrText>
      </w:r>
      <w:r>
        <w:rPr>
          <w:rFonts w:hint="eastAsia" w:ascii="宋体" w:hAnsi="宋体" w:cs="宋体"/>
          <w:sz w:val="28"/>
          <w:szCs w:val="28"/>
          <w:highlight w:val="none"/>
        </w:rPr>
        <w:fldChar w:fldCharType="separate"/>
      </w:r>
      <w:r>
        <w:rPr>
          <w:rFonts w:hint="eastAsia" w:ascii="宋体" w:hAnsi="宋体" w:cs="宋体"/>
          <w:sz w:val="28"/>
          <w:szCs w:val="28"/>
          <w:highlight w:val="none"/>
        </w:rPr>
        <w:t>31</w:t>
      </w:r>
      <w:r>
        <w:rPr>
          <w:rFonts w:hint="eastAsia" w:ascii="宋体" w:hAnsi="宋体" w:cs="宋体"/>
          <w:sz w:val="28"/>
          <w:szCs w:val="28"/>
          <w:highlight w:val="none"/>
        </w:rPr>
        <w:fldChar w:fldCharType="end"/>
      </w:r>
      <w:r>
        <w:rPr>
          <w:rFonts w:hint="eastAsia" w:ascii="宋体" w:hAnsi="宋体" w:cs="宋体"/>
          <w:sz w:val="28"/>
          <w:szCs w:val="28"/>
          <w:highlight w:val="none"/>
        </w:rPr>
        <w:fldChar w:fldCharType="end"/>
      </w:r>
    </w:p>
    <w:p>
      <w:pPr>
        <w:pStyle w:val="28"/>
        <w:tabs>
          <w:tab w:val="right" w:leader="dot" w:pos="9355"/>
          <w:tab w:val="clear" w:pos="9344"/>
        </w:tabs>
        <w:rPr>
          <w:rFonts w:ascii="宋体" w:hAnsi="宋体" w:cs="宋体"/>
          <w:sz w:val="28"/>
          <w:szCs w:val="28"/>
          <w:highlight w:val="none"/>
        </w:rPr>
      </w:pPr>
      <w:r>
        <w:rPr>
          <w:highlight w:val="none"/>
        </w:rPr>
        <w:fldChar w:fldCharType="begin"/>
      </w:r>
      <w:r>
        <w:rPr>
          <w:highlight w:val="none"/>
        </w:rPr>
        <w:instrText xml:space="preserve"> HYPERLINK \l "_Toc7707" </w:instrText>
      </w:r>
      <w:r>
        <w:rPr>
          <w:highlight w:val="none"/>
        </w:rPr>
        <w:fldChar w:fldCharType="separate"/>
      </w:r>
      <w:r>
        <w:rPr>
          <w:rFonts w:hint="eastAsia" w:ascii="宋体" w:hAnsi="宋体" w:cs="宋体"/>
          <w:sz w:val="28"/>
          <w:szCs w:val="28"/>
          <w:highlight w:val="none"/>
        </w:rPr>
        <w:t>第五章  评标办法</w:t>
      </w:r>
      <w:r>
        <w:rPr>
          <w:rFonts w:hint="eastAsia" w:ascii="宋体" w:hAnsi="宋体" w:cs="宋体"/>
          <w:sz w:val="28"/>
          <w:szCs w:val="28"/>
          <w:highlight w:val="none"/>
        </w:rPr>
        <w:tab/>
      </w:r>
      <w:r>
        <w:rPr>
          <w:rFonts w:hint="eastAsia" w:ascii="宋体" w:hAnsi="宋体" w:cs="宋体"/>
          <w:sz w:val="28"/>
          <w:szCs w:val="28"/>
          <w:highlight w:val="none"/>
        </w:rPr>
        <w:fldChar w:fldCharType="begin"/>
      </w:r>
      <w:r>
        <w:rPr>
          <w:rFonts w:hint="eastAsia" w:ascii="宋体" w:hAnsi="宋体" w:cs="宋体"/>
          <w:sz w:val="28"/>
          <w:szCs w:val="28"/>
          <w:highlight w:val="none"/>
        </w:rPr>
        <w:instrText xml:space="preserve"> PAGEREF _Toc7707 </w:instrText>
      </w:r>
      <w:r>
        <w:rPr>
          <w:rFonts w:hint="eastAsia" w:ascii="宋体" w:hAnsi="宋体" w:cs="宋体"/>
          <w:sz w:val="28"/>
          <w:szCs w:val="28"/>
          <w:highlight w:val="none"/>
        </w:rPr>
        <w:fldChar w:fldCharType="separate"/>
      </w:r>
      <w:r>
        <w:rPr>
          <w:rFonts w:hint="eastAsia" w:ascii="宋体" w:hAnsi="宋体" w:cs="宋体"/>
          <w:sz w:val="28"/>
          <w:szCs w:val="28"/>
          <w:highlight w:val="none"/>
        </w:rPr>
        <w:t>37</w:t>
      </w:r>
      <w:r>
        <w:rPr>
          <w:rFonts w:hint="eastAsia" w:ascii="宋体" w:hAnsi="宋体" w:cs="宋体"/>
          <w:sz w:val="28"/>
          <w:szCs w:val="28"/>
          <w:highlight w:val="none"/>
        </w:rPr>
        <w:fldChar w:fldCharType="end"/>
      </w:r>
      <w:r>
        <w:rPr>
          <w:rFonts w:hint="eastAsia" w:ascii="宋体" w:hAnsi="宋体" w:cs="宋体"/>
          <w:sz w:val="28"/>
          <w:szCs w:val="28"/>
          <w:highlight w:val="none"/>
        </w:rPr>
        <w:fldChar w:fldCharType="end"/>
      </w:r>
    </w:p>
    <w:p>
      <w:pPr>
        <w:pStyle w:val="28"/>
        <w:tabs>
          <w:tab w:val="right" w:leader="dot" w:pos="9355"/>
          <w:tab w:val="clear" w:pos="9344"/>
        </w:tabs>
        <w:rPr>
          <w:rFonts w:ascii="宋体" w:hAnsi="宋体" w:cs="宋体"/>
          <w:sz w:val="28"/>
          <w:szCs w:val="28"/>
          <w:highlight w:val="none"/>
        </w:rPr>
      </w:pPr>
      <w:r>
        <w:rPr>
          <w:highlight w:val="none"/>
        </w:rPr>
        <w:fldChar w:fldCharType="begin"/>
      </w:r>
      <w:r>
        <w:rPr>
          <w:highlight w:val="none"/>
        </w:rPr>
        <w:instrText xml:space="preserve"> HYPERLINK \l "_Toc23448" </w:instrText>
      </w:r>
      <w:r>
        <w:rPr>
          <w:highlight w:val="none"/>
        </w:rPr>
        <w:fldChar w:fldCharType="separate"/>
      </w:r>
      <w:r>
        <w:rPr>
          <w:rFonts w:hint="eastAsia" w:ascii="宋体" w:hAnsi="宋体" w:cs="宋体"/>
          <w:sz w:val="28"/>
          <w:szCs w:val="28"/>
          <w:highlight w:val="none"/>
        </w:rPr>
        <w:t>第六章  投标文件格式</w:t>
      </w:r>
      <w:r>
        <w:rPr>
          <w:rFonts w:hint="eastAsia" w:ascii="宋体" w:hAnsi="宋体" w:cs="宋体"/>
          <w:sz w:val="28"/>
          <w:szCs w:val="28"/>
          <w:highlight w:val="none"/>
        </w:rPr>
        <w:tab/>
      </w:r>
      <w:r>
        <w:rPr>
          <w:rFonts w:hint="eastAsia" w:ascii="宋体" w:hAnsi="宋体" w:cs="宋体"/>
          <w:sz w:val="28"/>
          <w:szCs w:val="28"/>
          <w:highlight w:val="none"/>
        </w:rPr>
        <w:fldChar w:fldCharType="begin"/>
      </w:r>
      <w:r>
        <w:rPr>
          <w:rFonts w:hint="eastAsia" w:ascii="宋体" w:hAnsi="宋体" w:cs="宋体"/>
          <w:sz w:val="28"/>
          <w:szCs w:val="28"/>
          <w:highlight w:val="none"/>
        </w:rPr>
        <w:instrText xml:space="preserve"> PAGEREF _Toc23448 </w:instrText>
      </w:r>
      <w:r>
        <w:rPr>
          <w:rFonts w:hint="eastAsia" w:ascii="宋体" w:hAnsi="宋体" w:cs="宋体"/>
          <w:sz w:val="28"/>
          <w:szCs w:val="28"/>
          <w:highlight w:val="none"/>
        </w:rPr>
        <w:fldChar w:fldCharType="separate"/>
      </w:r>
      <w:r>
        <w:rPr>
          <w:rFonts w:hint="eastAsia" w:ascii="宋体" w:hAnsi="宋体" w:cs="宋体"/>
          <w:sz w:val="28"/>
          <w:szCs w:val="28"/>
          <w:highlight w:val="none"/>
        </w:rPr>
        <w:t>42</w:t>
      </w:r>
      <w:r>
        <w:rPr>
          <w:rFonts w:hint="eastAsia" w:ascii="宋体" w:hAnsi="宋体" w:cs="宋体"/>
          <w:sz w:val="28"/>
          <w:szCs w:val="28"/>
          <w:highlight w:val="none"/>
        </w:rPr>
        <w:fldChar w:fldCharType="end"/>
      </w:r>
      <w:r>
        <w:rPr>
          <w:rFonts w:hint="eastAsia" w:ascii="宋体" w:hAnsi="宋体" w:cs="宋体"/>
          <w:sz w:val="28"/>
          <w:szCs w:val="28"/>
          <w:highlight w:val="none"/>
        </w:rPr>
        <w:fldChar w:fldCharType="end"/>
      </w:r>
    </w:p>
    <w:p>
      <w:pPr>
        <w:pStyle w:val="28"/>
        <w:tabs>
          <w:tab w:val="right" w:leader="dot" w:pos="9355"/>
          <w:tab w:val="clear" w:pos="9344"/>
        </w:tabs>
        <w:rPr>
          <w:rFonts w:ascii="宋体" w:hAnsi="宋体" w:cs="宋体"/>
          <w:sz w:val="28"/>
          <w:szCs w:val="28"/>
          <w:highlight w:val="none"/>
        </w:rPr>
      </w:pPr>
      <w:r>
        <w:rPr>
          <w:highlight w:val="none"/>
        </w:rPr>
        <w:fldChar w:fldCharType="begin"/>
      </w:r>
      <w:r>
        <w:rPr>
          <w:highlight w:val="none"/>
        </w:rPr>
        <w:instrText xml:space="preserve"> HYPERLINK \l "_Toc11150" </w:instrText>
      </w:r>
      <w:r>
        <w:rPr>
          <w:highlight w:val="none"/>
        </w:rPr>
        <w:fldChar w:fldCharType="separate"/>
      </w:r>
      <w:r>
        <w:rPr>
          <w:rFonts w:hint="eastAsia" w:ascii="宋体" w:hAnsi="宋体" w:cs="宋体"/>
          <w:sz w:val="28"/>
          <w:szCs w:val="28"/>
          <w:highlight w:val="none"/>
        </w:rPr>
        <w:t>第七章  合同条款及合同格式</w:t>
      </w:r>
      <w:r>
        <w:rPr>
          <w:rFonts w:hint="eastAsia" w:ascii="宋体" w:hAnsi="宋体" w:cs="宋体"/>
          <w:sz w:val="28"/>
          <w:szCs w:val="28"/>
          <w:highlight w:val="none"/>
        </w:rPr>
        <w:tab/>
      </w:r>
      <w:r>
        <w:rPr>
          <w:rFonts w:hint="eastAsia" w:ascii="宋体" w:hAnsi="宋体" w:cs="宋体"/>
          <w:sz w:val="28"/>
          <w:szCs w:val="28"/>
          <w:highlight w:val="none"/>
        </w:rPr>
        <w:fldChar w:fldCharType="begin"/>
      </w:r>
      <w:r>
        <w:rPr>
          <w:rFonts w:hint="eastAsia" w:ascii="宋体" w:hAnsi="宋体" w:cs="宋体"/>
          <w:sz w:val="28"/>
          <w:szCs w:val="28"/>
          <w:highlight w:val="none"/>
        </w:rPr>
        <w:instrText xml:space="preserve"> PAGEREF _Toc11150 </w:instrText>
      </w:r>
      <w:r>
        <w:rPr>
          <w:rFonts w:hint="eastAsia" w:ascii="宋体" w:hAnsi="宋体" w:cs="宋体"/>
          <w:sz w:val="28"/>
          <w:szCs w:val="28"/>
          <w:highlight w:val="none"/>
        </w:rPr>
        <w:fldChar w:fldCharType="separate"/>
      </w:r>
      <w:r>
        <w:rPr>
          <w:rFonts w:hint="eastAsia" w:ascii="宋体" w:hAnsi="宋体" w:cs="宋体"/>
          <w:sz w:val="28"/>
          <w:szCs w:val="28"/>
          <w:highlight w:val="none"/>
        </w:rPr>
        <w:t>65</w:t>
      </w:r>
      <w:r>
        <w:rPr>
          <w:rFonts w:hint="eastAsia" w:ascii="宋体" w:hAnsi="宋体" w:cs="宋体"/>
          <w:sz w:val="28"/>
          <w:szCs w:val="28"/>
          <w:highlight w:val="none"/>
        </w:rPr>
        <w:fldChar w:fldCharType="end"/>
      </w:r>
      <w:r>
        <w:rPr>
          <w:rFonts w:hint="eastAsia" w:ascii="宋体" w:hAnsi="宋体" w:cs="宋体"/>
          <w:sz w:val="28"/>
          <w:szCs w:val="28"/>
          <w:highlight w:val="none"/>
        </w:rPr>
        <w:fldChar w:fldCharType="end"/>
      </w:r>
    </w:p>
    <w:p>
      <w:pPr>
        <w:pStyle w:val="28"/>
        <w:spacing w:line="360" w:lineRule="auto"/>
        <w:rPr>
          <w:rFonts w:ascii="宋体" w:hAnsi="宋体" w:cs="宋体"/>
          <w:highlight w:val="none"/>
        </w:rPr>
      </w:pPr>
      <w:r>
        <w:rPr>
          <w:rFonts w:hint="eastAsia" w:ascii="宋体" w:hAnsi="宋体" w:cs="宋体"/>
          <w:sz w:val="28"/>
          <w:szCs w:val="28"/>
          <w:highlight w:val="none"/>
        </w:rPr>
        <w:fldChar w:fldCharType="end"/>
      </w:r>
      <w:bookmarkEnd w:id="0"/>
      <w:bookmarkStart w:id="6" w:name="_Toc128372051"/>
      <w:bookmarkStart w:id="7" w:name="_Toc139965325"/>
      <w:bookmarkStart w:id="8" w:name="_Toc128372729"/>
      <w:bookmarkStart w:id="9" w:name="_Toc327439434"/>
    </w:p>
    <w:p>
      <w:pPr>
        <w:pStyle w:val="6"/>
        <w:rPr>
          <w:rFonts w:ascii="宋体" w:hAnsi="宋体" w:cs="宋体"/>
          <w:highlight w:val="none"/>
        </w:rPr>
      </w:pPr>
    </w:p>
    <w:p>
      <w:pPr>
        <w:rPr>
          <w:rFonts w:ascii="宋体" w:hAnsi="宋体" w:cs="宋体"/>
          <w:highlight w:val="none"/>
        </w:rPr>
      </w:pPr>
    </w:p>
    <w:p>
      <w:pPr>
        <w:pStyle w:val="30"/>
        <w:rPr>
          <w:rFonts w:ascii="宋体" w:hAnsi="宋体" w:cs="宋体"/>
          <w:highlight w:val="none"/>
        </w:rPr>
      </w:pPr>
    </w:p>
    <w:p>
      <w:pPr>
        <w:rPr>
          <w:rFonts w:ascii="宋体" w:hAnsi="宋体" w:cs="宋体"/>
          <w:highlight w:val="none"/>
        </w:rPr>
      </w:pPr>
    </w:p>
    <w:p>
      <w:pPr>
        <w:pStyle w:val="30"/>
        <w:rPr>
          <w:rFonts w:ascii="宋体" w:hAnsi="宋体" w:cs="宋体"/>
          <w:highlight w:val="none"/>
        </w:rPr>
      </w:pPr>
    </w:p>
    <w:p>
      <w:pPr>
        <w:rPr>
          <w:rFonts w:ascii="宋体" w:hAnsi="宋体" w:cs="宋体"/>
          <w:highlight w:val="none"/>
        </w:rPr>
      </w:pPr>
    </w:p>
    <w:p>
      <w:pPr>
        <w:pStyle w:val="30"/>
        <w:rPr>
          <w:rFonts w:ascii="宋体" w:hAnsi="宋体" w:cs="宋体"/>
          <w:highlight w:val="none"/>
        </w:rPr>
      </w:pPr>
    </w:p>
    <w:p>
      <w:pPr>
        <w:rPr>
          <w:rFonts w:ascii="宋体" w:hAnsi="宋体" w:cs="宋体"/>
          <w:highlight w:val="none"/>
        </w:rPr>
      </w:pPr>
    </w:p>
    <w:p>
      <w:pPr>
        <w:pStyle w:val="30"/>
        <w:rPr>
          <w:rFonts w:ascii="宋体" w:hAnsi="宋体" w:cs="宋体"/>
          <w:highlight w:val="none"/>
        </w:rPr>
      </w:pPr>
    </w:p>
    <w:p>
      <w:pPr>
        <w:rPr>
          <w:rFonts w:ascii="宋体" w:hAnsi="宋体" w:cs="宋体"/>
          <w:highlight w:val="none"/>
        </w:rPr>
      </w:pPr>
    </w:p>
    <w:p>
      <w:pPr>
        <w:pStyle w:val="30"/>
        <w:rPr>
          <w:rFonts w:ascii="宋体" w:hAnsi="宋体" w:cs="宋体"/>
          <w:highlight w:val="none"/>
        </w:rPr>
      </w:pPr>
    </w:p>
    <w:p>
      <w:pPr>
        <w:rPr>
          <w:rFonts w:ascii="宋体" w:hAnsi="宋体" w:cs="宋体"/>
          <w:highlight w:val="none"/>
        </w:rPr>
      </w:pPr>
    </w:p>
    <w:p>
      <w:pPr>
        <w:pStyle w:val="30"/>
        <w:rPr>
          <w:rFonts w:ascii="宋体" w:hAnsi="宋体" w:cs="宋体"/>
          <w:highlight w:val="none"/>
        </w:rPr>
      </w:pPr>
    </w:p>
    <w:p>
      <w:pPr>
        <w:rPr>
          <w:rFonts w:ascii="宋体" w:hAnsi="宋体" w:cs="宋体"/>
          <w:highlight w:val="none"/>
        </w:rPr>
      </w:pPr>
    </w:p>
    <w:p>
      <w:pPr>
        <w:pStyle w:val="30"/>
        <w:rPr>
          <w:rFonts w:ascii="宋体" w:hAnsi="宋体" w:cs="宋体"/>
          <w:highlight w:val="none"/>
        </w:rPr>
      </w:pPr>
    </w:p>
    <w:p>
      <w:pPr>
        <w:rPr>
          <w:rFonts w:ascii="宋体" w:hAnsi="宋体" w:cs="宋体"/>
          <w:highlight w:val="none"/>
        </w:rPr>
      </w:pPr>
    </w:p>
    <w:p>
      <w:pPr>
        <w:pStyle w:val="30"/>
        <w:rPr>
          <w:rFonts w:ascii="宋体" w:hAnsi="宋体" w:cs="宋体"/>
          <w:highlight w:val="none"/>
        </w:rPr>
      </w:pPr>
    </w:p>
    <w:p>
      <w:pPr>
        <w:rPr>
          <w:rFonts w:ascii="宋体" w:hAnsi="宋体" w:cs="宋体"/>
          <w:highlight w:val="none"/>
        </w:rPr>
      </w:pPr>
    </w:p>
    <w:p>
      <w:pPr>
        <w:pStyle w:val="30"/>
        <w:rPr>
          <w:rFonts w:ascii="宋体" w:hAnsi="宋体" w:cs="宋体"/>
          <w:highlight w:val="none"/>
        </w:rPr>
      </w:pPr>
    </w:p>
    <w:p>
      <w:pPr>
        <w:rPr>
          <w:rFonts w:ascii="宋体" w:hAnsi="宋体" w:cs="宋体"/>
          <w:highlight w:val="none"/>
        </w:rPr>
      </w:pPr>
    </w:p>
    <w:p>
      <w:pPr>
        <w:pStyle w:val="30"/>
        <w:rPr>
          <w:rFonts w:ascii="宋体" w:hAnsi="宋体" w:cs="宋体"/>
          <w:highlight w:val="none"/>
        </w:rPr>
      </w:pPr>
    </w:p>
    <w:p>
      <w:pPr>
        <w:rPr>
          <w:highlight w:val="none"/>
        </w:rPr>
      </w:pPr>
    </w:p>
    <w:p>
      <w:pPr>
        <w:pStyle w:val="16"/>
        <w:rPr>
          <w:highlight w:val="none"/>
        </w:rPr>
      </w:pPr>
    </w:p>
    <w:p>
      <w:pPr>
        <w:rPr>
          <w:highlight w:val="none"/>
        </w:rPr>
      </w:pPr>
    </w:p>
    <w:p>
      <w:pPr>
        <w:rPr>
          <w:rFonts w:ascii="宋体" w:hAnsi="宋体" w:cs="宋体"/>
          <w:highlight w:val="none"/>
        </w:rPr>
      </w:pPr>
    </w:p>
    <w:p>
      <w:pPr>
        <w:pStyle w:val="6"/>
        <w:rPr>
          <w:rFonts w:ascii="宋体" w:hAnsi="宋体" w:cs="宋体"/>
          <w:sz w:val="32"/>
          <w:szCs w:val="32"/>
          <w:highlight w:val="none"/>
        </w:rPr>
      </w:pPr>
      <w:bookmarkStart w:id="10" w:name="_Toc14864"/>
      <w:bookmarkStart w:id="11" w:name="_Toc5582"/>
      <w:bookmarkStart w:id="12" w:name="_Toc31039"/>
      <w:r>
        <w:rPr>
          <w:rFonts w:hint="eastAsia" w:ascii="宋体" w:hAnsi="宋体" w:cs="宋体"/>
          <w:sz w:val="32"/>
          <w:szCs w:val="32"/>
          <w:highlight w:val="none"/>
        </w:rPr>
        <w:t>第一章  投标邀请</w:t>
      </w:r>
      <w:bookmarkEnd w:id="10"/>
      <w:bookmarkEnd w:id="11"/>
      <w:bookmarkEnd w:id="12"/>
    </w:p>
    <w:p>
      <w:pPr>
        <w:spacing w:line="440" w:lineRule="exact"/>
        <w:ind w:firstLine="480" w:firstLineChars="200"/>
        <w:jc w:val="left"/>
        <w:rPr>
          <w:rFonts w:ascii="宋体" w:hAnsi="宋体" w:cs="宋体"/>
          <w:color w:val="auto"/>
          <w:sz w:val="24"/>
          <w:highlight w:val="none"/>
        </w:rPr>
      </w:pPr>
      <w:bookmarkStart w:id="13" w:name="_Toc24518"/>
      <w:bookmarkStart w:id="14" w:name="_Toc19002"/>
      <w:bookmarkStart w:id="15" w:name="_Toc27687"/>
      <w:bookmarkStart w:id="600" w:name="_GoBack"/>
      <w:r>
        <w:rPr>
          <w:rFonts w:hint="eastAsia" w:ascii="宋体" w:hAnsi="宋体" w:cs="宋体"/>
          <w:color w:val="auto"/>
          <w:sz w:val="24"/>
          <w:highlight w:val="none"/>
          <w:lang w:val="en-US" w:eastAsia="zh-CN"/>
        </w:rPr>
        <w:t>甘肃省第二人民医院幽门螺旋杆菌检测仪采购项目</w:t>
      </w:r>
      <w:r>
        <w:rPr>
          <w:rFonts w:hint="eastAsia" w:ascii="宋体" w:hAnsi="宋体" w:cs="宋体"/>
          <w:color w:val="auto"/>
          <w:sz w:val="24"/>
          <w:highlight w:val="none"/>
        </w:rPr>
        <w:t>以公开招标形式进行采购，欢迎符合资格条件的投标人前来参加。</w:t>
      </w:r>
    </w:p>
    <w:p>
      <w:pPr>
        <w:spacing w:line="440" w:lineRule="exact"/>
        <w:rPr>
          <w:rFonts w:hint="default" w:ascii="宋体" w:hAnsi="宋体" w:eastAsia="宋体" w:cs="宋体"/>
          <w:b/>
          <w:color w:val="auto"/>
          <w:sz w:val="24"/>
          <w:highlight w:val="none"/>
          <w:lang w:val="en-US" w:eastAsia="zh-CN"/>
        </w:rPr>
      </w:pPr>
      <w:r>
        <w:rPr>
          <w:rFonts w:hint="eastAsia" w:ascii="宋体" w:hAnsi="宋体" w:cs="宋体"/>
          <w:b/>
          <w:bCs/>
          <w:color w:val="auto"/>
          <w:sz w:val="24"/>
          <w:highlight w:val="none"/>
        </w:rPr>
        <w:t>1.招标文件编号：SEY-2023YNCG-0</w:t>
      </w:r>
      <w:r>
        <w:rPr>
          <w:rFonts w:hint="eastAsia" w:ascii="宋体" w:hAnsi="宋体" w:cs="宋体"/>
          <w:b/>
          <w:bCs/>
          <w:color w:val="auto"/>
          <w:sz w:val="24"/>
          <w:highlight w:val="none"/>
          <w:lang w:val="en-US" w:eastAsia="zh-CN"/>
        </w:rPr>
        <w:t>21</w:t>
      </w:r>
    </w:p>
    <w:tbl>
      <w:tblPr>
        <w:tblStyle w:val="38"/>
        <w:tblpPr w:leftFromText="180" w:rightFromText="180" w:vertAnchor="text" w:horzAnchor="page" w:tblpX="1935" w:tblpY="461"/>
        <w:tblOverlap w:val="never"/>
        <w:tblW w:w="851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0"/>
        <w:gridCol w:w="2233"/>
        <w:gridCol w:w="794"/>
        <w:gridCol w:w="838"/>
        <w:gridCol w:w="1758"/>
        <w:gridCol w:w="21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3" w:hRule="atLeast"/>
        </w:trPr>
        <w:tc>
          <w:tcPr>
            <w:tcW w:w="710" w:type="dxa"/>
            <w:vAlign w:val="center"/>
          </w:tcPr>
          <w:p>
            <w:pPr>
              <w:jc w:val="center"/>
              <w:rPr>
                <w:rFonts w:hint="eastAsia" w:ascii="宋体" w:hAnsi="宋体" w:eastAsia="宋体" w:cs="宋体"/>
                <w:color w:val="auto"/>
                <w:kern w:val="0"/>
                <w:sz w:val="24"/>
                <w:szCs w:val="24"/>
                <w:highlight w:val="none"/>
              </w:rPr>
            </w:pPr>
            <w:r>
              <w:rPr>
                <w:rFonts w:hint="eastAsia" w:ascii="宋体" w:hAnsi="宋体" w:cs="宋体"/>
                <w:b/>
                <w:bCs/>
                <w:color w:val="auto"/>
                <w:kern w:val="0"/>
                <w:sz w:val="24"/>
                <w:szCs w:val="24"/>
                <w:highlight w:val="none"/>
                <w:lang w:val="en-US" w:eastAsia="zh-CN"/>
              </w:rPr>
              <w:t>包</w:t>
            </w:r>
            <w:r>
              <w:rPr>
                <w:rFonts w:hint="eastAsia" w:ascii="宋体" w:hAnsi="宋体" w:eastAsia="宋体" w:cs="宋体"/>
                <w:b/>
                <w:bCs/>
                <w:color w:val="auto"/>
                <w:kern w:val="0"/>
                <w:sz w:val="24"/>
                <w:szCs w:val="24"/>
                <w:highlight w:val="none"/>
              </w:rPr>
              <w:t>号</w:t>
            </w:r>
          </w:p>
        </w:tc>
        <w:tc>
          <w:tcPr>
            <w:tcW w:w="2233" w:type="dxa"/>
            <w:vAlign w:val="center"/>
          </w:tcPr>
          <w:p>
            <w:pPr>
              <w:jc w:val="center"/>
              <w:rPr>
                <w:rFonts w:hint="eastAsia" w:ascii="宋体" w:hAnsi="宋体" w:eastAsia="宋体" w:cs="宋体"/>
                <w:b/>
                <w:bCs/>
                <w:color w:val="auto"/>
                <w:sz w:val="24"/>
                <w:szCs w:val="24"/>
                <w:highlight w:val="none"/>
                <w:lang w:bidi="zh-CN"/>
              </w:rPr>
            </w:pPr>
            <w:r>
              <w:rPr>
                <w:rFonts w:hint="eastAsia" w:ascii="宋体" w:hAnsi="宋体" w:eastAsia="宋体" w:cs="宋体"/>
                <w:b/>
                <w:bCs/>
                <w:color w:val="auto"/>
                <w:sz w:val="24"/>
                <w:szCs w:val="24"/>
                <w:highlight w:val="none"/>
              </w:rPr>
              <w:t>设备名称</w:t>
            </w:r>
          </w:p>
        </w:tc>
        <w:tc>
          <w:tcPr>
            <w:tcW w:w="794" w:type="dxa"/>
            <w:vAlign w:val="center"/>
          </w:tcPr>
          <w:p>
            <w:pPr>
              <w:jc w:val="center"/>
              <w:rPr>
                <w:rFonts w:hint="eastAsia" w:ascii="宋体" w:hAnsi="宋体" w:eastAsia="宋体" w:cs="宋体"/>
                <w:b/>
                <w:bCs/>
                <w:color w:val="auto"/>
                <w:sz w:val="24"/>
                <w:szCs w:val="24"/>
                <w:highlight w:val="none"/>
                <w:lang w:bidi="zh-CN"/>
              </w:rPr>
            </w:pPr>
            <w:r>
              <w:rPr>
                <w:rFonts w:hint="eastAsia" w:ascii="宋体" w:hAnsi="宋体" w:eastAsia="宋体" w:cs="宋体"/>
                <w:b/>
                <w:bCs/>
                <w:color w:val="auto"/>
                <w:sz w:val="24"/>
                <w:szCs w:val="24"/>
                <w:highlight w:val="none"/>
              </w:rPr>
              <w:t>数量</w:t>
            </w:r>
          </w:p>
        </w:tc>
        <w:tc>
          <w:tcPr>
            <w:tcW w:w="838" w:type="dxa"/>
            <w:vAlign w:val="center"/>
          </w:tcPr>
          <w:p>
            <w:pPr>
              <w:jc w:val="center"/>
              <w:rPr>
                <w:rFonts w:hint="eastAsia" w:ascii="宋体" w:hAnsi="宋体" w:eastAsia="宋体" w:cs="宋体"/>
                <w:b/>
                <w:bCs/>
                <w:color w:val="auto"/>
                <w:sz w:val="24"/>
                <w:szCs w:val="24"/>
                <w:highlight w:val="none"/>
                <w:lang w:bidi="zh-CN"/>
              </w:rPr>
            </w:pPr>
            <w:r>
              <w:rPr>
                <w:rFonts w:hint="eastAsia" w:ascii="宋体" w:hAnsi="宋体" w:eastAsia="宋体" w:cs="宋体"/>
                <w:b/>
                <w:bCs/>
                <w:color w:val="auto"/>
                <w:sz w:val="24"/>
                <w:szCs w:val="24"/>
                <w:highlight w:val="none"/>
              </w:rPr>
              <w:t>单位</w:t>
            </w:r>
          </w:p>
        </w:tc>
        <w:tc>
          <w:tcPr>
            <w:tcW w:w="1758" w:type="dxa"/>
            <w:vAlign w:val="center"/>
          </w:tcPr>
          <w:p>
            <w:pPr>
              <w:jc w:val="center"/>
              <w:rPr>
                <w:rFonts w:hint="default" w:ascii="宋体" w:hAnsi="宋体" w:eastAsia="宋体" w:cs="宋体"/>
                <w:b/>
                <w:bCs/>
                <w:color w:val="auto"/>
                <w:sz w:val="24"/>
                <w:szCs w:val="24"/>
                <w:highlight w:val="none"/>
                <w:lang w:val="en-US" w:eastAsia="zh-CN" w:bidi="zh-CN"/>
              </w:rPr>
            </w:pPr>
            <w:r>
              <w:rPr>
                <w:rFonts w:hint="eastAsia" w:ascii="宋体" w:hAnsi="宋体" w:cs="宋体"/>
                <w:b/>
                <w:bCs/>
                <w:color w:val="auto"/>
                <w:sz w:val="24"/>
                <w:szCs w:val="24"/>
                <w:highlight w:val="none"/>
                <w:lang w:val="en-US" w:eastAsia="zh-CN" w:bidi="zh-CN"/>
              </w:rPr>
              <w:t>预算（限价）</w:t>
            </w:r>
          </w:p>
        </w:tc>
        <w:tc>
          <w:tcPr>
            <w:tcW w:w="2179" w:type="dxa"/>
            <w:vAlign w:val="center"/>
          </w:tcPr>
          <w:p>
            <w:pPr>
              <w:jc w:val="center"/>
              <w:rPr>
                <w:rFonts w:hint="default" w:ascii="宋体" w:hAnsi="宋体" w:cs="宋体"/>
                <w:b/>
                <w:bCs/>
                <w:color w:val="auto"/>
                <w:sz w:val="24"/>
                <w:szCs w:val="24"/>
                <w:highlight w:val="none"/>
                <w:lang w:val="en-US" w:eastAsia="zh-CN" w:bidi="zh-CN"/>
              </w:rPr>
            </w:pPr>
            <w:r>
              <w:rPr>
                <w:rFonts w:hint="eastAsia" w:ascii="宋体" w:hAnsi="宋体" w:cs="宋体"/>
                <w:b/>
                <w:bCs/>
                <w:color w:val="auto"/>
                <w:sz w:val="24"/>
                <w:szCs w:val="24"/>
                <w:highlight w:val="none"/>
                <w:lang w:val="en-US" w:eastAsia="zh-CN" w:bidi="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2" w:hRule="atLeast"/>
        </w:trPr>
        <w:tc>
          <w:tcPr>
            <w:tcW w:w="710" w:type="dxa"/>
            <w:vAlign w:val="center"/>
          </w:tcPr>
          <w:p>
            <w:pPr>
              <w:jc w:val="center"/>
              <w:rPr>
                <w:rFonts w:hint="default" w:ascii="宋体" w:hAnsi="宋体" w:eastAsia="宋体" w:cs="宋体"/>
                <w:color w:val="auto"/>
                <w:kern w:val="0"/>
                <w:sz w:val="24"/>
                <w:szCs w:val="24"/>
                <w:highlight w:val="none"/>
                <w:lang w:val="en-US" w:eastAsia="zh-CN"/>
              </w:rPr>
            </w:pPr>
            <w:r>
              <w:rPr>
                <w:rFonts w:hint="eastAsia" w:ascii="宋体" w:hAnsi="宋体" w:cs="宋体"/>
                <w:color w:val="auto"/>
                <w:kern w:val="0"/>
                <w:sz w:val="24"/>
                <w:szCs w:val="24"/>
                <w:highlight w:val="none"/>
                <w:lang w:val="en-US" w:eastAsia="zh-CN"/>
              </w:rPr>
              <w:t>1</w:t>
            </w:r>
          </w:p>
        </w:tc>
        <w:tc>
          <w:tcPr>
            <w:tcW w:w="2233" w:type="dxa"/>
            <w:vAlign w:val="center"/>
          </w:tcPr>
          <w:p>
            <w:pPr>
              <w:jc w:val="center"/>
              <w:rPr>
                <w:rFonts w:hint="eastAsia" w:ascii="宋体" w:hAnsi="宋体" w:eastAsia="宋体" w:cs="宋体"/>
                <w:color w:val="auto"/>
                <w:kern w:val="0"/>
                <w:sz w:val="24"/>
                <w:szCs w:val="24"/>
                <w:highlight w:val="none"/>
                <w:lang w:val="en-US" w:eastAsia="zh-CN"/>
              </w:rPr>
            </w:pPr>
            <w:r>
              <w:rPr>
                <w:rFonts w:hint="eastAsia" w:ascii="宋体" w:hAnsi="宋体" w:cs="宋体"/>
                <w:color w:val="auto"/>
                <w:kern w:val="0"/>
                <w:sz w:val="24"/>
                <w:szCs w:val="24"/>
                <w:highlight w:val="none"/>
                <w:lang w:val="en-US" w:eastAsia="zh-CN"/>
              </w:rPr>
              <w:t>幽门螺旋杆菌检测仪</w:t>
            </w:r>
          </w:p>
        </w:tc>
        <w:tc>
          <w:tcPr>
            <w:tcW w:w="794" w:type="dxa"/>
            <w:vAlign w:val="center"/>
          </w:tcPr>
          <w:p>
            <w:pPr>
              <w:jc w:val="center"/>
              <w:rPr>
                <w:rFonts w:hint="default"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1</w:t>
            </w:r>
          </w:p>
        </w:tc>
        <w:tc>
          <w:tcPr>
            <w:tcW w:w="838" w:type="dxa"/>
            <w:vAlign w:val="center"/>
          </w:tcPr>
          <w:p>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套</w:t>
            </w:r>
          </w:p>
        </w:tc>
        <w:tc>
          <w:tcPr>
            <w:tcW w:w="1758" w:type="dxa"/>
            <w:vAlign w:val="center"/>
          </w:tcPr>
          <w:p>
            <w:pPr>
              <w:jc w:val="center"/>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val="en-US" w:eastAsia="zh-CN"/>
              </w:rPr>
              <w:t>7.08万元</w:t>
            </w:r>
          </w:p>
        </w:tc>
        <w:tc>
          <w:tcPr>
            <w:tcW w:w="2179" w:type="dxa"/>
            <w:vAlign w:val="center"/>
          </w:tcPr>
          <w:p>
            <w:pPr>
              <w:jc w:val="center"/>
              <w:rPr>
                <w:rFonts w:hint="eastAsia" w:ascii="宋体" w:hAnsi="宋体" w:cs="宋体"/>
                <w:color w:val="auto"/>
                <w:sz w:val="24"/>
                <w:szCs w:val="24"/>
                <w:highlight w:val="none"/>
                <w:lang w:val="en-US" w:eastAsia="zh-CN"/>
              </w:rPr>
            </w:pPr>
          </w:p>
        </w:tc>
      </w:tr>
    </w:tbl>
    <w:p>
      <w:pPr>
        <w:pStyle w:val="30"/>
        <w:spacing w:line="360" w:lineRule="auto"/>
        <w:ind w:left="0" w:leftChars="0" w:firstLine="0" w:firstLineChars="0"/>
        <w:rPr>
          <w:rFonts w:hint="eastAsia" w:ascii="宋体" w:hAnsi="宋体" w:cs="宋体"/>
          <w:color w:val="auto"/>
          <w:sz w:val="24"/>
          <w:highlight w:val="none"/>
        </w:rPr>
      </w:pPr>
      <w:r>
        <w:rPr>
          <w:rFonts w:hint="eastAsia" w:ascii="宋体" w:hAnsi="宋体" w:cs="宋体"/>
          <w:b/>
          <w:bCs/>
          <w:color w:val="auto"/>
          <w:sz w:val="24"/>
          <w:highlight w:val="none"/>
        </w:rPr>
        <w:t>2.招标内容：</w:t>
      </w:r>
      <w:r>
        <w:rPr>
          <w:rFonts w:hint="eastAsia" w:ascii="宋体" w:hAnsi="宋体" w:cs="宋体"/>
          <w:color w:val="auto"/>
          <w:sz w:val="24"/>
          <w:highlight w:val="none"/>
        </w:rPr>
        <w:t>(本项目</w:t>
      </w:r>
      <w:r>
        <w:rPr>
          <w:rFonts w:hint="eastAsia" w:ascii="宋体" w:hAnsi="宋体" w:cs="宋体"/>
          <w:color w:val="auto"/>
          <w:sz w:val="24"/>
          <w:highlight w:val="none"/>
          <w:lang w:val="en-US" w:eastAsia="zh-CN"/>
        </w:rPr>
        <w:t>共一</w:t>
      </w:r>
      <w:r>
        <w:rPr>
          <w:rFonts w:hint="eastAsia" w:ascii="宋体" w:hAnsi="宋体" w:cs="宋体"/>
          <w:color w:val="auto"/>
          <w:sz w:val="24"/>
          <w:highlight w:val="none"/>
        </w:rPr>
        <w:t>个包，具体招标详见招标文件)</w:t>
      </w:r>
    </w:p>
    <w:p>
      <w:pPr>
        <w:spacing w:line="360" w:lineRule="auto"/>
        <w:rPr>
          <w:rFonts w:ascii="宋体" w:hAnsi="宋体" w:cs="宋体"/>
          <w:b/>
          <w:bCs/>
          <w:color w:val="auto"/>
          <w:sz w:val="24"/>
          <w:highlight w:val="none"/>
        </w:rPr>
      </w:pPr>
      <w:r>
        <w:rPr>
          <w:rFonts w:hint="eastAsia" w:ascii="宋体" w:hAnsi="宋体" w:cs="宋体"/>
          <w:b/>
          <w:bCs/>
          <w:color w:val="auto"/>
          <w:sz w:val="24"/>
          <w:highlight w:val="none"/>
        </w:rPr>
        <w:t>3.投标人资格要求：</w:t>
      </w:r>
    </w:p>
    <w:p>
      <w:pPr>
        <w:keepNext w:val="0"/>
        <w:keepLines w:val="0"/>
        <w:pageBreakBefore w:val="0"/>
        <w:widowControl/>
        <w:kinsoku w:val="0"/>
        <w:wordWrap/>
        <w:overflowPunct/>
        <w:topLinePunct w:val="0"/>
        <w:autoSpaceDE w:val="0"/>
        <w:autoSpaceDN w:val="0"/>
        <w:bidi w:val="0"/>
        <w:adjustRightInd w:val="0"/>
        <w:snapToGrid w:val="0"/>
        <w:spacing w:line="480" w:lineRule="auto"/>
        <w:ind w:right="141" w:firstLine="248" w:firstLineChars="100"/>
        <w:textAlignment w:val="baseline"/>
        <w:rPr>
          <w:rFonts w:hint="eastAsia" w:ascii="宋体" w:hAnsi="宋体" w:eastAsia="宋体" w:cs="宋体"/>
          <w:b w:val="0"/>
          <w:bCs w:val="0"/>
          <w:color w:val="000000"/>
          <w:spacing w:val="4"/>
          <w:sz w:val="24"/>
          <w:szCs w:val="24"/>
          <w:highlight w:val="none"/>
        </w:rPr>
      </w:pPr>
      <w:r>
        <w:rPr>
          <w:rFonts w:hint="eastAsia" w:ascii="宋体" w:hAnsi="宋体" w:eastAsia="宋体" w:cs="宋体"/>
          <w:b w:val="0"/>
          <w:bCs w:val="0"/>
          <w:color w:val="000000"/>
          <w:spacing w:val="4"/>
          <w:sz w:val="24"/>
          <w:szCs w:val="24"/>
          <w:highlight w:val="none"/>
          <w:lang w:eastAsia="zh-CN"/>
        </w:rPr>
        <w:t>（</w:t>
      </w:r>
      <w:r>
        <w:rPr>
          <w:rFonts w:hint="eastAsia" w:ascii="宋体" w:hAnsi="宋体" w:eastAsia="宋体" w:cs="宋体"/>
          <w:b w:val="0"/>
          <w:bCs w:val="0"/>
          <w:color w:val="000000"/>
          <w:spacing w:val="4"/>
          <w:sz w:val="24"/>
          <w:szCs w:val="24"/>
          <w:highlight w:val="none"/>
          <w:lang w:val="en-US" w:eastAsia="zh-CN"/>
        </w:rPr>
        <w:t>1</w:t>
      </w:r>
      <w:r>
        <w:rPr>
          <w:rFonts w:hint="eastAsia" w:ascii="宋体" w:hAnsi="宋体" w:eastAsia="宋体" w:cs="宋体"/>
          <w:b w:val="0"/>
          <w:bCs w:val="0"/>
          <w:color w:val="000000"/>
          <w:spacing w:val="4"/>
          <w:sz w:val="24"/>
          <w:szCs w:val="24"/>
          <w:highlight w:val="none"/>
          <w:lang w:eastAsia="zh-CN"/>
        </w:rPr>
        <w:t>）</w:t>
      </w:r>
      <w:r>
        <w:rPr>
          <w:rFonts w:hint="eastAsia" w:ascii="宋体" w:hAnsi="宋体" w:eastAsia="宋体" w:cs="宋体"/>
          <w:b w:val="0"/>
          <w:bCs w:val="0"/>
          <w:color w:val="000000"/>
          <w:spacing w:val="4"/>
          <w:sz w:val="24"/>
          <w:szCs w:val="24"/>
          <w:highlight w:val="none"/>
        </w:rPr>
        <w:t>投标人有效的营业执照，或事业单位法人证书，或自然人身份证明，或其他非企业组织证明独立承担民事责任能力的文件（复印件并加盖公章）。</w:t>
      </w:r>
    </w:p>
    <w:p>
      <w:pPr>
        <w:keepNext w:val="0"/>
        <w:keepLines w:val="0"/>
        <w:pageBreakBefore w:val="0"/>
        <w:widowControl/>
        <w:kinsoku w:val="0"/>
        <w:wordWrap/>
        <w:overflowPunct/>
        <w:topLinePunct w:val="0"/>
        <w:autoSpaceDE w:val="0"/>
        <w:autoSpaceDN w:val="0"/>
        <w:bidi w:val="0"/>
        <w:adjustRightInd w:val="0"/>
        <w:snapToGrid w:val="0"/>
        <w:spacing w:line="480" w:lineRule="auto"/>
        <w:ind w:right="141" w:firstLine="248" w:firstLineChars="100"/>
        <w:textAlignment w:val="baseline"/>
        <w:rPr>
          <w:rFonts w:hint="eastAsia" w:ascii="宋体" w:hAnsi="宋体" w:eastAsia="宋体" w:cs="宋体"/>
          <w:b w:val="0"/>
          <w:bCs w:val="0"/>
          <w:color w:val="000000"/>
          <w:spacing w:val="4"/>
          <w:sz w:val="24"/>
          <w:szCs w:val="24"/>
          <w:highlight w:val="none"/>
        </w:rPr>
      </w:pPr>
      <w:r>
        <w:rPr>
          <w:rFonts w:hint="eastAsia" w:ascii="宋体" w:hAnsi="宋体" w:eastAsia="宋体" w:cs="宋体"/>
          <w:b w:val="0"/>
          <w:bCs w:val="0"/>
          <w:color w:val="000000"/>
          <w:spacing w:val="4"/>
          <w:sz w:val="24"/>
          <w:szCs w:val="24"/>
          <w:highlight w:val="none"/>
          <w:lang w:eastAsia="zh-CN"/>
        </w:rPr>
        <w:t>（</w:t>
      </w:r>
      <w:r>
        <w:rPr>
          <w:rFonts w:hint="eastAsia" w:ascii="宋体" w:hAnsi="宋体" w:eastAsia="宋体" w:cs="宋体"/>
          <w:b w:val="0"/>
          <w:bCs w:val="0"/>
          <w:color w:val="000000"/>
          <w:spacing w:val="4"/>
          <w:sz w:val="24"/>
          <w:szCs w:val="24"/>
          <w:highlight w:val="none"/>
          <w:lang w:val="en-US" w:eastAsia="zh-CN"/>
        </w:rPr>
        <w:t>2</w:t>
      </w:r>
      <w:r>
        <w:rPr>
          <w:rFonts w:hint="eastAsia" w:ascii="宋体" w:hAnsi="宋体" w:eastAsia="宋体" w:cs="宋体"/>
          <w:b w:val="0"/>
          <w:bCs w:val="0"/>
          <w:color w:val="000000"/>
          <w:spacing w:val="4"/>
          <w:sz w:val="24"/>
          <w:szCs w:val="24"/>
          <w:highlight w:val="none"/>
          <w:lang w:eastAsia="zh-CN"/>
        </w:rPr>
        <w:t>）</w:t>
      </w:r>
      <w:r>
        <w:rPr>
          <w:rFonts w:hint="eastAsia" w:ascii="宋体" w:hAnsi="宋体" w:eastAsia="宋体" w:cs="宋体"/>
          <w:b w:val="0"/>
          <w:bCs w:val="0"/>
          <w:color w:val="000000"/>
          <w:spacing w:val="4"/>
          <w:sz w:val="24"/>
          <w:szCs w:val="24"/>
          <w:highlight w:val="none"/>
        </w:rPr>
        <w:t>法定代表人身份证（正、反面复印件加盖公章）。</w:t>
      </w:r>
    </w:p>
    <w:p>
      <w:pPr>
        <w:keepNext w:val="0"/>
        <w:keepLines w:val="0"/>
        <w:pageBreakBefore w:val="0"/>
        <w:widowControl/>
        <w:kinsoku w:val="0"/>
        <w:wordWrap/>
        <w:overflowPunct/>
        <w:topLinePunct w:val="0"/>
        <w:autoSpaceDE w:val="0"/>
        <w:autoSpaceDN w:val="0"/>
        <w:bidi w:val="0"/>
        <w:adjustRightInd w:val="0"/>
        <w:snapToGrid w:val="0"/>
        <w:spacing w:line="480" w:lineRule="auto"/>
        <w:ind w:right="141" w:firstLine="248" w:firstLineChars="100"/>
        <w:textAlignment w:val="baseline"/>
        <w:rPr>
          <w:rFonts w:hint="eastAsia" w:ascii="宋体" w:hAnsi="宋体" w:eastAsia="宋体" w:cs="宋体"/>
          <w:b w:val="0"/>
          <w:bCs w:val="0"/>
          <w:color w:val="000000"/>
          <w:spacing w:val="4"/>
          <w:sz w:val="24"/>
          <w:szCs w:val="24"/>
          <w:highlight w:val="none"/>
        </w:rPr>
      </w:pPr>
      <w:r>
        <w:rPr>
          <w:rFonts w:hint="eastAsia" w:ascii="宋体" w:hAnsi="宋体" w:eastAsia="宋体" w:cs="宋体"/>
          <w:b w:val="0"/>
          <w:bCs w:val="0"/>
          <w:color w:val="000000"/>
          <w:spacing w:val="4"/>
          <w:sz w:val="24"/>
          <w:szCs w:val="24"/>
          <w:highlight w:val="none"/>
          <w:lang w:eastAsia="zh-CN"/>
        </w:rPr>
        <w:t>（</w:t>
      </w:r>
      <w:r>
        <w:rPr>
          <w:rFonts w:hint="eastAsia" w:ascii="宋体" w:hAnsi="宋体" w:eastAsia="宋体" w:cs="宋体"/>
          <w:b w:val="0"/>
          <w:bCs w:val="0"/>
          <w:color w:val="000000"/>
          <w:spacing w:val="4"/>
          <w:sz w:val="24"/>
          <w:szCs w:val="24"/>
          <w:highlight w:val="none"/>
          <w:lang w:val="en-US" w:eastAsia="zh-CN"/>
        </w:rPr>
        <w:t>3</w:t>
      </w:r>
      <w:r>
        <w:rPr>
          <w:rFonts w:hint="eastAsia" w:ascii="宋体" w:hAnsi="宋体" w:eastAsia="宋体" w:cs="宋体"/>
          <w:b w:val="0"/>
          <w:bCs w:val="0"/>
          <w:color w:val="000000"/>
          <w:spacing w:val="4"/>
          <w:sz w:val="24"/>
          <w:szCs w:val="24"/>
          <w:highlight w:val="none"/>
          <w:lang w:eastAsia="zh-CN"/>
        </w:rPr>
        <w:t>）</w:t>
      </w:r>
      <w:r>
        <w:rPr>
          <w:rFonts w:hint="eastAsia" w:ascii="宋体" w:hAnsi="宋体" w:eastAsia="宋体" w:cs="宋体"/>
          <w:b w:val="0"/>
          <w:bCs w:val="0"/>
          <w:color w:val="000000"/>
          <w:spacing w:val="4"/>
          <w:sz w:val="24"/>
          <w:szCs w:val="24"/>
          <w:highlight w:val="none"/>
        </w:rPr>
        <w:t>法定代表人授权函（原件）及被授权人身份证（正、反面复印件加盖公章）。</w:t>
      </w:r>
    </w:p>
    <w:p>
      <w:pPr>
        <w:keepNext w:val="0"/>
        <w:keepLines w:val="0"/>
        <w:pageBreakBefore w:val="0"/>
        <w:widowControl/>
        <w:kinsoku w:val="0"/>
        <w:wordWrap/>
        <w:overflowPunct/>
        <w:topLinePunct w:val="0"/>
        <w:autoSpaceDE w:val="0"/>
        <w:autoSpaceDN w:val="0"/>
        <w:bidi w:val="0"/>
        <w:adjustRightInd w:val="0"/>
        <w:snapToGrid w:val="0"/>
        <w:spacing w:line="480" w:lineRule="auto"/>
        <w:ind w:right="141" w:firstLine="240" w:firstLineChars="100"/>
        <w:textAlignment w:val="baseline"/>
        <w:rPr>
          <w:rFonts w:hint="eastAsia" w:ascii="宋体" w:hAnsi="宋体" w:eastAsia="宋体" w:cs="宋体"/>
          <w:b w:val="0"/>
          <w:bCs w:val="0"/>
          <w:color w:val="000000"/>
          <w:spacing w:val="4"/>
          <w:sz w:val="24"/>
          <w:szCs w:val="24"/>
          <w:highlight w:val="none"/>
        </w:rPr>
      </w:pPr>
      <w:r>
        <w:rPr>
          <w:rFonts w:hint="eastAsia" w:ascii="宋体" w:hAnsi="宋体" w:eastAsia="宋体" w:cs="宋体"/>
          <w:b w:val="0"/>
          <w:bCs w:val="0"/>
          <w:color w:val="auto"/>
          <w:sz w:val="24"/>
          <w:szCs w:val="24"/>
          <w:highlight w:val="none"/>
          <w:lang w:eastAsia="zh-CN"/>
        </w:rPr>
        <w:t>（</w:t>
      </w:r>
      <w:r>
        <w:rPr>
          <w:rFonts w:hint="eastAsia" w:ascii="宋体" w:hAnsi="宋体" w:eastAsia="宋体" w:cs="宋体"/>
          <w:b w:val="0"/>
          <w:bCs w:val="0"/>
          <w:color w:val="auto"/>
          <w:sz w:val="24"/>
          <w:szCs w:val="24"/>
          <w:highlight w:val="none"/>
          <w:lang w:val="en-US" w:eastAsia="zh-CN"/>
        </w:rPr>
        <w:t>4</w:t>
      </w:r>
      <w:r>
        <w:rPr>
          <w:rFonts w:hint="eastAsia" w:ascii="宋体" w:hAnsi="宋体" w:eastAsia="宋体" w:cs="宋体"/>
          <w:b w:val="0"/>
          <w:bCs w:val="0"/>
          <w:color w:val="auto"/>
          <w:sz w:val="24"/>
          <w:szCs w:val="24"/>
          <w:highlight w:val="none"/>
          <w:lang w:eastAsia="zh-CN"/>
        </w:rPr>
        <w:t>）</w:t>
      </w:r>
      <w:r>
        <w:rPr>
          <w:rFonts w:hint="eastAsia" w:ascii="宋体" w:hAnsi="宋体" w:eastAsia="宋体" w:cs="宋体"/>
          <w:b w:val="0"/>
          <w:bCs w:val="0"/>
          <w:color w:val="auto"/>
          <w:sz w:val="24"/>
          <w:szCs w:val="24"/>
          <w:highlight w:val="none"/>
        </w:rPr>
        <w:t>投标人须提供由会计事务所出具的</w:t>
      </w:r>
      <w:r>
        <w:rPr>
          <w:rFonts w:hint="eastAsia" w:ascii="宋体" w:hAnsi="宋体" w:eastAsia="宋体" w:cs="宋体"/>
          <w:b w:val="0"/>
          <w:bCs w:val="0"/>
          <w:color w:val="auto"/>
          <w:sz w:val="24"/>
          <w:szCs w:val="24"/>
          <w:highlight w:val="none"/>
          <w:lang w:val="en-US" w:eastAsia="zh-CN"/>
        </w:rPr>
        <w:t>2021或2022年度财务</w:t>
      </w:r>
      <w:r>
        <w:rPr>
          <w:rFonts w:hint="eastAsia" w:ascii="宋体" w:hAnsi="宋体" w:eastAsia="宋体" w:cs="宋体"/>
          <w:b w:val="0"/>
          <w:bCs w:val="0"/>
          <w:color w:val="auto"/>
          <w:sz w:val="24"/>
          <w:szCs w:val="24"/>
          <w:highlight w:val="none"/>
        </w:rPr>
        <w:t>审计报告（复印件加盖公章）或其基本开户银行出具的银行资信证明（</w:t>
      </w:r>
      <w:r>
        <w:rPr>
          <w:rFonts w:hint="eastAsia" w:ascii="宋体" w:hAnsi="宋体" w:eastAsia="宋体" w:cs="宋体"/>
          <w:b w:val="0"/>
          <w:bCs w:val="0"/>
          <w:color w:val="auto"/>
          <w:sz w:val="24"/>
          <w:szCs w:val="24"/>
          <w:highlight w:val="none"/>
          <w:lang w:val="en-US" w:eastAsia="zh-CN"/>
        </w:rPr>
        <w:t>扫描件或复印件</w:t>
      </w:r>
      <w:r>
        <w:rPr>
          <w:rFonts w:hint="eastAsia" w:ascii="宋体" w:hAnsi="宋体" w:eastAsia="宋体" w:cs="宋体"/>
          <w:b w:val="0"/>
          <w:bCs w:val="0"/>
          <w:color w:val="auto"/>
          <w:sz w:val="24"/>
          <w:szCs w:val="24"/>
          <w:highlight w:val="none"/>
        </w:rPr>
        <w:t>须装订在投标文件正本中。）或财政部门认可的专业机构出具的投标担保；</w:t>
      </w:r>
    </w:p>
    <w:p>
      <w:pPr>
        <w:keepNext w:val="0"/>
        <w:keepLines w:val="0"/>
        <w:pageBreakBefore w:val="0"/>
        <w:widowControl/>
        <w:kinsoku w:val="0"/>
        <w:wordWrap/>
        <w:overflowPunct/>
        <w:topLinePunct w:val="0"/>
        <w:autoSpaceDE w:val="0"/>
        <w:autoSpaceDN w:val="0"/>
        <w:bidi w:val="0"/>
        <w:adjustRightInd w:val="0"/>
        <w:snapToGrid w:val="0"/>
        <w:spacing w:line="480" w:lineRule="auto"/>
        <w:ind w:firstLine="240" w:firstLineChars="100"/>
        <w:textAlignment w:val="baseline"/>
        <w:rPr>
          <w:rFonts w:hint="eastAsia" w:ascii="宋体" w:hAnsi="宋体" w:eastAsia="宋体" w:cs="宋体"/>
          <w:b w:val="0"/>
          <w:bCs w:val="0"/>
          <w:kern w:val="0"/>
          <w:sz w:val="24"/>
          <w:szCs w:val="24"/>
          <w:highlight w:val="none"/>
        </w:rPr>
      </w:pPr>
      <w:r>
        <w:rPr>
          <w:rFonts w:hint="eastAsia" w:ascii="宋体" w:hAnsi="宋体" w:cs="宋体"/>
          <w:color w:val="auto"/>
          <w:kern w:val="2"/>
          <w:sz w:val="24"/>
          <w:szCs w:val="24"/>
          <w:highlight w:val="none"/>
          <w:lang w:val="en-US" w:eastAsia="zh-CN" w:bidi="ar-SA"/>
        </w:rPr>
        <w:t>（5）投标人须具有医疗器械生产或经营许可证(备案证)（复印件加盖公章）</w:t>
      </w:r>
      <w:r>
        <w:rPr>
          <w:rFonts w:hint="eastAsia" w:ascii="宋体" w:hAnsi="宋体" w:eastAsia="宋体" w:cs="宋体"/>
          <w:b w:val="0"/>
          <w:bCs w:val="0"/>
          <w:kern w:val="0"/>
          <w:sz w:val="24"/>
          <w:szCs w:val="24"/>
          <w:highlight w:val="none"/>
        </w:rPr>
        <w:t>；</w:t>
      </w:r>
    </w:p>
    <w:p>
      <w:pPr>
        <w:keepNext w:val="0"/>
        <w:keepLines w:val="0"/>
        <w:pageBreakBefore w:val="0"/>
        <w:widowControl/>
        <w:kinsoku w:val="0"/>
        <w:wordWrap/>
        <w:overflowPunct/>
        <w:topLinePunct w:val="0"/>
        <w:autoSpaceDE w:val="0"/>
        <w:autoSpaceDN w:val="0"/>
        <w:bidi w:val="0"/>
        <w:adjustRightInd w:val="0"/>
        <w:snapToGrid w:val="0"/>
        <w:spacing w:line="480" w:lineRule="auto"/>
        <w:ind w:firstLine="240" w:firstLineChars="100"/>
        <w:textAlignment w:val="baseline"/>
        <w:rPr>
          <w:rFonts w:hint="eastAsia" w:ascii="宋体" w:hAnsi="宋体" w:eastAsia="宋体" w:cs="宋体"/>
          <w:b w:val="0"/>
          <w:bCs w:val="0"/>
          <w:kern w:val="0"/>
          <w:sz w:val="24"/>
          <w:szCs w:val="24"/>
          <w:highlight w:val="none"/>
        </w:rPr>
      </w:pPr>
      <w:r>
        <w:rPr>
          <w:rFonts w:hint="eastAsia" w:ascii="宋体" w:hAnsi="宋体" w:eastAsia="宋体" w:cs="宋体"/>
          <w:b w:val="0"/>
          <w:bCs w:val="0"/>
          <w:kern w:val="0"/>
          <w:sz w:val="24"/>
          <w:szCs w:val="24"/>
          <w:highlight w:val="none"/>
          <w:lang w:eastAsia="zh-CN"/>
        </w:rPr>
        <w:t>（</w:t>
      </w:r>
      <w:r>
        <w:rPr>
          <w:rFonts w:hint="eastAsia" w:ascii="宋体" w:hAnsi="宋体" w:eastAsia="宋体" w:cs="宋体"/>
          <w:b w:val="0"/>
          <w:bCs w:val="0"/>
          <w:kern w:val="0"/>
          <w:sz w:val="24"/>
          <w:szCs w:val="24"/>
          <w:highlight w:val="none"/>
          <w:lang w:val="en-US" w:eastAsia="zh-CN"/>
        </w:rPr>
        <w:t>6</w:t>
      </w:r>
      <w:r>
        <w:rPr>
          <w:rFonts w:hint="eastAsia" w:ascii="宋体" w:hAnsi="宋体" w:eastAsia="宋体" w:cs="宋体"/>
          <w:b w:val="0"/>
          <w:bCs w:val="0"/>
          <w:kern w:val="0"/>
          <w:sz w:val="24"/>
          <w:szCs w:val="24"/>
          <w:highlight w:val="none"/>
          <w:lang w:eastAsia="zh-CN"/>
        </w:rPr>
        <w:t>）投标人</w:t>
      </w:r>
      <w:r>
        <w:rPr>
          <w:rFonts w:hint="eastAsia" w:ascii="宋体" w:hAnsi="宋体" w:eastAsia="宋体" w:cs="宋体"/>
          <w:b w:val="0"/>
          <w:bCs w:val="0"/>
          <w:kern w:val="0"/>
          <w:sz w:val="24"/>
          <w:szCs w:val="24"/>
          <w:highlight w:val="none"/>
        </w:rPr>
        <w:t>须提供所投产品的医疗器械注册证（备案凭证）</w:t>
      </w:r>
      <w:r>
        <w:rPr>
          <w:rFonts w:hint="eastAsia" w:ascii="宋体" w:hAnsi="宋体" w:cs="宋体"/>
          <w:color w:val="auto"/>
          <w:kern w:val="2"/>
          <w:sz w:val="24"/>
          <w:szCs w:val="24"/>
          <w:highlight w:val="none"/>
          <w:lang w:val="en-US" w:eastAsia="zh-CN" w:bidi="ar-SA"/>
        </w:rPr>
        <w:t>（复印件加盖公章）</w:t>
      </w:r>
      <w:r>
        <w:rPr>
          <w:rFonts w:hint="eastAsia" w:ascii="宋体" w:hAnsi="宋体" w:eastAsia="宋体" w:cs="宋体"/>
          <w:b w:val="0"/>
          <w:bCs w:val="0"/>
          <w:kern w:val="0"/>
          <w:sz w:val="24"/>
          <w:szCs w:val="24"/>
          <w:highlight w:val="none"/>
        </w:rPr>
        <w:t>；</w:t>
      </w:r>
    </w:p>
    <w:p>
      <w:pPr>
        <w:keepNext w:val="0"/>
        <w:keepLines w:val="0"/>
        <w:pageBreakBefore w:val="0"/>
        <w:widowControl/>
        <w:kinsoku w:val="0"/>
        <w:wordWrap/>
        <w:overflowPunct/>
        <w:topLinePunct w:val="0"/>
        <w:autoSpaceDE w:val="0"/>
        <w:autoSpaceDN w:val="0"/>
        <w:bidi w:val="0"/>
        <w:adjustRightInd w:val="0"/>
        <w:snapToGrid w:val="0"/>
        <w:spacing w:line="480" w:lineRule="auto"/>
        <w:ind w:firstLine="240" w:firstLineChars="100"/>
        <w:textAlignment w:val="baseline"/>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b w:val="0"/>
          <w:bCs w:val="0"/>
          <w:color w:val="auto"/>
          <w:kern w:val="0"/>
          <w:sz w:val="24"/>
          <w:szCs w:val="24"/>
          <w:highlight w:val="none"/>
          <w:lang w:eastAsia="zh-CN"/>
        </w:rPr>
        <w:t>（</w:t>
      </w:r>
      <w:r>
        <w:rPr>
          <w:rFonts w:hint="eastAsia" w:ascii="宋体" w:hAnsi="宋体" w:eastAsia="宋体" w:cs="宋体"/>
          <w:b w:val="0"/>
          <w:bCs w:val="0"/>
          <w:color w:val="auto"/>
          <w:kern w:val="0"/>
          <w:sz w:val="24"/>
          <w:szCs w:val="24"/>
          <w:highlight w:val="none"/>
          <w:lang w:val="en-US" w:eastAsia="zh-CN"/>
        </w:rPr>
        <w:t>7</w:t>
      </w:r>
      <w:r>
        <w:rPr>
          <w:rFonts w:hint="eastAsia" w:ascii="宋体" w:hAnsi="宋体" w:eastAsia="宋体" w:cs="宋体"/>
          <w:b w:val="0"/>
          <w:bCs w:val="0"/>
          <w:color w:val="auto"/>
          <w:kern w:val="0"/>
          <w:sz w:val="24"/>
          <w:szCs w:val="24"/>
          <w:highlight w:val="none"/>
          <w:lang w:eastAsia="zh-CN"/>
        </w:rPr>
        <w:t>）投标人是代理商的须提供</w:t>
      </w:r>
      <w:r>
        <w:rPr>
          <w:rFonts w:hint="eastAsia" w:ascii="宋体" w:hAnsi="宋体" w:eastAsia="宋体" w:cs="宋体"/>
          <w:b w:val="0"/>
          <w:bCs w:val="0"/>
          <w:color w:val="auto"/>
          <w:kern w:val="0"/>
          <w:sz w:val="24"/>
          <w:szCs w:val="24"/>
          <w:highlight w:val="none"/>
        </w:rPr>
        <w:t>生产厂家的营业执照及医疗器械生产许可证；</w:t>
      </w:r>
      <w:r>
        <w:rPr>
          <w:rFonts w:hint="eastAsia" w:ascii="宋体" w:hAnsi="宋体" w:cs="宋体"/>
          <w:color w:val="auto"/>
          <w:kern w:val="2"/>
          <w:sz w:val="24"/>
          <w:szCs w:val="24"/>
          <w:highlight w:val="none"/>
          <w:lang w:val="en-US" w:eastAsia="zh-CN" w:bidi="ar-SA"/>
        </w:rPr>
        <w:t>（复印件</w:t>
      </w:r>
      <w:r>
        <w:rPr>
          <w:rFonts w:hint="eastAsia" w:ascii="宋体" w:hAnsi="宋体" w:eastAsia="宋体" w:cs="宋体"/>
          <w:color w:val="auto"/>
          <w:kern w:val="2"/>
          <w:sz w:val="24"/>
          <w:szCs w:val="24"/>
          <w:highlight w:val="none"/>
          <w:lang w:val="en-US" w:eastAsia="zh-CN" w:bidi="ar-SA"/>
        </w:rPr>
        <w:t>加盖公章）；</w:t>
      </w:r>
    </w:p>
    <w:p>
      <w:pPr>
        <w:keepNext w:val="0"/>
        <w:keepLines w:val="0"/>
        <w:pageBreakBefore w:val="0"/>
        <w:widowControl/>
        <w:kinsoku w:val="0"/>
        <w:wordWrap/>
        <w:overflowPunct/>
        <w:topLinePunct w:val="0"/>
        <w:autoSpaceDE w:val="0"/>
        <w:autoSpaceDN w:val="0"/>
        <w:bidi w:val="0"/>
        <w:adjustRightInd w:val="0"/>
        <w:snapToGrid w:val="0"/>
        <w:spacing w:line="480" w:lineRule="auto"/>
        <w:ind w:firstLine="240" w:firstLineChars="100"/>
        <w:textAlignment w:val="baseline"/>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 xml:space="preserve">（8）供应商须为未被列入“信用中国”网（ www.creditchina.gov.cn）记录失信被执行人或重大税收违法案件当事人名单或政府采购严重违法失信行为记录名单；不处于中国 政府采购网（ www.ccgp.gov.cn）政府采购严重违法失信行为信息记录中的禁止参加政府采购活动期间；未被列入“信用甘肃”网站（ </w:t>
      </w:r>
      <w:r>
        <w:rPr>
          <w:rFonts w:hint="eastAsia" w:ascii="宋体" w:hAnsi="宋体" w:eastAsia="宋体" w:cs="宋体"/>
          <w:color w:val="auto"/>
          <w:kern w:val="2"/>
          <w:sz w:val="24"/>
          <w:szCs w:val="24"/>
          <w:highlight w:val="none"/>
          <w:lang w:val="en-US" w:eastAsia="zh-CN" w:bidi="ar-SA"/>
        </w:rPr>
        <w:fldChar w:fldCharType="begin"/>
      </w:r>
      <w:r>
        <w:rPr>
          <w:rFonts w:hint="eastAsia" w:ascii="宋体" w:hAnsi="宋体" w:eastAsia="宋体" w:cs="宋体"/>
          <w:color w:val="auto"/>
          <w:kern w:val="2"/>
          <w:sz w:val="24"/>
          <w:szCs w:val="24"/>
          <w:highlight w:val="none"/>
          <w:lang w:val="en-US" w:eastAsia="zh-CN" w:bidi="ar-SA"/>
        </w:rPr>
        <w:instrText xml:space="preserve"> HYPERLINK "http://www.gscredit.gov.cn）记录失信被执行人或财政性资金管理使用领域相关失信责任主体、统计领域严重失信企业及其有关人员等的方可参加本项目的投标；" </w:instrText>
      </w:r>
      <w:r>
        <w:rPr>
          <w:rFonts w:hint="eastAsia" w:ascii="宋体" w:hAnsi="宋体" w:eastAsia="宋体" w:cs="宋体"/>
          <w:color w:val="auto"/>
          <w:kern w:val="2"/>
          <w:sz w:val="24"/>
          <w:szCs w:val="24"/>
          <w:highlight w:val="none"/>
          <w:lang w:val="en-US" w:eastAsia="zh-CN" w:bidi="ar-SA"/>
        </w:rPr>
        <w:fldChar w:fldCharType="separate"/>
      </w:r>
      <w:r>
        <w:rPr>
          <w:rFonts w:hint="eastAsia" w:ascii="宋体" w:hAnsi="宋体" w:eastAsia="宋体" w:cs="宋体"/>
          <w:color w:val="auto"/>
          <w:kern w:val="2"/>
          <w:sz w:val="24"/>
          <w:szCs w:val="24"/>
          <w:highlight w:val="none"/>
          <w:lang w:val="en-US" w:eastAsia="zh-CN" w:bidi="ar-SA"/>
        </w:rPr>
        <w:t>www.gscredit.gov.cn）记录失信被执行人或财政性资金管理使用领域相关失信责任主体、统计领域严重失信企业及其有关人员等的方可参加本项目的投标；</w:t>
      </w:r>
      <w:r>
        <w:rPr>
          <w:rFonts w:hint="eastAsia" w:ascii="宋体" w:hAnsi="宋体" w:eastAsia="宋体" w:cs="宋体"/>
          <w:color w:val="auto"/>
          <w:kern w:val="2"/>
          <w:sz w:val="24"/>
          <w:szCs w:val="24"/>
          <w:highlight w:val="none"/>
          <w:lang w:val="en-US" w:eastAsia="zh-CN" w:bidi="ar-SA"/>
        </w:rPr>
        <w:fldChar w:fldCharType="end"/>
      </w:r>
    </w:p>
    <w:p>
      <w:pPr>
        <w:keepNext w:val="0"/>
        <w:keepLines w:val="0"/>
        <w:pageBreakBefore w:val="0"/>
        <w:widowControl/>
        <w:kinsoku w:val="0"/>
        <w:wordWrap/>
        <w:overflowPunct/>
        <w:topLinePunct w:val="0"/>
        <w:autoSpaceDE w:val="0"/>
        <w:autoSpaceDN w:val="0"/>
        <w:bidi w:val="0"/>
        <w:adjustRightInd w:val="0"/>
        <w:snapToGrid w:val="0"/>
        <w:spacing w:line="480" w:lineRule="auto"/>
        <w:ind w:firstLine="240" w:firstLineChars="100"/>
        <w:textAlignment w:val="baseline"/>
        <w:rPr>
          <w:rFonts w:ascii="宋体" w:hAnsi="宋体" w:cs="宋体"/>
          <w:color w:val="auto"/>
          <w:sz w:val="24"/>
          <w:highlight w:val="none"/>
        </w:rPr>
      </w:pPr>
      <w:r>
        <w:rPr>
          <w:rFonts w:hint="eastAsia" w:ascii="宋体" w:hAnsi="宋体" w:eastAsia="宋体" w:cs="宋体"/>
          <w:b w:val="0"/>
          <w:bCs w:val="0"/>
          <w:kern w:val="0"/>
          <w:sz w:val="24"/>
          <w:szCs w:val="24"/>
          <w:highlight w:val="none"/>
          <w:lang w:eastAsia="zh-CN"/>
        </w:rPr>
        <w:t>（</w:t>
      </w:r>
      <w:r>
        <w:rPr>
          <w:rFonts w:hint="eastAsia" w:ascii="宋体" w:hAnsi="宋体" w:eastAsia="宋体" w:cs="宋体"/>
          <w:b w:val="0"/>
          <w:bCs w:val="0"/>
          <w:kern w:val="0"/>
          <w:sz w:val="24"/>
          <w:szCs w:val="24"/>
          <w:highlight w:val="none"/>
          <w:lang w:val="en-US" w:eastAsia="zh-CN"/>
        </w:rPr>
        <w:t>9</w:t>
      </w:r>
      <w:r>
        <w:rPr>
          <w:rFonts w:hint="eastAsia" w:ascii="宋体" w:hAnsi="宋体" w:eastAsia="宋体" w:cs="宋体"/>
          <w:b w:val="0"/>
          <w:bCs w:val="0"/>
          <w:kern w:val="0"/>
          <w:sz w:val="24"/>
          <w:szCs w:val="24"/>
          <w:highlight w:val="none"/>
          <w:lang w:eastAsia="zh-CN"/>
        </w:rPr>
        <w:t>）</w:t>
      </w:r>
      <w:r>
        <w:rPr>
          <w:rFonts w:hint="eastAsia" w:ascii="宋体" w:hAnsi="宋体" w:cs="宋体"/>
          <w:color w:val="auto"/>
          <w:sz w:val="24"/>
          <w:highlight w:val="none"/>
        </w:rPr>
        <w:t>本项目不接受联合体投标。</w:t>
      </w:r>
    </w:p>
    <w:p>
      <w:pPr>
        <w:spacing w:line="440" w:lineRule="exact"/>
        <w:rPr>
          <w:rFonts w:hint="eastAsia" w:eastAsia="宋体"/>
          <w:highlight w:val="none"/>
          <w:lang w:val="en-US" w:eastAsia="zh-CN"/>
        </w:rPr>
      </w:pPr>
      <w:r>
        <w:rPr>
          <w:rFonts w:hint="eastAsia" w:ascii="宋体" w:hAnsi="宋体" w:cs="宋体"/>
          <w:b/>
          <w:color w:val="auto"/>
          <w:sz w:val="24"/>
          <w:highlight w:val="none"/>
        </w:rPr>
        <w:t>4.项目需要落实的</w:t>
      </w:r>
      <w:r>
        <w:rPr>
          <w:rFonts w:hint="eastAsia" w:ascii="宋体" w:hAnsi="宋体" w:cs="宋体"/>
          <w:b/>
          <w:color w:val="auto"/>
          <w:sz w:val="24"/>
          <w:highlight w:val="none"/>
          <w:lang w:eastAsia="zh-CN"/>
        </w:rPr>
        <w:t>采购</w:t>
      </w:r>
      <w:r>
        <w:rPr>
          <w:rFonts w:hint="eastAsia" w:ascii="宋体" w:hAnsi="宋体" w:cs="宋体"/>
          <w:b/>
          <w:color w:val="auto"/>
          <w:sz w:val="24"/>
          <w:highlight w:val="none"/>
        </w:rPr>
        <w:t>政策：</w:t>
      </w:r>
      <w:r>
        <w:rPr>
          <w:rFonts w:hint="eastAsia" w:ascii="宋体" w:hAnsi="宋体" w:cs="宋体"/>
          <w:b/>
          <w:color w:val="auto"/>
          <w:sz w:val="24"/>
          <w:highlight w:val="none"/>
          <w:lang w:val="en-US" w:eastAsia="zh-CN"/>
        </w:rPr>
        <w:t>无</w:t>
      </w:r>
    </w:p>
    <w:p>
      <w:pPr>
        <w:spacing w:line="440" w:lineRule="exact"/>
        <w:rPr>
          <w:rFonts w:hint="eastAsia" w:ascii="宋体" w:hAnsi="宋体" w:eastAsia="宋体" w:cs="宋体"/>
          <w:color w:val="auto"/>
          <w:sz w:val="24"/>
          <w:highlight w:val="none"/>
          <w:lang w:eastAsia="zh-CN"/>
        </w:rPr>
      </w:pPr>
      <w:r>
        <w:rPr>
          <w:rFonts w:hint="eastAsia" w:ascii="宋体" w:hAnsi="宋体" w:cs="宋体"/>
          <w:b/>
          <w:bCs/>
          <w:color w:val="auto"/>
          <w:sz w:val="24"/>
          <w:highlight w:val="none"/>
        </w:rPr>
        <w:t>5.预算</w:t>
      </w:r>
      <w:r>
        <w:rPr>
          <w:rFonts w:hint="eastAsia" w:ascii="宋体" w:hAnsi="宋体" w:cs="宋体"/>
          <w:b/>
          <w:bCs/>
          <w:color w:val="auto"/>
          <w:sz w:val="24"/>
          <w:highlight w:val="none"/>
          <w:lang w:eastAsia="zh-CN"/>
        </w:rPr>
        <w:t>（</w:t>
      </w:r>
      <w:r>
        <w:rPr>
          <w:rFonts w:hint="eastAsia" w:ascii="宋体" w:hAnsi="宋体" w:cs="宋体"/>
          <w:b/>
          <w:bCs/>
          <w:color w:val="auto"/>
          <w:sz w:val="24"/>
          <w:highlight w:val="none"/>
          <w:lang w:val="en-US" w:eastAsia="zh-CN"/>
        </w:rPr>
        <w:t>限价</w:t>
      </w:r>
      <w:r>
        <w:rPr>
          <w:rFonts w:hint="eastAsia" w:ascii="宋体" w:hAnsi="宋体" w:cs="宋体"/>
          <w:b/>
          <w:bCs/>
          <w:color w:val="auto"/>
          <w:sz w:val="24"/>
          <w:highlight w:val="none"/>
          <w:lang w:eastAsia="zh-CN"/>
        </w:rPr>
        <w:t>）</w:t>
      </w:r>
      <w:r>
        <w:rPr>
          <w:rFonts w:hint="eastAsia" w:ascii="宋体" w:hAnsi="宋体" w:cs="宋体"/>
          <w:b/>
          <w:bCs/>
          <w:color w:val="auto"/>
          <w:sz w:val="24"/>
          <w:highlight w:val="none"/>
        </w:rPr>
        <w:t>：</w:t>
      </w:r>
      <w:r>
        <w:rPr>
          <w:rFonts w:hint="eastAsia" w:ascii="宋体" w:hAnsi="宋体" w:cs="宋体"/>
          <w:b/>
          <w:bCs/>
          <w:color w:val="auto"/>
          <w:sz w:val="24"/>
          <w:highlight w:val="none"/>
          <w:lang w:val="en-US" w:eastAsia="zh-CN"/>
        </w:rPr>
        <w:t>7.08</w:t>
      </w:r>
      <w:r>
        <w:rPr>
          <w:rFonts w:hint="eastAsia" w:ascii="宋体" w:hAnsi="宋体" w:cs="宋体"/>
          <w:b/>
          <w:bCs/>
          <w:color w:val="auto"/>
          <w:sz w:val="24"/>
          <w:highlight w:val="none"/>
        </w:rPr>
        <w:t>万元</w:t>
      </w:r>
    </w:p>
    <w:p>
      <w:pPr>
        <w:pStyle w:val="30"/>
        <w:spacing w:line="440" w:lineRule="exact"/>
        <w:ind w:left="0" w:leftChars="0"/>
        <w:rPr>
          <w:rFonts w:ascii="宋体" w:hAnsi="宋体" w:cs="宋体"/>
          <w:color w:val="auto"/>
          <w:kern w:val="0"/>
          <w:sz w:val="24"/>
          <w:highlight w:val="none"/>
        </w:rPr>
      </w:pPr>
      <w:r>
        <w:rPr>
          <w:rFonts w:hint="eastAsia" w:ascii="宋体" w:hAnsi="宋体" w:cs="宋体"/>
          <w:b/>
          <w:bCs/>
          <w:color w:val="auto"/>
          <w:sz w:val="24"/>
          <w:highlight w:val="none"/>
        </w:rPr>
        <w:t>6.公告期限：</w:t>
      </w:r>
      <w:r>
        <w:rPr>
          <w:rFonts w:hint="eastAsia" w:ascii="宋体" w:hAnsi="宋体" w:cs="宋体"/>
          <w:color w:val="auto"/>
          <w:kern w:val="0"/>
          <w:sz w:val="24"/>
          <w:highlight w:val="none"/>
          <w:lang w:val="en-US" w:eastAsia="zh-CN"/>
        </w:rPr>
        <w:t>5</w:t>
      </w:r>
      <w:r>
        <w:rPr>
          <w:rFonts w:hint="eastAsia" w:ascii="宋体" w:hAnsi="宋体" w:cs="宋体"/>
          <w:color w:val="auto"/>
          <w:kern w:val="0"/>
          <w:sz w:val="24"/>
          <w:highlight w:val="none"/>
        </w:rPr>
        <w:t>个</w:t>
      </w:r>
      <w:r>
        <w:rPr>
          <w:rFonts w:hint="eastAsia" w:ascii="宋体" w:hAnsi="宋体" w:cs="宋体"/>
          <w:color w:val="auto"/>
          <w:kern w:val="0"/>
          <w:sz w:val="24"/>
          <w:highlight w:val="none"/>
          <w:lang w:val="en-US" w:eastAsia="zh-CN"/>
        </w:rPr>
        <w:t>工作</w:t>
      </w:r>
      <w:r>
        <w:rPr>
          <w:rFonts w:hint="eastAsia" w:ascii="宋体" w:hAnsi="宋体" w:cs="宋体"/>
          <w:color w:val="auto"/>
          <w:kern w:val="0"/>
          <w:sz w:val="24"/>
          <w:highlight w:val="none"/>
        </w:rPr>
        <w:t>日</w:t>
      </w:r>
    </w:p>
    <w:p>
      <w:pPr>
        <w:spacing w:line="440" w:lineRule="exact"/>
        <w:rPr>
          <w:rFonts w:ascii="宋体" w:hAnsi="宋体" w:cs="宋体"/>
          <w:color w:val="auto"/>
          <w:sz w:val="24"/>
          <w:highlight w:val="none"/>
        </w:rPr>
      </w:pPr>
      <w:r>
        <w:rPr>
          <w:rFonts w:hint="eastAsia" w:ascii="宋体" w:hAnsi="宋体" w:cs="宋体"/>
          <w:b/>
          <w:bCs/>
          <w:color w:val="auto"/>
          <w:sz w:val="24"/>
          <w:highlight w:val="none"/>
        </w:rPr>
        <w:t>7.评标办法：</w:t>
      </w:r>
      <w:r>
        <w:rPr>
          <w:rFonts w:hint="eastAsia" w:ascii="宋体" w:hAnsi="宋体" w:cs="宋体"/>
          <w:color w:val="auto"/>
          <w:sz w:val="24"/>
          <w:highlight w:val="none"/>
        </w:rPr>
        <w:t>综合评分法。</w:t>
      </w:r>
    </w:p>
    <w:p>
      <w:pPr>
        <w:pStyle w:val="32"/>
        <w:shd w:val="clear" w:color="auto" w:fill="FFFFFF"/>
        <w:spacing w:before="0" w:beforeAutospacing="0" w:after="0" w:afterAutospacing="0" w:line="360" w:lineRule="auto"/>
        <w:rPr>
          <w:b/>
          <w:bCs/>
          <w:color w:val="auto"/>
          <w:highlight w:val="none"/>
        </w:rPr>
      </w:pPr>
      <w:r>
        <w:rPr>
          <w:rFonts w:hint="eastAsia"/>
          <w:b/>
          <w:bCs/>
          <w:color w:val="auto"/>
          <w:highlight w:val="none"/>
        </w:rPr>
        <w:t>8.获取招标文件的时间及方式：</w:t>
      </w:r>
    </w:p>
    <w:p>
      <w:pPr>
        <w:keepNext w:val="0"/>
        <w:keepLines w:val="0"/>
        <w:pageBreakBefore w:val="0"/>
        <w:widowControl/>
        <w:shd w:val="clear" w:color="auto" w:fill="FFFFFF"/>
        <w:kinsoku/>
        <w:wordWrap w:val="0"/>
        <w:overflowPunct/>
        <w:topLinePunct/>
        <w:autoSpaceDE/>
        <w:autoSpaceDN/>
        <w:bidi w:val="0"/>
        <w:adjustRightInd/>
        <w:snapToGrid/>
        <w:spacing w:line="360" w:lineRule="auto"/>
        <w:ind w:firstLine="240" w:firstLineChars="100"/>
        <w:jc w:val="left"/>
        <w:textAlignment w:val="auto"/>
        <w:rPr>
          <w:rFonts w:ascii="宋体" w:hAnsi="宋体" w:eastAsia="宋体" w:cs="宋体"/>
          <w:color w:val="auto"/>
          <w:sz w:val="24"/>
          <w:szCs w:val="24"/>
          <w:highlight w:val="none"/>
        </w:rPr>
      </w:pPr>
      <w:r>
        <w:rPr>
          <w:rFonts w:hint="eastAsia" w:ascii="宋体" w:hAnsi="宋体" w:eastAsia="宋体" w:cs="宋体"/>
          <w:sz w:val="24"/>
          <w:szCs w:val="24"/>
          <w:highlight w:val="none"/>
        </w:rPr>
        <w:t>（1）招标文件获取时间及地</w:t>
      </w:r>
      <w:r>
        <w:rPr>
          <w:rFonts w:hint="eastAsia" w:ascii="宋体" w:hAnsi="宋体" w:eastAsia="宋体" w:cs="宋体"/>
          <w:color w:val="auto"/>
          <w:sz w:val="24"/>
          <w:szCs w:val="24"/>
          <w:highlight w:val="none"/>
        </w:rPr>
        <w:t>点：202</w:t>
      </w:r>
      <w:r>
        <w:rPr>
          <w:rFonts w:hint="eastAsia" w:ascii="宋体" w:hAnsi="宋体" w:cs="宋体"/>
          <w:color w:val="auto"/>
          <w:sz w:val="24"/>
          <w:szCs w:val="24"/>
          <w:highlight w:val="none"/>
          <w:lang w:val="en-US" w:eastAsia="zh-CN"/>
        </w:rPr>
        <w:t>3</w:t>
      </w:r>
      <w:r>
        <w:rPr>
          <w:rFonts w:hint="eastAsia" w:ascii="宋体" w:hAnsi="宋体" w:eastAsia="宋体" w:cs="宋体"/>
          <w:color w:val="auto"/>
          <w:sz w:val="24"/>
          <w:szCs w:val="24"/>
          <w:highlight w:val="none"/>
        </w:rPr>
        <w:t>年</w:t>
      </w:r>
      <w:r>
        <w:rPr>
          <w:rFonts w:hint="eastAsia" w:ascii="宋体" w:hAnsi="宋体" w:cs="宋体"/>
          <w:color w:val="auto"/>
          <w:sz w:val="24"/>
          <w:szCs w:val="24"/>
          <w:highlight w:val="none"/>
          <w:lang w:val="en-US" w:eastAsia="zh-CN"/>
        </w:rPr>
        <w:t>4</w:t>
      </w:r>
      <w:r>
        <w:rPr>
          <w:rFonts w:hint="eastAsia" w:ascii="宋体" w:hAnsi="宋体" w:eastAsia="宋体" w:cs="宋体"/>
          <w:color w:val="auto"/>
          <w:sz w:val="24"/>
          <w:szCs w:val="24"/>
          <w:highlight w:val="none"/>
        </w:rPr>
        <w:t>月</w:t>
      </w:r>
      <w:r>
        <w:rPr>
          <w:rFonts w:hint="eastAsia" w:ascii="宋体" w:hAnsi="宋体" w:cs="宋体"/>
          <w:color w:val="auto"/>
          <w:sz w:val="24"/>
          <w:szCs w:val="24"/>
          <w:highlight w:val="none"/>
          <w:lang w:val="en-US" w:eastAsia="zh-CN"/>
        </w:rPr>
        <w:t>24</w:t>
      </w:r>
      <w:r>
        <w:rPr>
          <w:rFonts w:hint="eastAsia" w:ascii="宋体" w:hAnsi="宋体" w:eastAsia="宋体" w:cs="宋体"/>
          <w:color w:val="auto"/>
          <w:sz w:val="24"/>
          <w:szCs w:val="24"/>
          <w:highlight w:val="none"/>
        </w:rPr>
        <w:t>日至202</w:t>
      </w:r>
      <w:r>
        <w:rPr>
          <w:rFonts w:hint="eastAsia" w:ascii="宋体" w:hAnsi="宋体" w:cs="宋体"/>
          <w:color w:val="auto"/>
          <w:sz w:val="24"/>
          <w:szCs w:val="24"/>
          <w:highlight w:val="none"/>
          <w:lang w:val="en-US" w:eastAsia="zh-CN"/>
        </w:rPr>
        <w:t>3</w:t>
      </w:r>
      <w:r>
        <w:rPr>
          <w:rFonts w:hint="eastAsia" w:ascii="宋体" w:hAnsi="宋体" w:eastAsia="宋体" w:cs="宋体"/>
          <w:color w:val="auto"/>
          <w:sz w:val="24"/>
          <w:szCs w:val="24"/>
          <w:highlight w:val="none"/>
        </w:rPr>
        <w:t>年</w:t>
      </w:r>
      <w:r>
        <w:rPr>
          <w:rFonts w:hint="eastAsia" w:ascii="宋体" w:hAnsi="宋体" w:cs="宋体"/>
          <w:color w:val="auto"/>
          <w:sz w:val="24"/>
          <w:szCs w:val="24"/>
          <w:highlight w:val="none"/>
          <w:lang w:val="en-US" w:eastAsia="zh-CN"/>
        </w:rPr>
        <w:t>4</w:t>
      </w:r>
      <w:r>
        <w:rPr>
          <w:rFonts w:hint="eastAsia" w:ascii="宋体" w:hAnsi="宋体" w:eastAsia="宋体" w:cs="宋体"/>
          <w:color w:val="auto"/>
          <w:sz w:val="24"/>
          <w:szCs w:val="24"/>
          <w:highlight w:val="none"/>
        </w:rPr>
        <w:t>月</w:t>
      </w:r>
      <w:r>
        <w:rPr>
          <w:rFonts w:hint="eastAsia" w:ascii="宋体" w:hAnsi="宋体" w:cs="宋体"/>
          <w:color w:val="auto"/>
          <w:sz w:val="24"/>
          <w:szCs w:val="24"/>
          <w:highlight w:val="none"/>
          <w:lang w:val="en-US" w:eastAsia="zh-CN"/>
        </w:rPr>
        <w:t>28日</w:t>
      </w:r>
      <w:r>
        <w:rPr>
          <w:rFonts w:hint="eastAsia" w:ascii="宋体" w:hAnsi="宋体" w:eastAsia="宋体" w:cs="宋体"/>
          <w:color w:val="auto"/>
          <w:sz w:val="24"/>
          <w:szCs w:val="24"/>
          <w:highlight w:val="none"/>
        </w:rPr>
        <w:t>,9:00-12:00，14:00-17:</w:t>
      </w:r>
      <w:r>
        <w:rPr>
          <w:rFonts w:hint="eastAsia" w:ascii="宋体" w:hAnsi="宋体" w:cs="宋体"/>
          <w:color w:val="auto"/>
          <w:sz w:val="24"/>
          <w:szCs w:val="24"/>
          <w:highlight w:val="none"/>
          <w:lang w:val="en-US" w:eastAsia="zh-CN"/>
        </w:rPr>
        <w:t>0</w:t>
      </w:r>
      <w:r>
        <w:rPr>
          <w:rFonts w:hint="eastAsia" w:ascii="宋体" w:hAnsi="宋体" w:eastAsia="宋体" w:cs="宋体"/>
          <w:color w:val="auto"/>
          <w:sz w:val="24"/>
          <w:szCs w:val="24"/>
          <w:highlight w:val="none"/>
        </w:rPr>
        <w:t>0（北京时间）（法定节假日除外），在</w:t>
      </w:r>
      <w:r>
        <w:rPr>
          <w:rFonts w:hint="eastAsia" w:ascii="宋体" w:hAnsi="宋体" w:cs="宋体"/>
          <w:color w:val="auto"/>
          <w:sz w:val="24"/>
          <w:szCs w:val="24"/>
          <w:highlight w:val="none"/>
          <w:lang w:val="en-US" w:eastAsia="zh-CN"/>
        </w:rPr>
        <w:t>甘肃省第二人民医院行政楼106</w:t>
      </w:r>
      <w:r>
        <w:rPr>
          <w:rFonts w:hint="eastAsia" w:ascii="宋体" w:hAnsi="宋体" w:eastAsia="宋体" w:cs="宋体"/>
          <w:color w:val="auto"/>
          <w:sz w:val="24"/>
          <w:szCs w:val="24"/>
          <w:highlight w:val="none"/>
        </w:rPr>
        <w:t>获取。</w:t>
      </w:r>
    </w:p>
    <w:p>
      <w:pPr>
        <w:widowControl/>
        <w:shd w:val="clear" w:color="auto" w:fill="FFFFFF"/>
        <w:spacing w:line="360" w:lineRule="auto"/>
        <w:ind w:firstLine="240" w:firstLineChars="100"/>
        <w:jc w:val="left"/>
        <w:rPr>
          <w:color w:val="auto"/>
          <w:kern w:val="2"/>
          <w:highlight w:val="none"/>
        </w:rPr>
      </w:pPr>
      <w:r>
        <w:rPr>
          <w:rFonts w:hint="eastAsia" w:ascii="宋体" w:hAnsi="宋体" w:eastAsia="宋体" w:cs="宋体"/>
          <w:color w:val="auto"/>
          <w:sz w:val="24"/>
          <w:szCs w:val="24"/>
          <w:highlight w:val="none"/>
        </w:rPr>
        <w:t>（</w:t>
      </w:r>
      <w:r>
        <w:rPr>
          <w:rFonts w:hint="eastAsia" w:ascii="宋体" w:hAnsi="宋体" w:cs="宋体"/>
          <w:color w:val="auto"/>
          <w:sz w:val="24"/>
          <w:szCs w:val="24"/>
          <w:highlight w:val="none"/>
          <w:lang w:val="en-US" w:eastAsia="zh-CN"/>
        </w:rPr>
        <w:t>2</w:t>
      </w:r>
      <w:r>
        <w:rPr>
          <w:rFonts w:hint="eastAsia" w:ascii="宋体" w:hAnsi="宋体" w:eastAsia="宋体" w:cs="宋体"/>
          <w:color w:val="auto"/>
          <w:sz w:val="24"/>
          <w:szCs w:val="24"/>
          <w:highlight w:val="none"/>
        </w:rPr>
        <w:t>）</w:t>
      </w:r>
      <w:r>
        <w:rPr>
          <w:rFonts w:hint="eastAsia" w:ascii="宋体" w:hAnsi="宋体" w:cs="宋体"/>
          <w:color w:val="auto"/>
          <w:sz w:val="24"/>
          <w:szCs w:val="24"/>
          <w:highlight w:val="none"/>
          <w:lang w:val="en-US" w:eastAsia="zh-CN"/>
        </w:rPr>
        <w:t>报名</w:t>
      </w:r>
      <w:r>
        <w:rPr>
          <w:rFonts w:hint="eastAsia" w:ascii="宋体" w:hAnsi="宋体" w:eastAsia="宋体" w:cs="宋体"/>
          <w:color w:val="auto"/>
          <w:sz w:val="24"/>
          <w:szCs w:val="24"/>
          <w:highlight w:val="none"/>
        </w:rPr>
        <w:t>时请携带以下资料</w:t>
      </w:r>
      <w:r>
        <w:rPr>
          <w:rFonts w:hint="eastAsia" w:ascii="宋体" w:hAnsi="宋体" w:cs="宋体"/>
          <w:color w:val="auto"/>
          <w:sz w:val="24"/>
          <w:szCs w:val="24"/>
          <w:highlight w:val="none"/>
          <w:lang w:val="en-US" w:eastAsia="zh-CN"/>
        </w:rPr>
        <w:t>并填写报名表</w:t>
      </w:r>
      <w:r>
        <w:rPr>
          <w:rFonts w:hint="eastAsia" w:ascii="宋体" w:hAnsi="宋体" w:eastAsia="宋体" w:cs="宋体"/>
          <w:color w:val="auto"/>
          <w:sz w:val="24"/>
          <w:szCs w:val="24"/>
          <w:highlight w:val="none"/>
        </w:rPr>
        <w:t>：企业法人授权委托书、法人身份证复印件及代理人身份证复印件、企业营业执照复印件、机构代码证复印件（已三证合一的无需提供）、税务登记证复印件（已三证合一的无需提供）。</w:t>
      </w:r>
    </w:p>
    <w:p>
      <w:pPr>
        <w:pStyle w:val="30"/>
        <w:spacing w:line="360" w:lineRule="auto"/>
        <w:ind w:left="0" w:leftChars="0"/>
        <w:rPr>
          <w:rFonts w:ascii="宋体" w:hAnsi="宋体" w:cs="宋体"/>
          <w:color w:val="auto"/>
          <w:sz w:val="24"/>
          <w:highlight w:val="none"/>
        </w:rPr>
      </w:pPr>
      <w:r>
        <w:rPr>
          <w:rFonts w:hint="eastAsia" w:ascii="宋体" w:hAnsi="宋体" w:cs="宋体"/>
          <w:b/>
          <w:bCs/>
          <w:color w:val="auto"/>
          <w:sz w:val="24"/>
          <w:highlight w:val="none"/>
        </w:rPr>
        <w:t>9.投标文件递交截止时间：</w:t>
      </w:r>
      <w:r>
        <w:rPr>
          <w:rFonts w:hint="eastAsia" w:ascii="宋体" w:hAnsi="宋体" w:cs="宋体"/>
          <w:color w:val="auto"/>
          <w:sz w:val="24"/>
          <w:highlight w:val="none"/>
          <w:lang w:eastAsia="zh-CN"/>
        </w:rPr>
        <w:t>2023年</w:t>
      </w:r>
      <w:r>
        <w:rPr>
          <w:rFonts w:hint="eastAsia" w:ascii="宋体" w:hAnsi="宋体" w:cs="宋体"/>
          <w:color w:val="auto"/>
          <w:sz w:val="24"/>
          <w:highlight w:val="none"/>
          <w:lang w:val="en-US" w:eastAsia="zh-CN"/>
        </w:rPr>
        <w:t>5</w:t>
      </w:r>
      <w:r>
        <w:rPr>
          <w:rFonts w:hint="eastAsia" w:ascii="宋体" w:hAnsi="宋体" w:cs="宋体"/>
          <w:color w:val="auto"/>
          <w:sz w:val="24"/>
          <w:highlight w:val="none"/>
          <w:lang w:eastAsia="zh-CN"/>
        </w:rPr>
        <w:t>月</w:t>
      </w:r>
      <w:r>
        <w:rPr>
          <w:rFonts w:hint="eastAsia" w:ascii="宋体" w:hAnsi="宋体" w:cs="宋体"/>
          <w:color w:val="auto"/>
          <w:sz w:val="24"/>
          <w:highlight w:val="none"/>
          <w:lang w:val="en-US" w:eastAsia="zh-CN"/>
        </w:rPr>
        <w:t>9</w:t>
      </w:r>
      <w:r>
        <w:rPr>
          <w:rFonts w:hint="eastAsia" w:ascii="宋体" w:hAnsi="宋体" w:cs="宋体"/>
          <w:color w:val="auto"/>
          <w:sz w:val="24"/>
          <w:highlight w:val="none"/>
          <w:lang w:eastAsia="zh-CN"/>
        </w:rPr>
        <w:t>日下午15:00分</w:t>
      </w:r>
      <w:r>
        <w:rPr>
          <w:rFonts w:hint="eastAsia" w:ascii="宋体" w:hAnsi="宋体" w:cs="宋体"/>
          <w:color w:val="auto"/>
          <w:sz w:val="24"/>
          <w:highlight w:val="none"/>
        </w:rPr>
        <w:t>（北京时间）</w:t>
      </w:r>
      <w:r>
        <w:rPr>
          <w:rFonts w:hint="eastAsia" w:ascii="宋体" w:hAnsi="宋体" w:cs="宋体"/>
          <w:color w:val="auto"/>
          <w:kern w:val="0"/>
          <w:sz w:val="24"/>
          <w:szCs w:val="22"/>
          <w:highlight w:val="none"/>
        </w:rPr>
        <w:t>（北京时间），逾期不予受理。</w:t>
      </w:r>
    </w:p>
    <w:p>
      <w:pPr>
        <w:spacing w:line="440" w:lineRule="exact"/>
        <w:rPr>
          <w:rFonts w:ascii="宋体" w:hAnsi="宋体" w:cs="宋体"/>
          <w:color w:val="auto"/>
          <w:kern w:val="0"/>
          <w:sz w:val="24"/>
          <w:szCs w:val="22"/>
          <w:highlight w:val="none"/>
        </w:rPr>
      </w:pPr>
      <w:r>
        <w:rPr>
          <w:rFonts w:hint="eastAsia" w:ascii="宋体" w:hAnsi="宋体" w:cs="宋体"/>
          <w:b/>
          <w:bCs/>
          <w:color w:val="auto"/>
          <w:sz w:val="24"/>
          <w:highlight w:val="none"/>
        </w:rPr>
        <w:t>10.投标文件递交地点：</w:t>
      </w:r>
      <w:r>
        <w:rPr>
          <w:rFonts w:hint="eastAsia" w:ascii="宋体" w:hAnsi="宋体" w:cs="宋体"/>
          <w:b/>
          <w:bCs/>
          <w:color w:val="auto"/>
          <w:sz w:val="24"/>
          <w:highlight w:val="none"/>
          <w:lang w:val="en-US" w:eastAsia="zh-CN"/>
        </w:rPr>
        <w:t>甘肃省第二人民医院制剂楼3楼</w:t>
      </w:r>
    </w:p>
    <w:p>
      <w:pPr>
        <w:pStyle w:val="30"/>
        <w:spacing w:line="360" w:lineRule="auto"/>
        <w:ind w:left="0" w:leftChars="0"/>
        <w:rPr>
          <w:rFonts w:ascii="宋体" w:hAnsi="宋体" w:cs="宋体"/>
          <w:color w:val="auto"/>
          <w:kern w:val="0"/>
          <w:sz w:val="24"/>
          <w:szCs w:val="22"/>
          <w:highlight w:val="none"/>
        </w:rPr>
      </w:pPr>
      <w:r>
        <w:rPr>
          <w:rFonts w:hint="eastAsia" w:ascii="宋体" w:hAnsi="宋体" w:cs="宋体"/>
          <w:b/>
          <w:bCs/>
          <w:color w:val="auto"/>
          <w:sz w:val="24"/>
          <w:highlight w:val="none"/>
        </w:rPr>
        <w:t>11.开标时间：</w:t>
      </w:r>
      <w:r>
        <w:rPr>
          <w:rFonts w:hint="eastAsia" w:ascii="宋体" w:hAnsi="宋体" w:cs="宋体"/>
          <w:color w:val="auto"/>
          <w:sz w:val="24"/>
          <w:highlight w:val="none"/>
          <w:lang w:eastAsia="zh-CN"/>
        </w:rPr>
        <w:t>2023年</w:t>
      </w:r>
      <w:r>
        <w:rPr>
          <w:rFonts w:hint="eastAsia" w:ascii="宋体" w:hAnsi="宋体" w:cs="宋体"/>
          <w:color w:val="auto"/>
          <w:sz w:val="24"/>
          <w:highlight w:val="none"/>
          <w:lang w:val="en-US" w:eastAsia="zh-CN"/>
        </w:rPr>
        <w:t>5</w:t>
      </w:r>
      <w:r>
        <w:rPr>
          <w:rFonts w:hint="eastAsia" w:ascii="宋体" w:hAnsi="宋体" w:cs="宋体"/>
          <w:color w:val="auto"/>
          <w:sz w:val="24"/>
          <w:highlight w:val="none"/>
          <w:lang w:eastAsia="zh-CN"/>
        </w:rPr>
        <w:t>月</w:t>
      </w:r>
      <w:r>
        <w:rPr>
          <w:rFonts w:hint="eastAsia" w:ascii="宋体" w:hAnsi="宋体" w:cs="宋体"/>
          <w:color w:val="auto"/>
          <w:sz w:val="24"/>
          <w:highlight w:val="none"/>
          <w:lang w:val="en-US" w:eastAsia="zh-CN"/>
        </w:rPr>
        <w:t>9</w:t>
      </w:r>
      <w:r>
        <w:rPr>
          <w:rFonts w:hint="eastAsia" w:ascii="宋体" w:hAnsi="宋体" w:cs="宋体"/>
          <w:color w:val="auto"/>
          <w:sz w:val="24"/>
          <w:highlight w:val="none"/>
          <w:lang w:eastAsia="zh-CN"/>
        </w:rPr>
        <w:t>日下午15:00分</w:t>
      </w:r>
      <w:r>
        <w:rPr>
          <w:rFonts w:hint="eastAsia" w:ascii="宋体" w:hAnsi="宋体" w:cs="宋体"/>
          <w:color w:val="auto"/>
          <w:sz w:val="24"/>
          <w:highlight w:val="none"/>
        </w:rPr>
        <w:t>（北京时间）</w:t>
      </w:r>
      <w:r>
        <w:rPr>
          <w:rFonts w:hint="eastAsia" w:ascii="宋体" w:hAnsi="宋体" w:cs="宋体"/>
          <w:color w:val="auto"/>
          <w:kern w:val="0"/>
          <w:sz w:val="24"/>
          <w:szCs w:val="22"/>
          <w:highlight w:val="none"/>
        </w:rPr>
        <w:t>。</w:t>
      </w:r>
    </w:p>
    <w:p>
      <w:pPr>
        <w:spacing w:line="440" w:lineRule="exact"/>
        <w:rPr>
          <w:rFonts w:hint="eastAsia" w:ascii="宋体" w:hAnsi="宋体" w:cs="宋体"/>
          <w:color w:val="auto"/>
          <w:kern w:val="0"/>
          <w:sz w:val="24"/>
          <w:szCs w:val="22"/>
          <w:highlight w:val="none"/>
        </w:rPr>
      </w:pPr>
      <w:r>
        <w:rPr>
          <w:rFonts w:hint="eastAsia" w:ascii="宋体" w:hAnsi="宋体" w:cs="宋体"/>
          <w:b/>
          <w:bCs/>
          <w:color w:val="auto"/>
          <w:sz w:val="24"/>
          <w:highlight w:val="none"/>
        </w:rPr>
        <w:t>12.开标地点：</w:t>
      </w:r>
      <w:r>
        <w:rPr>
          <w:rFonts w:hint="eastAsia" w:ascii="宋体" w:hAnsi="宋体" w:cs="宋体"/>
          <w:b/>
          <w:bCs/>
          <w:color w:val="auto"/>
          <w:sz w:val="24"/>
          <w:highlight w:val="none"/>
          <w:lang w:val="en-US" w:eastAsia="zh-CN"/>
        </w:rPr>
        <w:t>甘肃省第二人民医院制剂楼3楼</w:t>
      </w:r>
    </w:p>
    <w:p>
      <w:pPr>
        <w:spacing w:line="440" w:lineRule="exact"/>
        <w:rPr>
          <w:rFonts w:ascii="宋体" w:hAnsi="宋体" w:cs="宋体"/>
          <w:b/>
          <w:bCs/>
          <w:color w:val="auto"/>
          <w:sz w:val="24"/>
          <w:highlight w:val="none"/>
        </w:rPr>
      </w:pPr>
      <w:r>
        <w:rPr>
          <w:rFonts w:hint="eastAsia" w:ascii="宋体" w:hAnsi="宋体" w:cs="宋体"/>
          <w:b/>
          <w:bCs/>
          <w:color w:val="auto"/>
          <w:sz w:val="24"/>
          <w:highlight w:val="none"/>
        </w:rPr>
        <w:t>13.联系人姓名及电话：</w:t>
      </w:r>
    </w:p>
    <w:p>
      <w:pPr>
        <w:spacing w:line="440" w:lineRule="exact"/>
        <w:rPr>
          <w:rFonts w:ascii="宋体" w:hAnsi="宋体" w:cs="宋体"/>
          <w:color w:val="auto"/>
          <w:kern w:val="0"/>
          <w:sz w:val="24"/>
          <w:highlight w:val="none"/>
        </w:rPr>
      </w:pPr>
      <w:r>
        <w:rPr>
          <w:rFonts w:hint="eastAsia" w:ascii="宋体" w:hAnsi="宋体" w:cs="宋体"/>
          <w:color w:val="auto"/>
          <w:sz w:val="24"/>
          <w:highlight w:val="none"/>
        </w:rPr>
        <w:t>1）</w:t>
      </w:r>
      <w:r>
        <w:rPr>
          <w:rFonts w:hint="eastAsia" w:ascii="宋体" w:hAnsi="宋体" w:cs="宋体"/>
          <w:color w:val="auto"/>
          <w:kern w:val="0"/>
          <w:sz w:val="24"/>
          <w:highlight w:val="none"/>
        </w:rPr>
        <w:t>采购人：</w:t>
      </w:r>
      <w:r>
        <w:rPr>
          <w:rFonts w:hint="eastAsia" w:ascii="宋体" w:hAnsi="宋体" w:cs="宋体"/>
          <w:color w:val="auto"/>
          <w:kern w:val="0"/>
          <w:sz w:val="24"/>
          <w:highlight w:val="none"/>
          <w:lang w:val="en-US" w:eastAsia="zh-CN"/>
        </w:rPr>
        <w:t>甘肃省第二人民医院</w:t>
      </w:r>
    </w:p>
    <w:p>
      <w:pPr>
        <w:spacing w:line="440" w:lineRule="exact"/>
        <w:ind w:firstLine="240" w:firstLineChars="100"/>
        <w:rPr>
          <w:rFonts w:ascii="宋体" w:hAnsi="宋体" w:cs="宋体"/>
          <w:color w:val="auto"/>
          <w:kern w:val="0"/>
          <w:sz w:val="24"/>
          <w:szCs w:val="22"/>
          <w:highlight w:val="none"/>
        </w:rPr>
      </w:pPr>
      <w:r>
        <w:rPr>
          <w:rFonts w:hint="eastAsia" w:ascii="宋体" w:hAnsi="宋体" w:cs="宋体"/>
          <w:color w:val="auto"/>
          <w:kern w:val="0"/>
          <w:sz w:val="24"/>
          <w:szCs w:val="22"/>
          <w:highlight w:val="none"/>
        </w:rPr>
        <w:t>详细地址：兰州市城关区和政西街1号</w:t>
      </w:r>
    </w:p>
    <w:p>
      <w:pPr>
        <w:spacing w:line="440" w:lineRule="exact"/>
        <w:ind w:firstLine="240" w:firstLineChars="100"/>
        <w:rPr>
          <w:rFonts w:ascii="宋体" w:hAnsi="宋体" w:cs="宋体"/>
          <w:color w:val="auto"/>
          <w:kern w:val="0"/>
          <w:sz w:val="24"/>
          <w:szCs w:val="22"/>
          <w:highlight w:val="none"/>
        </w:rPr>
      </w:pPr>
      <w:r>
        <w:rPr>
          <w:rFonts w:hint="eastAsia" w:ascii="宋体" w:hAnsi="宋体" w:cs="宋体"/>
          <w:color w:val="auto"/>
          <w:kern w:val="0"/>
          <w:sz w:val="24"/>
          <w:szCs w:val="22"/>
          <w:highlight w:val="none"/>
        </w:rPr>
        <w:t>联系人：</w:t>
      </w:r>
      <w:r>
        <w:rPr>
          <w:rFonts w:hint="eastAsia" w:ascii="宋体" w:hAnsi="宋体" w:cs="宋体"/>
          <w:color w:val="auto"/>
          <w:kern w:val="0"/>
          <w:sz w:val="24"/>
          <w:szCs w:val="22"/>
          <w:highlight w:val="none"/>
          <w:lang w:val="en-US" w:eastAsia="zh-CN"/>
        </w:rPr>
        <w:t>李小强</w:t>
      </w:r>
      <w:r>
        <w:rPr>
          <w:rFonts w:hint="eastAsia" w:ascii="宋体" w:hAnsi="宋体" w:cs="宋体"/>
          <w:color w:val="auto"/>
          <w:kern w:val="0"/>
          <w:sz w:val="24"/>
          <w:szCs w:val="22"/>
          <w:highlight w:val="none"/>
        </w:rPr>
        <w:tab/>
      </w:r>
      <w:r>
        <w:rPr>
          <w:rFonts w:hint="eastAsia" w:ascii="宋体" w:hAnsi="宋体" w:cs="宋体"/>
          <w:color w:val="auto"/>
          <w:kern w:val="0"/>
          <w:sz w:val="24"/>
          <w:szCs w:val="22"/>
          <w:highlight w:val="none"/>
        </w:rPr>
        <w:t xml:space="preserve"> </w:t>
      </w:r>
    </w:p>
    <w:p>
      <w:pPr>
        <w:spacing w:line="440" w:lineRule="exact"/>
        <w:ind w:firstLine="240" w:firstLineChars="100"/>
        <w:rPr>
          <w:rFonts w:hint="default" w:ascii="宋体" w:hAnsi="宋体" w:cs="宋体"/>
          <w:color w:val="auto"/>
          <w:kern w:val="0"/>
          <w:sz w:val="24"/>
          <w:szCs w:val="22"/>
          <w:highlight w:val="none"/>
          <w:lang w:val="en-US"/>
        </w:rPr>
      </w:pPr>
      <w:r>
        <w:rPr>
          <w:rFonts w:hint="eastAsia" w:ascii="宋体" w:hAnsi="宋体" w:cs="宋体"/>
          <w:color w:val="auto"/>
          <w:kern w:val="0"/>
          <w:sz w:val="24"/>
          <w:szCs w:val="22"/>
          <w:highlight w:val="none"/>
        </w:rPr>
        <w:t>联系电话：</w:t>
      </w:r>
      <w:r>
        <w:rPr>
          <w:rFonts w:hint="eastAsia" w:ascii="宋体" w:hAnsi="宋体" w:cs="宋体"/>
          <w:color w:val="auto"/>
          <w:kern w:val="0"/>
          <w:sz w:val="24"/>
          <w:szCs w:val="22"/>
          <w:highlight w:val="none"/>
          <w:lang w:val="en-US" w:eastAsia="zh-CN"/>
        </w:rPr>
        <w:t>0931-4923517</w:t>
      </w:r>
    </w:p>
    <w:p>
      <w:pPr>
        <w:pStyle w:val="6"/>
        <w:rPr>
          <w:rFonts w:hint="eastAsia" w:ascii="宋体" w:hAnsi="宋体" w:cs="宋体"/>
          <w:color w:val="auto"/>
          <w:kern w:val="0"/>
          <w:sz w:val="24"/>
          <w:szCs w:val="22"/>
          <w:highlight w:val="none"/>
        </w:rPr>
      </w:pPr>
      <w:r>
        <w:rPr>
          <w:rFonts w:hint="eastAsia" w:ascii="宋体" w:hAnsi="宋体" w:cs="宋体"/>
          <w:color w:val="auto"/>
          <w:kern w:val="0"/>
          <w:sz w:val="24"/>
          <w:szCs w:val="22"/>
          <w:highlight w:val="none"/>
        </w:rPr>
        <w:t xml:space="preserve">            </w:t>
      </w:r>
    </w:p>
    <w:p>
      <w:pPr>
        <w:pStyle w:val="6"/>
        <w:rPr>
          <w:rFonts w:hint="eastAsia" w:ascii="宋体" w:hAnsi="宋体" w:cs="宋体"/>
          <w:color w:val="auto"/>
          <w:kern w:val="0"/>
          <w:sz w:val="24"/>
          <w:szCs w:val="22"/>
          <w:highlight w:val="none"/>
        </w:rPr>
      </w:pPr>
    </w:p>
    <w:bookmarkEnd w:id="600"/>
    <w:p>
      <w:pPr>
        <w:pStyle w:val="6"/>
        <w:rPr>
          <w:rFonts w:hint="eastAsia" w:ascii="宋体" w:hAnsi="宋体" w:cs="宋体"/>
          <w:color w:val="auto"/>
          <w:kern w:val="0"/>
          <w:sz w:val="24"/>
          <w:szCs w:val="22"/>
          <w:highlight w:val="none"/>
        </w:rPr>
      </w:pPr>
    </w:p>
    <w:p>
      <w:pPr>
        <w:pStyle w:val="6"/>
        <w:rPr>
          <w:rFonts w:hint="eastAsia" w:ascii="宋体" w:hAnsi="宋体" w:cs="宋体"/>
          <w:b w:val="0"/>
          <w:bCs w:val="0"/>
          <w:color w:val="auto"/>
          <w:kern w:val="0"/>
          <w:sz w:val="24"/>
          <w:szCs w:val="22"/>
          <w:highlight w:val="none"/>
        </w:rPr>
      </w:pPr>
      <w:r>
        <w:rPr>
          <w:rFonts w:hint="eastAsia" w:ascii="宋体" w:hAnsi="宋体" w:cs="宋体"/>
          <w:color w:val="auto"/>
          <w:kern w:val="0"/>
          <w:sz w:val="24"/>
          <w:szCs w:val="22"/>
          <w:highlight w:val="none"/>
        </w:rPr>
        <w:t xml:space="preserve">                       </w:t>
      </w:r>
      <w:r>
        <w:rPr>
          <w:rFonts w:hint="eastAsia" w:ascii="宋体" w:hAnsi="宋体" w:cs="宋体"/>
          <w:b w:val="0"/>
          <w:bCs w:val="0"/>
          <w:color w:val="auto"/>
          <w:kern w:val="0"/>
          <w:sz w:val="24"/>
          <w:szCs w:val="22"/>
          <w:highlight w:val="none"/>
        </w:rPr>
        <w:t>20</w:t>
      </w:r>
      <w:r>
        <w:rPr>
          <w:rFonts w:ascii="宋体" w:hAnsi="宋体" w:cs="宋体"/>
          <w:b w:val="0"/>
          <w:bCs w:val="0"/>
          <w:color w:val="auto"/>
          <w:kern w:val="0"/>
          <w:sz w:val="24"/>
          <w:szCs w:val="22"/>
          <w:highlight w:val="none"/>
        </w:rPr>
        <w:t>2</w:t>
      </w:r>
      <w:r>
        <w:rPr>
          <w:rFonts w:hint="eastAsia" w:ascii="宋体" w:hAnsi="宋体" w:cs="宋体"/>
          <w:b w:val="0"/>
          <w:bCs w:val="0"/>
          <w:color w:val="auto"/>
          <w:kern w:val="0"/>
          <w:sz w:val="24"/>
          <w:szCs w:val="22"/>
          <w:highlight w:val="none"/>
          <w:lang w:val="en-US" w:eastAsia="zh-CN"/>
        </w:rPr>
        <w:t>3</w:t>
      </w:r>
      <w:r>
        <w:rPr>
          <w:rFonts w:hint="eastAsia" w:ascii="宋体" w:hAnsi="宋体" w:cs="宋体"/>
          <w:b w:val="0"/>
          <w:bCs w:val="0"/>
          <w:color w:val="auto"/>
          <w:kern w:val="0"/>
          <w:sz w:val="24"/>
          <w:szCs w:val="22"/>
          <w:highlight w:val="none"/>
        </w:rPr>
        <w:t>年</w:t>
      </w:r>
      <w:r>
        <w:rPr>
          <w:rFonts w:hint="eastAsia" w:ascii="宋体" w:hAnsi="宋体" w:cs="宋体"/>
          <w:b w:val="0"/>
          <w:bCs w:val="0"/>
          <w:color w:val="auto"/>
          <w:kern w:val="0"/>
          <w:sz w:val="24"/>
          <w:szCs w:val="22"/>
          <w:highlight w:val="none"/>
          <w:lang w:val="en-US" w:eastAsia="zh-CN"/>
        </w:rPr>
        <w:t>4</w:t>
      </w:r>
      <w:r>
        <w:rPr>
          <w:rFonts w:hint="eastAsia" w:ascii="宋体" w:hAnsi="宋体" w:cs="宋体"/>
          <w:b w:val="0"/>
          <w:bCs w:val="0"/>
          <w:color w:val="auto"/>
          <w:kern w:val="0"/>
          <w:sz w:val="24"/>
          <w:szCs w:val="22"/>
          <w:highlight w:val="none"/>
        </w:rPr>
        <w:t>月</w:t>
      </w:r>
      <w:r>
        <w:rPr>
          <w:rFonts w:hint="eastAsia" w:ascii="宋体" w:hAnsi="宋体" w:cs="宋体"/>
          <w:b w:val="0"/>
          <w:bCs w:val="0"/>
          <w:color w:val="auto"/>
          <w:kern w:val="0"/>
          <w:sz w:val="24"/>
          <w:szCs w:val="22"/>
          <w:highlight w:val="none"/>
          <w:lang w:val="en-US" w:eastAsia="zh-CN"/>
        </w:rPr>
        <w:t>24</w:t>
      </w:r>
      <w:r>
        <w:rPr>
          <w:rFonts w:hint="eastAsia" w:ascii="宋体" w:hAnsi="宋体" w:cs="宋体"/>
          <w:b w:val="0"/>
          <w:bCs w:val="0"/>
          <w:color w:val="auto"/>
          <w:kern w:val="0"/>
          <w:sz w:val="24"/>
          <w:szCs w:val="22"/>
          <w:highlight w:val="none"/>
        </w:rPr>
        <w:t>日</w:t>
      </w:r>
    </w:p>
    <w:p>
      <w:pPr>
        <w:rPr>
          <w:rFonts w:hint="eastAsia" w:ascii="宋体" w:hAnsi="宋体" w:cs="宋体"/>
          <w:b w:val="0"/>
          <w:bCs w:val="0"/>
          <w:color w:val="auto"/>
          <w:kern w:val="0"/>
          <w:sz w:val="24"/>
          <w:szCs w:val="22"/>
          <w:highlight w:val="none"/>
        </w:rPr>
      </w:pPr>
    </w:p>
    <w:p>
      <w:pPr>
        <w:pStyle w:val="2"/>
        <w:rPr>
          <w:rFonts w:hint="eastAsia" w:ascii="宋体" w:hAnsi="宋体" w:cs="宋体"/>
          <w:b w:val="0"/>
          <w:bCs w:val="0"/>
          <w:color w:val="auto"/>
          <w:kern w:val="0"/>
          <w:sz w:val="24"/>
          <w:szCs w:val="22"/>
          <w:highlight w:val="none"/>
        </w:rPr>
      </w:pPr>
    </w:p>
    <w:p>
      <w:pPr>
        <w:pStyle w:val="2"/>
        <w:rPr>
          <w:rFonts w:hint="eastAsia" w:ascii="宋体" w:hAnsi="宋体" w:cs="宋体"/>
          <w:b w:val="0"/>
          <w:bCs w:val="0"/>
          <w:color w:val="auto"/>
          <w:kern w:val="0"/>
          <w:sz w:val="24"/>
          <w:szCs w:val="22"/>
          <w:highlight w:val="none"/>
        </w:rPr>
      </w:pPr>
    </w:p>
    <w:p>
      <w:pPr>
        <w:pStyle w:val="2"/>
        <w:rPr>
          <w:rFonts w:hint="eastAsia" w:ascii="宋体" w:hAnsi="宋体" w:cs="宋体"/>
          <w:b w:val="0"/>
          <w:bCs w:val="0"/>
          <w:color w:val="auto"/>
          <w:kern w:val="0"/>
          <w:sz w:val="24"/>
          <w:szCs w:val="22"/>
          <w:highlight w:val="none"/>
        </w:rPr>
      </w:pPr>
    </w:p>
    <w:p>
      <w:pPr>
        <w:pStyle w:val="2"/>
        <w:ind w:left="0" w:leftChars="0" w:firstLine="0" w:firstLineChars="0"/>
        <w:rPr>
          <w:rFonts w:hint="eastAsia" w:ascii="宋体" w:hAnsi="宋体" w:cs="宋体"/>
          <w:b w:val="0"/>
          <w:bCs w:val="0"/>
          <w:color w:val="auto"/>
          <w:kern w:val="0"/>
          <w:sz w:val="24"/>
          <w:szCs w:val="22"/>
          <w:highlight w:val="none"/>
        </w:rPr>
      </w:pPr>
    </w:p>
    <w:p>
      <w:pPr>
        <w:pStyle w:val="2"/>
        <w:rPr>
          <w:rFonts w:hint="eastAsia" w:ascii="宋体" w:hAnsi="宋体" w:cs="宋体"/>
          <w:b w:val="0"/>
          <w:bCs w:val="0"/>
          <w:color w:val="auto"/>
          <w:kern w:val="0"/>
          <w:sz w:val="24"/>
          <w:szCs w:val="22"/>
          <w:highlight w:val="none"/>
        </w:rPr>
      </w:pPr>
    </w:p>
    <w:p>
      <w:pPr>
        <w:pStyle w:val="6"/>
        <w:rPr>
          <w:rFonts w:ascii="宋体" w:hAnsi="宋体" w:cs="宋体"/>
          <w:sz w:val="32"/>
          <w:szCs w:val="32"/>
          <w:highlight w:val="none"/>
        </w:rPr>
      </w:pPr>
      <w:r>
        <w:rPr>
          <w:rFonts w:hint="eastAsia" w:ascii="宋体" w:hAnsi="宋体" w:cs="宋体"/>
          <w:sz w:val="32"/>
          <w:szCs w:val="32"/>
          <w:highlight w:val="none"/>
        </w:rPr>
        <w:t>第二章  投标人须知</w:t>
      </w:r>
      <w:bookmarkEnd w:id="13"/>
      <w:bookmarkEnd w:id="14"/>
      <w:bookmarkEnd w:id="15"/>
    </w:p>
    <w:p>
      <w:pPr>
        <w:pStyle w:val="7"/>
        <w:keepNext/>
        <w:keepLines/>
        <w:pageBreakBefore w:val="0"/>
        <w:widowControl w:val="0"/>
        <w:kinsoku/>
        <w:wordWrap/>
        <w:overflowPunct/>
        <w:topLinePunct w:val="0"/>
        <w:autoSpaceDE/>
        <w:autoSpaceDN/>
        <w:bidi w:val="0"/>
        <w:adjustRightInd/>
        <w:snapToGrid/>
        <w:spacing w:before="20" w:after="20" w:line="240" w:lineRule="auto"/>
        <w:textAlignment w:val="auto"/>
        <w:rPr>
          <w:rFonts w:ascii="宋体" w:hAnsi="宋体" w:cs="宋体"/>
          <w:sz w:val="28"/>
          <w:szCs w:val="20"/>
          <w:highlight w:val="none"/>
        </w:rPr>
      </w:pPr>
      <w:bookmarkStart w:id="16" w:name="_Toc6934"/>
      <w:bookmarkStart w:id="17" w:name="_Toc20547"/>
      <w:bookmarkStart w:id="18" w:name="_Toc6202"/>
      <w:bookmarkStart w:id="19" w:name="_Toc21668"/>
      <w:bookmarkStart w:id="20" w:name="_Toc17569"/>
      <w:r>
        <w:rPr>
          <w:rFonts w:hint="eastAsia" w:ascii="宋体" w:hAnsi="宋体" w:cs="宋体"/>
          <w:sz w:val="28"/>
          <w:szCs w:val="20"/>
          <w:highlight w:val="none"/>
        </w:rPr>
        <w:t>投标人须知</w:t>
      </w:r>
      <w:bookmarkEnd w:id="6"/>
      <w:bookmarkEnd w:id="7"/>
      <w:bookmarkEnd w:id="8"/>
      <w:r>
        <w:rPr>
          <w:rFonts w:hint="eastAsia" w:ascii="宋体" w:hAnsi="宋体" w:cs="宋体"/>
          <w:sz w:val="28"/>
          <w:szCs w:val="20"/>
          <w:highlight w:val="none"/>
        </w:rPr>
        <w:t>前附表</w:t>
      </w:r>
      <w:bookmarkEnd w:id="9"/>
      <w:bookmarkEnd w:id="16"/>
      <w:bookmarkEnd w:id="17"/>
      <w:bookmarkEnd w:id="18"/>
      <w:bookmarkEnd w:id="19"/>
      <w:bookmarkEnd w:id="20"/>
    </w:p>
    <w:p>
      <w:pPr>
        <w:spacing w:line="360" w:lineRule="auto"/>
        <w:ind w:firstLine="480" w:firstLineChars="200"/>
        <w:rPr>
          <w:rFonts w:ascii="宋体" w:hAnsi="宋体" w:cs="宋体"/>
          <w:sz w:val="24"/>
          <w:szCs w:val="32"/>
          <w:highlight w:val="none"/>
        </w:rPr>
      </w:pPr>
      <w:r>
        <w:rPr>
          <w:rFonts w:hint="eastAsia" w:ascii="宋体" w:hAnsi="宋体" w:cs="宋体"/>
          <w:sz w:val="24"/>
          <w:szCs w:val="32"/>
          <w:highlight w:val="none"/>
        </w:rPr>
        <w:t>注：本前附表中的内容是对投标人须知的具体补充和修改，如果有矛盾，应以本前附表内容为准。</w:t>
      </w:r>
    </w:p>
    <w:tbl>
      <w:tblPr>
        <w:tblStyle w:val="37"/>
        <w:tblW w:w="9519" w:type="dxa"/>
        <w:tblInd w:w="0" w:type="dxa"/>
        <w:tblBorders>
          <w:top w:val="double" w:color="auto" w:sz="6" w:space="0"/>
          <w:left w:val="double" w:color="auto" w:sz="6" w:space="0"/>
          <w:bottom w:val="double" w:color="auto" w:sz="6" w:space="0"/>
          <w:right w:val="double" w:color="auto" w:sz="6" w:space="0"/>
          <w:insideH w:val="double" w:color="auto" w:sz="6" w:space="0"/>
          <w:insideV w:val="double" w:color="auto" w:sz="6" w:space="0"/>
        </w:tblBorders>
        <w:tblLayout w:type="fixed"/>
        <w:tblCellMar>
          <w:top w:w="0" w:type="dxa"/>
          <w:left w:w="108" w:type="dxa"/>
          <w:bottom w:w="0" w:type="dxa"/>
          <w:right w:w="108" w:type="dxa"/>
        </w:tblCellMar>
      </w:tblPr>
      <w:tblGrid>
        <w:gridCol w:w="696"/>
        <w:gridCol w:w="2351"/>
        <w:gridCol w:w="6472"/>
      </w:tblGrid>
      <w:tr>
        <w:tblPrEx>
          <w:tblBorders>
            <w:top w:val="double" w:color="auto" w:sz="6" w:space="0"/>
            <w:left w:val="double" w:color="auto" w:sz="6" w:space="0"/>
            <w:bottom w:val="double" w:color="auto" w:sz="6" w:space="0"/>
            <w:right w:val="double" w:color="auto" w:sz="6" w:space="0"/>
            <w:insideH w:val="double" w:color="auto" w:sz="6" w:space="0"/>
            <w:insideV w:val="double" w:color="auto" w:sz="6" w:space="0"/>
          </w:tblBorders>
          <w:tblCellMar>
            <w:top w:w="0" w:type="dxa"/>
            <w:left w:w="108" w:type="dxa"/>
            <w:bottom w:w="0" w:type="dxa"/>
            <w:right w:w="108" w:type="dxa"/>
          </w:tblCellMar>
        </w:tblPrEx>
        <w:trPr>
          <w:trHeight w:val="500" w:hRule="atLeast"/>
        </w:trPr>
        <w:tc>
          <w:tcPr>
            <w:tcW w:w="696" w:type="dxa"/>
            <w:tcBorders>
              <w:tl2br w:val="nil"/>
              <w:tr2bl w:val="nil"/>
            </w:tcBorders>
          </w:tcPr>
          <w:p>
            <w:pPr>
              <w:spacing w:line="360" w:lineRule="auto"/>
              <w:jc w:val="center"/>
              <w:rPr>
                <w:rFonts w:ascii="宋体" w:hAnsi="宋体" w:cs="宋体"/>
                <w:bCs/>
                <w:sz w:val="24"/>
                <w:highlight w:val="none"/>
              </w:rPr>
            </w:pPr>
            <w:r>
              <w:rPr>
                <w:rFonts w:hint="eastAsia" w:ascii="宋体" w:hAnsi="宋体" w:cs="宋体"/>
                <w:bCs/>
                <w:sz w:val="24"/>
                <w:highlight w:val="none"/>
              </w:rPr>
              <w:t>序号</w:t>
            </w:r>
          </w:p>
        </w:tc>
        <w:tc>
          <w:tcPr>
            <w:tcW w:w="2351" w:type="dxa"/>
            <w:tcBorders>
              <w:tl2br w:val="nil"/>
              <w:tr2bl w:val="nil"/>
            </w:tcBorders>
          </w:tcPr>
          <w:p>
            <w:pPr>
              <w:spacing w:line="360" w:lineRule="auto"/>
              <w:jc w:val="center"/>
              <w:rPr>
                <w:rFonts w:ascii="宋体" w:hAnsi="宋体" w:cs="宋体"/>
                <w:bCs/>
                <w:sz w:val="24"/>
                <w:highlight w:val="none"/>
              </w:rPr>
            </w:pPr>
            <w:r>
              <w:rPr>
                <w:rFonts w:hint="eastAsia" w:ascii="宋体" w:hAnsi="宋体" w:cs="宋体"/>
                <w:bCs/>
                <w:sz w:val="24"/>
                <w:highlight w:val="none"/>
              </w:rPr>
              <w:t>条款名称</w:t>
            </w:r>
          </w:p>
        </w:tc>
        <w:tc>
          <w:tcPr>
            <w:tcW w:w="6472" w:type="dxa"/>
            <w:tcBorders>
              <w:tl2br w:val="nil"/>
              <w:tr2bl w:val="nil"/>
            </w:tcBorders>
          </w:tcPr>
          <w:p>
            <w:pPr>
              <w:spacing w:line="360" w:lineRule="auto"/>
              <w:jc w:val="center"/>
              <w:rPr>
                <w:rFonts w:ascii="宋体" w:hAnsi="宋体" w:cs="宋体"/>
                <w:bCs/>
                <w:sz w:val="24"/>
                <w:highlight w:val="none"/>
              </w:rPr>
            </w:pPr>
            <w:r>
              <w:rPr>
                <w:rFonts w:hint="eastAsia" w:ascii="宋体" w:hAnsi="宋体" w:cs="宋体"/>
                <w:bCs/>
                <w:sz w:val="24"/>
                <w:highlight w:val="none"/>
              </w:rPr>
              <w:t>条款说明和要求</w:t>
            </w:r>
          </w:p>
        </w:tc>
      </w:tr>
      <w:tr>
        <w:tblPrEx>
          <w:tblBorders>
            <w:top w:val="double" w:color="auto" w:sz="6" w:space="0"/>
            <w:left w:val="double" w:color="auto" w:sz="6" w:space="0"/>
            <w:bottom w:val="double" w:color="auto" w:sz="6" w:space="0"/>
            <w:right w:val="double" w:color="auto" w:sz="6" w:space="0"/>
            <w:insideH w:val="double" w:color="auto" w:sz="6" w:space="0"/>
            <w:insideV w:val="double" w:color="auto" w:sz="6" w:space="0"/>
          </w:tblBorders>
          <w:tblCellMar>
            <w:top w:w="0" w:type="dxa"/>
            <w:left w:w="108" w:type="dxa"/>
            <w:bottom w:w="0" w:type="dxa"/>
            <w:right w:w="108" w:type="dxa"/>
          </w:tblCellMar>
        </w:tblPrEx>
        <w:trPr>
          <w:trHeight w:val="500" w:hRule="atLeast"/>
        </w:trPr>
        <w:tc>
          <w:tcPr>
            <w:tcW w:w="696" w:type="dxa"/>
            <w:tcBorders>
              <w:tl2br w:val="nil"/>
              <w:tr2bl w:val="nil"/>
            </w:tcBorders>
            <w:vAlign w:val="center"/>
          </w:tcPr>
          <w:p>
            <w:pPr>
              <w:numPr>
                <w:ilvl w:val="0"/>
                <w:numId w:val="1"/>
              </w:numPr>
              <w:spacing w:line="360" w:lineRule="auto"/>
              <w:ind w:left="-70" w:leftChars="0" w:firstLine="280" w:firstLineChars="0"/>
              <w:rPr>
                <w:rFonts w:ascii="宋体" w:hAnsi="宋体" w:cs="宋体"/>
                <w:sz w:val="24"/>
                <w:highlight w:val="none"/>
              </w:rPr>
            </w:pPr>
          </w:p>
        </w:tc>
        <w:tc>
          <w:tcPr>
            <w:tcW w:w="2351" w:type="dxa"/>
            <w:tcBorders>
              <w:tl2br w:val="nil"/>
              <w:tr2bl w:val="nil"/>
            </w:tcBorders>
            <w:vAlign w:val="center"/>
          </w:tcPr>
          <w:p>
            <w:pPr>
              <w:spacing w:line="360" w:lineRule="auto"/>
              <w:jc w:val="center"/>
              <w:rPr>
                <w:rFonts w:ascii="宋体" w:hAnsi="宋体" w:cs="宋体"/>
                <w:sz w:val="24"/>
                <w:highlight w:val="none"/>
              </w:rPr>
            </w:pPr>
            <w:r>
              <w:rPr>
                <w:rFonts w:hint="eastAsia" w:ascii="宋体" w:hAnsi="宋体" w:cs="宋体"/>
                <w:sz w:val="24"/>
                <w:szCs w:val="30"/>
                <w:highlight w:val="none"/>
              </w:rPr>
              <w:t>项目名称</w:t>
            </w:r>
          </w:p>
        </w:tc>
        <w:tc>
          <w:tcPr>
            <w:tcW w:w="6472" w:type="dxa"/>
            <w:tcBorders>
              <w:tl2br w:val="nil"/>
              <w:tr2bl w:val="nil"/>
            </w:tcBorders>
            <w:vAlign w:val="center"/>
          </w:tcPr>
          <w:p>
            <w:pPr>
              <w:spacing w:line="360" w:lineRule="auto"/>
              <w:rPr>
                <w:rFonts w:ascii="宋体" w:hAnsi="宋体" w:cs="宋体"/>
                <w:sz w:val="24"/>
                <w:highlight w:val="none"/>
              </w:rPr>
            </w:pPr>
            <w:r>
              <w:rPr>
                <w:rFonts w:hint="eastAsia" w:ascii="宋体" w:hAnsi="宋体" w:cs="宋体"/>
                <w:sz w:val="24"/>
                <w:highlight w:val="none"/>
                <w:lang w:val="en-US" w:eastAsia="zh-CN"/>
              </w:rPr>
              <w:t>甘肃省第二人民医院幽门螺旋杆菌检测仪采购项目</w:t>
            </w:r>
          </w:p>
        </w:tc>
      </w:tr>
      <w:tr>
        <w:tblPrEx>
          <w:tblBorders>
            <w:top w:val="double" w:color="auto" w:sz="6" w:space="0"/>
            <w:left w:val="double" w:color="auto" w:sz="6" w:space="0"/>
            <w:bottom w:val="double" w:color="auto" w:sz="6" w:space="0"/>
            <w:right w:val="double" w:color="auto" w:sz="6" w:space="0"/>
            <w:insideH w:val="double" w:color="auto" w:sz="6" w:space="0"/>
            <w:insideV w:val="double" w:color="auto" w:sz="6" w:space="0"/>
          </w:tblBorders>
          <w:tblCellMar>
            <w:top w:w="0" w:type="dxa"/>
            <w:left w:w="108" w:type="dxa"/>
            <w:bottom w:w="0" w:type="dxa"/>
            <w:right w:w="108" w:type="dxa"/>
          </w:tblCellMar>
        </w:tblPrEx>
        <w:trPr>
          <w:trHeight w:val="500" w:hRule="atLeast"/>
        </w:trPr>
        <w:tc>
          <w:tcPr>
            <w:tcW w:w="696" w:type="dxa"/>
            <w:tcBorders>
              <w:tl2br w:val="nil"/>
              <w:tr2bl w:val="nil"/>
            </w:tcBorders>
            <w:vAlign w:val="center"/>
          </w:tcPr>
          <w:p>
            <w:pPr>
              <w:numPr>
                <w:ilvl w:val="0"/>
                <w:numId w:val="1"/>
              </w:numPr>
              <w:spacing w:line="360" w:lineRule="auto"/>
              <w:ind w:left="-70" w:leftChars="0" w:firstLine="280" w:firstLineChars="0"/>
              <w:rPr>
                <w:rFonts w:ascii="宋体" w:hAnsi="宋体" w:cs="宋体"/>
                <w:sz w:val="24"/>
                <w:highlight w:val="none"/>
              </w:rPr>
            </w:pPr>
          </w:p>
        </w:tc>
        <w:tc>
          <w:tcPr>
            <w:tcW w:w="2351" w:type="dxa"/>
            <w:tcBorders>
              <w:tl2br w:val="nil"/>
              <w:tr2bl w:val="nil"/>
            </w:tcBorders>
            <w:vAlign w:val="center"/>
          </w:tcPr>
          <w:p>
            <w:pPr>
              <w:spacing w:line="360" w:lineRule="auto"/>
              <w:jc w:val="center"/>
              <w:rPr>
                <w:rFonts w:ascii="宋体" w:hAnsi="宋体" w:cs="宋体"/>
                <w:sz w:val="24"/>
                <w:szCs w:val="30"/>
                <w:highlight w:val="none"/>
              </w:rPr>
            </w:pPr>
            <w:r>
              <w:rPr>
                <w:rFonts w:hint="eastAsia" w:ascii="宋体" w:hAnsi="宋体" w:cs="宋体"/>
                <w:sz w:val="24"/>
                <w:szCs w:val="30"/>
                <w:highlight w:val="none"/>
              </w:rPr>
              <w:t>招标文件编号</w:t>
            </w:r>
          </w:p>
        </w:tc>
        <w:tc>
          <w:tcPr>
            <w:tcW w:w="6472" w:type="dxa"/>
            <w:tcBorders>
              <w:tl2br w:val="nil"/>
              <w:tr2bl w:val="nil"/>
            </w:tcBorders>
            <w:vAlign w:val="center"/>
          </w:tcPr>
          <w:p>
            <w:pPr>
              <w:spacing w:line="360" w:lineRule="auto"/>
              <w:rPr>
                <w:rFonts w:hint="default" w:ascii="宋体" w:hAnsi="宋体" w:eastAsia="宋体" w:cs="宋体"/>
                <w:sz w:val="24"/>
                <w:highlight w:val="none"/>
                <w:lang w:val="en-US" w:eastAsia="zh-CN"/>
              </w:rPr>
            </w:pPr>
            <w:r>
              <w:rPr>
                <w:rFonts w:hint="eastAsia" w:ascii="宋体" w:hAnsi="宋体" w:eastAsia="宋体" w:cs="宋体"/>
                <w:sz w:val="28"/>
                <w:szCs w:val="28"/>
                <w:highlight w:val="none"/>
                <w:lang w:val="en-US" w:eastAsia="zh-CN"/>
              </w:rPr>
              <w:t>SEY-2023YNCG-0</w:t>
            </w:r>
            <w:r>
              <w:rPr>
                <w:rFonts w:hint="eastAsia" w:ascii="宋体" w:hAnsi="宋体" w:cs="宋体"/>
                <w:sz w:val="28"/>
                <w:szCs w:val="28"/>
                <w:highlight w:val="none"/>
                <w:lang w:val="en-US" w:eastAsia="zh-CN"/>
              </w:rPr>
              <w:t>21</w:t>
            </w:r>
          </w:p>
        </w:tc>
      </w:tr>
      <w:tr>
        <w:tblPrEx>
          <w:tblBorders>
            <w:top w:val="double" w:color="auto" w:sz="6" w:space="0"/>
            <w:left w:val="double" w:color="auto" w:sz="6" w:space="0"/>
            <w:bottom w:val="double" w:color="auto" w:sz="6" w:space="0"/>
            <w:right w:val="double" w:color="auto" w:sz="6" w:space="0"/>
            <w:insideH w:val="double" w:color="auto" w:sz="6" w:space="0"/>
            <w:insideV w:val="double" w:color="auto" w:sz="6" w:space="0"/>
          </w:tblBorders>
          <w:tblCellMar>
            <w:top w:w="0" w:type="dxa"/>
            <w:left w:w="108" w:type="dxa"/>
            <w:bottom w:w="0" w:type="dxa"/>
            <w:right w:w="108" w:type="dxa"/>
          </w:tblCellMar>
        </w:tblPrEx>
        <w:trPr>
          <w:trHeight w:val="500" w:hRule="atLeast"/>
        </w:trPr>
        <w:tc>
          <w:tcPr>
            <w:tcW w:w="696" w:type="dxa"/>
            <w:tcBorders>
              <w:tl2br w:val="nil"/>
              <w:tr2bl w:val="nil"/>
            </w:tcBorders>
            <w:vAlign w:val="center"/>
          </w:tcPr>
          <w:p>
            <w:pPr>
              <w:numPr>
                <w:ilvl w:val="0"/>
                <w:numId w:val="1"/>
              </w:numPr>
              <w:spacing w:line="360" w:lineRule="auto"/>
              <w:ind w:left="-70" w:leftChars="0" w:firstLine="280" w:firstLineChars="0"/>
              <w:rPr>
                <w:rFonts w:ascii="宋体" w:hAnsi="宋体" w:cs="宋体"/>
                <w:sz w:val="24"/>
                <w:highlight w:val="none"/>
              </w:rPr>
            </w:pPr>
          </w:p>
        </w:tc>
        <w:tc>
          <w:tcPr>
            <w:tcW w:w="2351" w:type="dxa"/>
            <w:tcBorders>
              <w:tl2br w:val="nil"/>
              <w:tr2bl w:val="nil"/>
            </w:tcBorders>
            <w:vAlign w:val="center"/>
          </w:tcPr>
          <w:p>
            <w:pPr>
              <w:spacing w:line="360" w:lineRule="auto"/>
              <w:jc w:val="center"/>
              <w:rPr>
                <w:rFonts w:ascii="宋体" w:hAnsi="宋体" w:cs="宋体"/>
                <w:sz w:val="24"/>
                <w:szCs w:val="30"/>
                <w:highlight w:val="none"/>
              </w:rPr>
            </w:pPr>
            <w:r>
              <w:rPr>
                <w:rFonts w:hint="eastAsia" w:ascii="宋体" w:hAnsi="宋体" w:cs="宋体"/>
                <w:sz w:val="24"/>
                <w:szCs w:val="30"/>
                <w:highlight w:val="none"/>
              </w:rPr>
              <w:t>采购方式</w:t>
            </w:r>
          </w:p>
        </w:tc>
        <w:tc>
          <w:tcPr>
            <w:tcW w:w="6472" w:type="dxa"/>
            <w:tcBorders>
              <w:tl2br w:val="nil"/>
              <w:tr2bl w:val="nil"/>
            </w:tcBorders>
          </w:tcPr>
          <w:p>
            <w:pPr>
              <w:spacing w:line="360" w:lineRule="auto"/>
              <w:rPr>
                <w:rFonts w:ascii="宋体" w:hAnsi="宋体" w:cs="宋体"/>
                <w:kern w:val="0"/>
                <w:sz w:val="24"/>
                <w:szCs w:val="22"/>
                <w:highlight w:val="none"/>
              </w:rPr>
            </w:pPr>
            <w:r>
              <w:rPr>
                <w:rFonts w:hint="eastAsia" w:ascii="宋体" w:hAnsi="宋体" w:cs="宋体"/>
                <w:kern w:val="0"/>
                <w:sz w:val="24"/>
                <w:szCs w:val="22"/>
                <w:highlight w:val="none"/>
              </w:rPr>
              <w:t>公开招标</w:t>
            </w:r>
          </w:p>
        </w:tc>
      </w:tr>
      <w:tr>
        <w:tblPrEx>
          <w:tblBorders>
            <w:top w:val="double" w:color="auto" w:sz="6" w:space="0"/>
            <w:left w:val="double" w:color="auto" w:sz="6" w:space="0"/>
            <w:bottom w:val="double" w:color="auto" w:sz="6" w:space="0"/>
            <w:right w:val="double" w:color="auto" w:sz="6" w:space="0"/>
            <w:insideH w:val="double" w:color="auto" w:sz="6" w:space="0"/>
            <w:insideV w:val="double" w:color="auto" w:sz="6" w:space="0"/>
          </w:tblBorders>
          <w:tblCellMar>
            <w:top w:w="0" w:type="dxa"/>
            <w:left w:w="108" w:type="dxa"/>
            <w:bottom w:w="0" w:type="dxa"/>
            <w:right w:w="108" w:type="dxa"/>
          </w:tblCellMar>
        </w:tblPrEx>
        <w:trPr>
          <w:trHeight w:val="1789" w:hRule="atLeast"/>
        </w:trPr>
        <w:tc>
          <w:tcPr>
            <w:tcW w:w="696" w:type="dxa"/>
            <w:tcBorders>
              <w:tl2br w:val="nil"/>
              <w:tr2bl w:val="nil"/>
            </w:tcBorders>
            <w:vAlign w:val="center"/>
          </w:tcPr>
          <w:p>
            <w:pPr>
              <w:numPr>
                <w:ilvl w:val="0"/>
                <w:numId w:val="1"/>
              </w:numPr>
              <w:spacing w:line="360" w:lineRule="auto"/>
              <w:ind w:left="-70" w:leftChars="0" w:firstLine="280" w:firstLineChars="0"/>
              <w:rPr>
                <w:rFonts w:ascii="宋体" w:hAnsi="宋体" w:cs="宋体"/>
                <w:sz w:val="24"/>
                <w:highlight w:val="none"/>
              </w:rPr>
            </w:pPr>
          </w:p>
        </w:tc>
        <w:tc>
          <w:tcPr>
            <w:tcW w:w="2351" w:type="dxa"/>
            <w:tcBorders>
              <w:tl2br w:val="nil"/>
              <w:tr2bl w:val="nil"/>
            </w:tcBorders>
            <w:vAlign w:val="center"/>
          </w:tcPr>
          <w:p>
            <w:pPr>
              <w:spacing w:line="360" w:lineRule="auto"/>
              <w:jc w:val="center"/>
              <w:rPr>
                <w:rFonts w:ascii="宋体" w:hAnsi="宋体" w:cs="宋体"/>
                <w:kern w:val="0"/>
                <w:sz w:val="24"/>
                <w:szCs w:val="22"/>
                <w:highlight w:val="none"/>
              </w:rPr>
            </w:pPr>
            <w:r>
              <w:rPr>
                <w:rFonts w:hint="eastAsia" w:ascii="宋体" w:hAnsi="宋体" w:cs="宋体"/>
                <w:sz w:val="24"/>
                <w:szCs w:val="30"/>
                <w:highlight w:val="none"/>
              </w:rPr>
              <w:t>采购人</w:t>
            </w:r>
          </w:p>
        </w:tc>
        <w:tc>
          <w:tcPr>
            <w:tcW w:w="6472" w:type="dxa"/>
            <w:tcBorders>
              <w:tl2br w:val="nil"/>
              <w:tr2bl w:val="nil"/>
            </w:tcBorders>
          </w:tcPr>
          <w:p>
            <w:pPr>
              <w:numPr>
                <w:ilvl w:val="0"/>
                <w:numId w:val="2"/>
              </w:numPr>
              <w:spacing w:line="360" w:lineRule="auto"/>
              <w:rPr>
                <w:rFonts w:ascii="宋体" w:hAnsi="宋体" w:cs="宋体"/>
                <w:sz w:val="24"/>
                <w:szCs w:val="30"/>
                <w:highlight w:val="none"/>
              </w:rPr>
            </w:pPr>
            <w:r>
              <w:rPr>
                <w:rFonts w:hint="eastAsia" w:ascii="宋体" w:hAnsi="宋体" w:cs="宋体"/>
                <w:sz w:val="24"/>
                <w:szCs w:val="30"/>
                <w:highlight w:val="none"/>
              </w:rPr>
              <w:t>单位名称：甘肃省第二人民医院</w:t>
            </w:r>
          </w:p>
          <w:p>
            <w:pPr>
              <w:numPr>
                <w:ilvl w:val="0"/>
                <w:numId w:val="2"/>
              </w:numPr>
              <w:spacing w:line="360" w:lineRule="auto"/>
              <w:rPr>
                <w:rFonts w:ascii="宋体" w:hAnsi="宋体" w:cs="宋体"/>
                <w:sz w:val="24"/>
                <w:szCs w:val="30"/>
                <w:highlight w:val="none"/>
              </w:rPr>
            </w:pPr>
            <w:r>
              <w:rPr>
                <w:rFonts w:hint="eastAsia" w:ascii="宋体" w:hAnsi="宋体" w:cs="宋体"/>
                <w:sz w:val="24"/>
                <w:szCs w:val="30"/>
                <w:highlight w:val="none"/>
              </w:rPr>
              <w:t>详细地址：兰州市城关区和政西街1号</w:t>
            </w:r>
          </w:p>
          <w:p>
            <w:pPr>
              <w:spacing w:line="440" w:lineRule="exact"/>
              <w:rPr>
                <w:rFonts w:ascii="宋体" w:hAnsi="宋体" w:cs="宋体"/>
                <w:kern w:val="0"/>
                <w:sz w:val="24"/>
                <w:szCs w:val="22"/>
                <w:highlight w:val="none"/>
              </w:rPr>
            </w:pPr>
            <w:r>
              <w:rPr>
                <w:rFonts w:hint="eastAsia" w:ascii="宋体" w:hAnsi="宋体" w:cs="宋体"/>
                <w:kern w:val="0"/>
                <w:sz w:val="24"/>
                <w:szCs w:val="22"/>
                <w:highlight w:val="none"/>
              </w:rPr>
              <w:t>3）联系人：</w:t>
            </w:r>
            <w:r>
              <w:rPr>
                <w:rFonts w:hint="eastAsia" w:ascii="宋体" w:hAnsi="宋体" w:cs="宋体"/>
                <w:kern w:val="0"/>
                <w:sz w:val="24"/>
                <w:highlight w:val="none"/>
              </w:rPr>
              <w:t>李小强</w:t>
            </w:r>
          </w:p>
          <w:p>
            <w:pPr>
              <w:spacing w:line="440" w:lineRule="exact"/>
              <w:rPr>
                <w:rFonts w:hint="default" w:ascii="宋体" w:hAnsi="宋体" w:eastAsia="宋体" w:cs="宋体"/>
                <w:sz w:val="24"/>
                <w:szCs w:val="30"/>
                <w:highlight w:val="none"/>
                <w:lang w:val="en-US" w:eastAsia="zh-CN"/>
              </w:rPr>
            </w:pPr>
            <w:r>
              <w:rPr>
                <w:rFonts w:hint="eastAsia" w:ascii="宋体" w:hAnsi="宋体" w:cs="宋体"/>
                <w:kern w:val="0"/>
                <w:sz w:val="24"/>
                <w:szCs w:val="22"/>
                <w:highlight w:val="none"/>
              </w:rPr>
              <w:t>4）联系电话：</w:t>
            </w:r>
            <w:r>
              <w:rPr>
                <w:rFonts w:hint="eastAsia" w:ascii="宋体" w:hAnsi="宋体" w:cs="宋体"/>
                <w:color w:val="000000" w:themeColor="text1"/>
                <w:kern w:val="0"/>
                <w:sz w:val="24"/>
                <w:szCs w:val="22"/>
                <w:highlight w:val="none"/>
              </w:rPr>
              <w:t>0931-4923</w:t>
            </w:r>
            <w:r>
              <w:rPr>
                <w:rFonts w:hint="eastAsia" w:ascii="宋体" w:hAnsi="宋体" w:cs="宋体"/>
                <w:color w:val="000000" w:themeColor="text1"/>
                <w:kern w:val="0"/>
                <w:sz w:val="24"/>
                <w:szCs w:val="22"/>
                <w:highlight w:val="none"/>
                <w:lang w:val="en-US" w:eastAsia="zh-CN"/>
              </w:rPr>
              <w:t>517</w:t>
            </w:r>
          </w:p>
        </w:tc>
      </w:tr>
      <w:tr>
        <w:tblPrEx>
          <w:tblBorders>
            <w:top w:val="double" w:color="auto" w:sz="6" w:space="0"/>
            <w:left w:val="double" w:color="auto" w:sz="6" w:space="0"/>
            <w:bottom w:val="double" w:color="auto" w:sz="6" w:space="0"/>
            <w:right w:val="double" w:color="auto" w:sz="6" w:space="0"/>
            <w:insideH w:val="double" w:color="auto" w:sz="6" w:space="0"/>
            <w:insideV w:val="double" w:color="auto" w:sz="6" w:space="0"/>
          </w:tblBorders>
          <w:tblCellMar>
            <w:top w:w="0" w:type="dxa"/>
            <w:left w:w="108" w:type="dxa"/>
            <w:bottom w:w="0" w:type="dxa"/>
            <w:right w:w="108" w:type="dxa"/>
          </w:tblCellMar>
        </w:tblPrEx>
        <w:trPr>
          <w:trHeight w:val="494" w:hRule="atLeast"/>
        </w:trPr>
        <w:tc>
          <w:tcPr>
            <w:tcW w:w="696" w:type="dxa"/>
            <w:tcBorders>
              <w:tl2br w:val="nil"/>
              <w:tr2bl w:val="nil"/>
            </w:tcBorders>
            <w:vAlign w:val="center"/>
          </w:tcPr>
          <w:p>
            <w:pPr>
              <w:numPr>
                <w:ilvl w:val="0"/>
                <w:numId w:val="1"/>
              </w:numPr>
              <w:spacing w:line="360" w:lineRule="auto"/>
              <w:ind w:left="-70" w:leftChars="0" w:firstLine="280" w:firstLineChars="0"/>
              <w:rPr>
                <w:rFonts w:ascii="宋体" w:hAnsi="宋体" w:cs="宋体"/>
                <w:sz w:val="24"/>
                <w:highlight w:val="none"/>
              </w:rPr>
            </w:pPr>
          </w:p>
        </w:tc>
        <w:tc>
          <w:tcPr>
            <w:tcW w:w="2351" w:type="dxa"/>
            <w:tcBorders>
              <w:tl2br w:val="nil"/>
              <w:tr2bl w:val="nil"/>
            </w:tcBorders>
            <w:vAlign w:val="center"/>
          </w:tcPr>
          <w:p>
            <w:pPr>
              <w:widowControl/>
              <w:autoSpaceDN w:val="0"/>
              <w:spacing w:line="360" w:lineRule="auto"/>
              <w:jc w:val="center"/>
              <w:rPr>
                <w:rFonts w:ascii="宋体" w:hAnsi="宋体" w:cs="宋体"/>
                <w:sz w:val="24"/>
                <w:highlight w:val="none"/>
              </w:rPr>
            </w:pPr>
            <w:r>
              <w:rPr>
                <w:rFonts w:hint="eastAsia" w:ascii="宋体" w:hAnsi="宋体" w:cs="宋体"/>
                <w:sz w:val="24"/>
                <w:highlight w:val="none"/>
              </w:rPr>
              <w:t>投标人的资格条件</w:t>
            </w:r>
          </w:p>
        </w:tc>
        <w:tc>
          <w:tcPr>
            <w:tcW w:w="6472" w:type="dxa"/>
            <w:tcBorders>
              <w:tl2br w:val="nil"/>
              <w:tr2bl w:val="nil"/>
            </w:tcBorders>
            <w:vAlign w:val="center"/>
          </w:tcPr>
          <w:p>
            <w:pPr>
              <w:keepNext w:val="0"/>
              <w:keepLines w:val="0"/>
              <w:pageBreakBefore w:val="0"/>
              <w:widowControl/>
              <w:kinsoku w:val="0"/>
              <w:wordWrap/>
              <w:overflowPunct/>
              <w:topLinePunct w:val="0"/>
              <w:autoSpaceDE w:val="0"/>
              <w:autoSpaceDN w:val="0"/>
              <w:bidi w:val="0"/>
              <w:adjustRightInd w:val="0"/>
              <w:snapToGrid w:val="0"/>
              <w:spacing w:line="480" w:lineRule="auto"/>
              <w:ind w:right="141" w:firstLine="248" w:firstLineChars="100"/>
              <w:textAlignment w:val="baseline"/>
              <w:rPr>
                <w:rFonts w:hint="eastAsia" w:ascii="宋体" w:hAnsi="宋体" w:eastAsia="宋体" w:cs="宋体"/>
                <w:b w:val="0"/>
                <w:bCs w:val="0"/>
                <w:color w:val="000000"/>
                <w:spacing w:val="4"/>
                <w:sz w:val="24"/>
                <w:szCs w:val="24"/>
                <w:highlight w:val="none"/>
              </w:rPr>
            </w:pPr>
            <w:r>
              <w:rPr>
                <w:rFonts w:hint="eastAsia" w:ascii="宋体" w:hAnsi="宋体" w:eastAsia="宋体" w:cs="宋体"/>
                <w:b w:val="0"/>
                <w:bCs w:val="0"/>
                <w:color w:val="000000"/>
                <w:spacing w:val="4"/>
                <w:sz w:val="24"/>
                <w:szCs w:val="24"/>
                <w:highlight w:val="none"/>
                <w:lang w:eastAsia="zh-CN"/>
              </w:rPr>
              <w:t>（</w:t>
            </w:r>
            <w:r>
              <w:rPr>
                <w:rFonts w:hint="eastAsia" w:ascii="宋体" w:hAnsi="宋体" w:eastAsia="宋体" w:cs="宋体"/>
                <w:b w:val="0"/>
                <w:bCs w:val="0"/>
                <w:color w:val="000000"/>
                <w:spacing w:val="4"/>
                <w:sz w:val="24"/>
                <w:szCs w:val="24"/>
                <w:highlight w:val="none"/>
                <w:lang w:val="en-US" w:eastAsia="zh-CN"/>
              </w:rPr>
              <w:t>1</w:t>
            </w:r>
            <w:r>
              <w:rPr>
                <w:rFonts w:hint="eastAsia" w:ascii="宋体" w:hAnsi="宋体" w:eastAsia="宋体" w:cs="宋体"/>
                <w:b w:val="0"/>
                <w:bCs w:val="0"/>
                <w:color w:val="000000"/>
                <w:spacing w:val="4"/>
                <w:sz w:val="24"/>
                <w:szCs w:val="24"/>
                <w:highlight w:val="none"/>
                <w:lang w:eastAsia="zh-CN"/>
              </w:rPr>
              <w:t>）</w:t>
            </w:r>
            <w:r>
              <w:rPr>
                <w:rFonts w:hint="eastAsia" w:ascii="宋体" w:hAnsi="宋体" w:eastAsia="宋体" w:cs="宋体"/>
                <w:b w:val="0"/>
                <w:bCs w:val="0"/>
                <w:color w:val="000000"/>
                <w:spacing w:val="4"/>
                <w:sz w:val="24"/>
                <w:szCs w:val="24"/>
                <w:highlight w:val="none"/>
              </w:rPr>
              <w:t>投标人有效的营业执照，或事业单位法人证书，或自然人身份证明，或其他非企业组织证明独立承担民事责任能力的文件（复印件并加盖公章）。</w:t>
            </w:r>
          </w:p>
          <w:p>
            <w:pPr>
              <w:keepNext w:val="0"/>
              <w:keepLines w:val="0"/>
              <w:pageBreakBefore w:val="0"/>
              <w:widowControl/>
              <w:kinsoku w:val="0"/>
              <w:wordWrap/>
              <w:overflowPunct/>
              <w:topLinePunct w:val="0"/>
              <w:autoSpaceDE w:val="0"/>
              <w:autoSpaceDN w:val="0"/>
              <w:bidi w:val="0"/>
              <w:adjustRightInd w:val="0"/>
              <w:snapToGrid w:val="0"/>
              <w:spacing w:line="480" w:lineRule="auto"/>
              <w:ind w:right="141" w:firstLine="248" w:firstLineChars="100"/>
              <w:textAlignment w:val="baseline"/>
              <w:rPr>
                <w:rFonts w:hint="eastAsia" w:ascii="宋体" w:hAnsi="宋体" w:eastAsia="宋体" w:cs="宋体"/>
                <w:b w:val="0"/>
                <w:bCs w:val="0"/>
                <w:color w:val="000000"/>
                <w:spacing w:val="4"/>
                <w:sz w:val="24"/>
                <w:szCs w:val="24"/>
                <w:highlight w:val="none"/>
              </w:rPr>
            </w:pPr>
            <w:r>
              <w:rPr>
                <w:rFonts w:hint="eastAsia" w:ascii="宋体" w:hAnsi="宋体" w:eastAsia="宋体" w:cs="宋体"/>
                <w:b w:val="0"/>
                <w:bCs w:val="0"/>
                <w:color w:val="000000"/>
                <w:spacing w:val="4"/>
                <w:sz w:val="24"/>
                <w:szCs w:val="24"/>
                <w:highlight w:val="none"/>
                <w:lang w:eastAsia="zh-CN"/>
              </w:rPr>
              <w:t>（</w:t>
            </w:r>
            <w:r>
              <w:rPr>
                <w:rFonts w:hint="eastAsia" w:ascii="宋体" w:hAnsi="宋体" w:eastAsia="宋体" w:cs="宋体"/>
                <w:b w:val="0"/>
                <w:bCs w:val="0"/>
                <w:color w:val="000000"/>
                <w:spacing w:val="4"/>
                <w:sz w:val="24"/>
                <w:szCs w:val="24"/>
                <w:highlight w:val="none"/>
                <w:lang w:val="en-US" w:eastAsia="zh-CN"/>
              </w:rPr>
              <w:t>2</w:t>
            </w:r>
            <w:r>
              <w:rPr>
                <w:rFonts w:hint="eastAsia" w:ascii="宋体" w:hAnsi="宋体" w:eastAsia="宋体" w:cs="宋体"/>
                <w:b w:val="0"/>
                <w:bCs w:val="0"/>
                <w:color w:val="000000"/>
                <w:spacing w:val="4"/>
                <w:sz w:val="24"/>
                <w:szCs w:val="24"/>
                <w:highlight w:val="none"/>
                <w:lang w:eastAsia="zh-CN"/>
              </w:rPr>
              <w:t>）</w:t>
            </w:r>
            <w:r>
              <w:rPr>
                <w:rFonts w:hint="eastAsia" w:ascii="宋体" w:hAnsi="宋体" w:eastAsia="宋体" w:cs="宋体"/>
                <w:b w:val="0"/>
                <w:bCs w:val="0"/>
                <w:color w:val="000000"/>
                <w:spacing w:val="4"/>
                <w:sz w:val="24"/>
                <w:szCs w:val="24"/>
                <w:highlight w:val="none"/>
              </w:rPr>
              <w:t>法定代表人身份证（正、反面复印件加盖公章）</w:t>
            </w:r>
          </w:p>
          <w:p>
            <w:pPr>
              <w:keepNext w:val="0"/>
              <w:keepLines w:val="0"/>
              <w:pageBreakBefore w:val="0"/>
              <w:widowControl/>
              <w:kinsoku w:val="0"/>
              <w:wordWrap/>
              <w:overflowPunct/>
              <w:topLinePunct w:val="0"/>
              <w:autoSpaceDE w:val="0"/>
              <w:autoSpaceDN w:val="0"/>
              <w:bidi w:val="0"/>
              <w:adjustRightInd w:val="0"/>
              <w:snapToGrid w:val="0"/>
              <w:spacing w:line="480" w:lineRule="auto"/>
              <w:ind w:right="141" w:firstLine="248" w:firstLineChars="100"/>
              <w:textAlignment w:val="baseline"/>
              <w:rPr>
                <w:rFonts w:hint="eastAsia" w:ascii="宋体" w:hAnsi="宋体" w:eastAsia="宋体" w:cs="宋体"/>
                <w:b w:val="0"/>
                <w:bCs w:val="0"/>
                <w:color w:val="000000"/>
                <w:spacing w:val="4"/>
                <w:sz w:val="24"/>
                <w:szCs w:val="24"/>
                <w:highlight w:val="none"/>
              </w:rPr>
            </w:pPr>
            <w:r>
              <w:rPr>
                <w:rFonts w:hint="eastAsia" w:ascii="宋体" w:hAnsi="宋体" w:eastAsia="宋体" w:cs="宋体"/>
                <w:b w:val="0"/>
                <w:bCs w:val="0"/>
                <w:color w:val="000000"/>
                <w:spacing w:val="4"/>
                <w:sz w:val="24"/>
                <w:szCs w:val="24"/>
                <w:highlight w:val="none"/>
                <w:lang w:eastAsia="zh-CN"/>
              </w:rPr>
              <w:t>（</w:t>
            </w:r>
            <w:r>
              <w:rPr>
                <w:rFonts w:hint="eastAsia" w:ascii="宋体" w:hAnsi="宋体" w:eastAsia="宋体" w:cs="宋体"/>
                <w:b w:val="0"/>
                <w:bCs w:val="0"/>
                <w:color w:val="000000"/>
                <w:spacing w:val="4"/>
                <w:sz w:val="24"/>
                <w:szCs w:val="24"/>
                <w:highlight w:val="none"/>
                <w:lang w:val="en-US" w:eastAsia="zh-CN"/>
              </w:rPr>
              <w:t>3</w:t>
            </w:r>
            <w:r>
              <w:rPr>
                <w:rFonts w:hint="eastAsia" w:ascii="宋体" w:hAnsi="宋体" w:eastAsia="宋体" w:cs="宋体"/>
                <w:b w:val="0"/>
                <w:bCs w:val="0"/>
                <w:color w:val="000000"/>
                <w:spacing w:val="4"/>
                <w:sz w:val="24"/>
                <w:szCs w:val="24"/>
                <w:highlight w:val="none"/>
                <w:lang w:eastAsia="zh-CN"/>
              </w:rPr>
              <w:t>）</w:t>
            </w:r>
            <w:r>
              <w:rPr>
                <w:rFonts w:hint="eastAsia" w:ascii="宋体" w:hAnsi="宋体" w:eastAsia="宋体" w:cs="宋体"/>
                <w:b w:val="0"/>
                <w:bCs w:val="0"/>
                <w:color w:val="000000"/>
                <w:spacing w:val="4"/>
                <w:sz w:val="24"/>
                <w:szCs w:val="24"/>
                <w:highlight w:val="none"/>
              </w:rPr>
              <w:t>法定代表人授权函（原件）及被授权人身份证（正、反面复印件加盖公章）。</w:t>
            </w:r>
          </w:p>
          <w:p>
            <w:pPr>
              <w:keepNext w:val="0"/>
              <w:keepLines w:val="0"/>
              <w:pageBreakBefore w:val="0"/>
              <w:widowControl/>
              <w:kinsoku w:val="0"/>
              <w:wordWrap/>
              <w:overflowPunct/>
              <w:topLinePunct w:val="0"/>
              <w:autoSpaceDE w:val="0"/>
              <w:autoSpaceDN w:val="0"/>
              <w:bidi w:val="0"/>
              <w:adjustRightInd w:val="0"/>
              <w:snapToGrid w:val="0"/>
              <w:spacing w:line="480" w:lineRule="auto"/>
              <w:ind w:right="141" w:firstLine="240" w:firstLineChars="100"/>
              <w:textAlignment w:val="baseline"/>
              <w:rPr>
                <w:rFonts w:hint="eastAsia" w:ascii="宋体" w:hAnsi="宋体" w:eastAsia="宋体" w:cs="宋体"/>
                <w:b w:val="0"/>
                <w:bCs w:val="0"/>
                <w:color w:val="000000"/>
                <w:spacing w:val="4"/>
                <w:sz w:val="24"/>
                <w:szCs w:val="24"/>
                <w:highlight w:val="none"/>
              </w:rPr>
            </w:pPr>
            <w:r>
              <w:rPr>
                <w:rFonts w:hint="eastAsia" w:ascii="宋体" w:hAnsi="宋体" w:eastAsia="宋体" w:cs="宋体"/>
                <w:b w:val="0"/>
                <w:bCs w:val="0"/>
                <w:color w:val="auto"/>
                <w:sz w:val="24"/>
                <w:szCs w:val="24"/>
                <w:highlight w:val="none"/>
                <w:lang w:eastAsia="zh-CN"/>
              </w:rPr>
              <w:t>（</w:t>
            </w:r>
            <w:r>
              <w:rPr>
                <w:rFonts w:hint="eastAsia" w:ascii="宋体" w:hAnsi="宋体" w:eastAsia="宋体" w:cs="宋体"/>
                <w:b w:val="0"/>
                <w:bCs w:val="0"/>
                <w:color w:val="auto"/>
                <w:sz w:val="24"/>
                <w:szCs w:val="24"/>
                <w:highlight w:val="none"/>
                <w:lang w:val="en-US" w:eastAsia="zh-CN"/>
              </w:rPr>
              <w:t>4</w:t>
            </w:r>
            <w:r>
              <w:rPr>
                <w:rFonts w:hint="eastAsia" w:ascii="宋体" w:hAnsi="宋体" w:eastAsia="宋体" w:cs="宋体"/>
                <w:b w:val="0"/>
                <w:bCs w:val="0"/>
                <w:color w:val="auto"/>
                <w:sz w:val="24"/>
                <w:szCs w:val="24"/>
                <w:highlight w:val="none"/>
                <w:lang w:eastAsia="zh-CN"/>
              </w:rPr>
              <w:t>）</w:t>
            </w:r>
            <w:r>
              <w:rPr>
                <w:rFonts w:hint="eastAsia" w:ascii="宋体" w:hAnsi="宋体" w:eastAsia="宋体" w:cs="宋体"/>
                <w:b w:val="0"/>
                <w:bCs w:val="0"/>
                <w:color w:val="auto"/>
                <w:sz w:val="24"/>
                <w:szCs w:val="24"/>
                <w:highlight w:val="none"/>
              </w:rPr>
              <w:t>投标人须提供由会计事务所出具的</w:t>
            </w:r>
            <w:r>
              <w:rPr>
                <w:rFonts w:hint="eastAsia" w:ascii="宋体" w:hAnsi="宋体" w:eastAsia="宋体" w:cs="宋体"/>
                <w:b w:val="0"/>
                <w:bCs w:val="0"/>
                <w:color w:val="auto"/>
                <w:sz w:val="24"/>
                <w:szCs w:val="24"/>
                <w:highlight w:val="none"/>
                <w:lang w:val="en-US" w:eastAsia="zh-CN"/>
              </w:rPr>
              <w:t>2021或2022年度财务</w:t>
            </w:r>
            <w:r>
              <w:rPr>
                <w:rFonts w:hint="eastAsia" w:ascii="宋体" w:hAnsi="宋体" w:eastAsia="宋体" w:cs="宋体"/>
                <w:b w:val="0"/>
                <w:bCs w:val="0"/>
                <w:color w:val="auto"/>
                <w:sz w:val="24"/>
                <w:szCs w:val="24"/>
                <w:highlight w:val="none"/>
              </w:rPr>
              <w:t>审计报告（复印件加盖公章）或其基本开户银行出具的银行资信证明（</w:t>
            </w:r>
            <w:r>
              <w:rPr>
                <w:rFonts w:hint="eastAsia" w:ascii="宋体" w:hAnsi="宋体" w:eastAsia="宋体" w:cs="宋体"/>
                <w:b w:val="0"/>
                <w:bCs w:val="0"/>
                <w:color w:val="auto"/>
                <w:sz w:val="24"/>
                <w:szCs w:val="24"/>
                <w:highlight w:val="none"/>
                <w:lang w:val="en-US" w:eastAsia="zh-CN"/>
              </w:rPr>
              <w:t>扫描件或复印件</w:t>
            </w:r>
            <w:r>
              <w:rPr>
                <w:rFonts w:hint="eastAsia" w:ascii="宋体" w:hAnsi="宋体" w:eastAsia="宋体" w:cs="宋体"/>
                <w:b w:val="0"/>
                <w:bCs w:val="0"/>
                <w:color w:val="auto"/>
                <w:sz w:val="24"/>
                <w:szCs w:val="24"/>
                <w:highlight w:val="none"/>
              </w:rPr>
              <w:t>须装订在投标文件正本中。）或财政部门认可的专业机构出具的投标担保；</w:t>
            </w:r>
          </w:p>
          <w:p>
            <w:pPr>
              <w:keepNext w:val="0"/>
              <w:keepLines w:val="0"/>
              <w:pageBreakBefore w:val="0"/>
              <w:widowControl/>
              <w:kinsoku w:val="0"/>
              <w:wordWrap/>
              <w:overflowPunct/>
              <w:topLinePunct w:val="0"/>
              <w:autoSpaceDE w:val="0"/>
              <w:autoSpaceDN w:val="0"/>
              <w:bidi w:val="0"/>
              <w:adjustRightInd w:val="0"/>
              <w:snapToGrid w:val="0"/>
              <w:spacing w:line="480" w:lineRule="auto"/>
              <w:ind w:firstLine="240" w:firstLineChars="100"/>
              <w:textAlignment w:val="baseline"/>
              <w:rPr>
                <w:rFonts w:hint="eastAsia" w:ascii="宋体" w:hAnsi="宋体" w:eastAsia="宋体" w:cs="宋体"/>
                <w:b w:val="0"/>
                <w:bCs w:val="0"/>
                <w:kern w:val="0"/>
                <w:sz w:val="24"/>
                <w:szCs w:val="24"/>
                <w:highlight w:val="none"/>
              </w:rPr>
            </w:pPr>
            <w:r>
              <w:rPr>
                <w:rFonts w:hint="eastAsia" w:ascii="宋体" w:hAnsi="宋体" w:cs="宋体"/>
                <w:color w:val="auto"/>
                <w:kern w:val="2"/>
                <w:sz w:val="24"/>
                <w:szCs w:val="24"/>
                <w:highlight w:val="none"/>
                <w:lang w:val="en-US" w:eastAsia="zh-CN" w:bidi="ar-SA"/>
              </w:rPr>
              <w:t>（5）投标人须具有医疗器械生产或经营许可证(备案证)（复印件加盖公章）</w:t>
            </w:r>
            <w:r>
              <w:rPr>
                <w:rFonts w:hint="eastAsia" w:ascii="宋体" w:hAnsi="宋体" w:eastAsia="宋体" w:cs="宋体"/>
                <w:b w:val="0"/>
                <w:bCs w:val="0"/>
                <w:kern w:val="0"/>
                <w:sz w:val="24"/>
                <w:szCs w:val="24"/>
                <w:highlight w:val="none"/>
              </w:rPr>
              <w:t>；</w:t>
            </w:r>
          </w:p>
          <w:p>
            <w:pPr>
              <w:keepNext w:val="0"/>
              <w:keepLines w:val="0"/>
              <w:pageBreakBefore w:val="0"/>
              <w:widowControl/>
              <w:kinsoku w:val="0"/>
              <w:wordWrap/>
              <w:overflowPunct/>
              <w:topLinePunct w:val="0"/>
              <w:autoSpaceDE w:val="0"/>
              <w:autoSpaceDN w:val="0"/>
              <w:bidi w:val="0"/>
              <w:adjustRightInd w:val="0"/>
              <w:snapToGrid w:val="0"/>
              <w:spacing w:line="480" w:lineRule="auto"/>
              <w:ind w:firstLine="240" w:firstLineChars="100"/>
              <w:textAlignment w:val="baseline"/>
              <w:rPr>
                <w:rFonts w:hint="eastAsia" w:ascii="宋体" w:hAnsi="宋体" w:eastAsia="宋体" w:cs="宋体"/>
                <w:b w:val="0"/>
                <w:bCs w:val="0"/>
                <w:kern w:val="0"/>
                <w:sz w:val="24"/>
                <w:szCs w:val="24"/>
                <w:highlight w:val="none"/>
              </w:rPr>
            </w:pPr>
            <w:r>
              <w:rPr>
                <w:rFonts w:hint="eastAsia" w:ascii="宋体" w:hAnsi="宋体" w:eastAsia="宋体" w:cs="宋体"/>
                <w:b w:val="0"/>
                <w:bCs w:val="0"/>
                <w:kern w:val="0"/>
                <w:sz w:val="24"/>
                <w:szCs w:val="24"/>
                <w:highlight w:val="none"/>
                <w:lang w:eastAsia="zh-CN"/>
              </w:rPr>
              <w:t>（</w:t>
            </w:r>
            <w:r>
              <w:rPr>
                <w:rFonts w:hint="eastAsia" w:ascii="宋体" w:hAnsi="宋体" w:eastAsia="宋体" w:cs="宋体"/>
                <w:b w:val="0"/>
                <w:bCs w:val="0"/>
                <w:kern w:val="0"/>
                <w:sz w:val="24"/>
                <w:szCs w:val="24"/>
                <w:highlight w:val="none"/>
                <w:lang w:val="en-US" w:eastAsia="zh-CN"/>
              </w:rPr>
              <w:t>6</w:t>
            </w:r>
            <w:r>
              <w:rPr>
                <w:rFonts w:hint="eastAsia" w:ascii="宋体" w:hAnsi="宋体" w:eastAsia="宋体" w:cs="宋体"/>
                <w:b w:val="0"/>
                <w:bCs w:val="0"/>
                <w:kern w:val="0"/>
                <w:sz w:val="24"/>
                <w:szCs w:val="24"/>
                <w:highlight w:val="none"/>
                <w:lang w:eastAsia="zh-CN"/>
              </w:rPr>
              <w:t>）投标人</w:t>
            </w:r>
            <w:r>
              <w:rPr>
                <w:rFonts w:hint="eastAsia" w:ascii="宋体" w:hAnsi="宋体" w:eastAsia="宋体" w:cs="宋体"/>
                <w:b w:val="0"/>
                <w:bCs w:val="0"/>
                <w:kern w:val="0"/>
                <w:sz w:val="24"/>
                <w:szCs w:val="24"/>
                <w:highlight w:val="none"/>
              </w:rPr>
              <w:t>须提供所投产品的医疗器械注册证（备案凭证）</w:t>
            </w:r>
            <w:r>
              <w:rPr>
                <w:rFonts w:hint="eastAsia" w:ascii="宋体" w:hAnsi="宋体" w:cs="宋体"/>
                <w:color w:val="auto"/>
                <w:kern w:val="2"/>
                <w:sz w:val="24"/>
                <w:szCs w:val="24"/>
                <w:highlight w:val="none"/>
                <w:lang w:val="en-US" w:eastAsia="zh-CN" w:bidi="ar-SA"/>
              </w:rPr>
              <w:t>（复印件加盖公章）</w:t>
            </w:r>
            <w:r>
              <w:rPr>
                <w:rFonts w:hint="eastAsia" w:ascii="宋体" w:hAnsi="宋体" w:eastAsia="宋体" w:cs="宋体"/>
                <w:b w:val="0"/>
                <w:bCs w:val="0"/>
                <w:kern w:val="0"/>
                <w:sz w:val="24"/>
                <w:szCs w:val="24"/>
                <w:highlight w:val="none"/>
              </w:rPr>
              <w:t>；</w:t>
            </w:r>
          </w:p>
          <w:p>
            <w:pPr>
              <w:keepNext w:val="0"/>
              <w:keepLines w:val="0"/>
              <w:pageBreakBefore w:val="0"/>
              <w:widowControl/>
              <w:kinsoku w:val="0"/>
              <w:wordWrap/>
              <w:overflowPunct/>
              <w:topLinePunct w:val="0"/>
              <w:autoSpaceDE w:val="0"/>
              <w:autoSpaceDN w:val="0"/>
              <w:bidi w:val="0"/>
              <w:adjustRightInd w:val="0"/>
              <w:snapToGrid w:val="0"/>
              <w:spacing w:line="480" w:lineRule="auto"/>
              <w:ind w:firstLine="240" w:firstLineChars="100"/>
              <w:textAlignment w:val="baseline"/>
              <w:rPr>
                <w:rFonts w:hint="eastAsia" w:ascii="宋体" w:hAnsi="宋体" w:eastAsia="宋体" w:cs="宋体"/>
                <w:b w:val="0"/>
                <w:bCs w:val="0"/>
                <w:kern w:val="0"/>
                <w:sz w:val="24"/>
                <w:szCs w:val="24"/>
                <w:highlight w:val="none"/>
              </w:rPr>
            </w:pPr>
            <w:r>
              <w:rPr>
                <w:rFonts w:hint="eastAsia" w:ascii="宋体" w:hAnsi="宋体" w:eastAsia="宋体" w:cs="宋体"/>
                <w:b w:val="0"/>
                <w:bCs w:val="0"/>
                <w:color w:val="auto"/>
                <w:kern w:val="0"/>
                <w:sz w:val="24"/>
                <w:szCs w:val="24"/>
                <w:highlight w:val="none"/>
                <w:lang w:eastAsia="zh-CN"/>
              </w:rPr>
              <w:t>（</w:t>
            </w:r>
            <w:r>
              <w:rPr>
                <w:rFonts w:hint="eastAsia" w:ascii="宋体" w:hAnsi="宋体" w:eastAsia="宋体" w:cs="宋体"/>
                <w:b w:val="0"/>
                <w:bCs w:val="0"/>
                <w:color w:val="auto"/>
                <w:kern w:val="0"/>
                <w:sz w:val="24"/>
                <w:szCs w:val="24"/>
                <w:highlight w:val="none"/>
                <w:lang w:val="en-US" w:eastAsia="zh-CN"/>
              </w:rPr>
              <w:t>7</w:t>
            </w:r>
            <w:r>
              <w:rPr>
                <w:rFonts w:hint="eastAsia" w:ascii="宋体" w:hAnsi="宋体" w:eastAsia="宋体" w:cs="宋体"/>
                <w:b w:val="0"/>
                <w:bCs w:val="0"/>
                <w:color w:val="auto"/>
                <w:kern w:val="0"/>
                <w:sz w:val="24"/>
                <w:szCs w:val="24"/>
                <w:highlight w:val="none"/>
                <w:lang w:eastAsia="zh-CN"/>
              </w:rPr>
              <w:t>）投标人是代理商的须提供</w:t>
            </w:r>
            <w:r>
              <w:rPr>
                <w:rFonts w:hint="eastAsia" w:ascii="宋体" w:hAnsi="宋体" w:eastAsia="宋体" w:cs="宋体"/>
                <w:b w:val="0"/>
                <w:bCs w:val="0"/>
                <w:color w:val="auto"/>
                <w:kern w:val="0"/>
                <w:sz w:val="24"/>
                <w:szCs w:val="24"/>
                <w:highlight w:val="none"/>
              </w:rPr>
              <w:t>生产厂家的营业执照及医疗器械生产许可证；</w:t>
            </w:r>
            <w:r>
              <w:rPr>
                <w:rFonts w:hint="eastAsia" w:ascii="宋体" w:hAnsi="宋体" w:cs="宋体"/>
                <w:color w:val="auto"/>
                <w:kern w:val="2"/>
                <w:sz w:val="24"/>
                <w:szCs w:val="24"/>
                <w:highlight w:val="none"/>
                <w:lang w:val="en-US" w:eastAsia="zh-CN" w:bidi="ar-SA"/>
              </w:rPr>
              <w:t>（复印件加盖公章）</w:t>
            </w:r>
            <w:r>
              <w:rPr>
                <w:rFonts w:hint="eastAsia" w:ascii="宋体" w:hAnsi="宋体" w:eastAsia="宋体" w:cs="宋体"/>
                <w:b w:val="0"/>
                <w:bCs w:val="0"/>
                <w:kern w:val="0"/>
                <w:sz w:val="24"/>
                <w:szCs w:val="24"/>
                <w:highlight w:val="none"/>
              </w:rPr>
              <w:t>；</w:t>
            </w:r>
          </w:p>
          <w:p>
            <w:pPr>
              <w:pStyle w:val="2"/>
              <w:rPr>
                <w:rFonts w:hint="eastAsia"/>
                <w:highlight w:val="none"/>
              </w:rPr>
            </w:pPr>
            <w:r>
              <w:rPr>
                <w:rFonts w:hint="eastAsia" w:ascii="宋体" w:hAnsi="宋体" w:eastAsia="宋体" w:cs="宋体"/>
                <w:color w:val="auto"/>
                <w:kern w:val="2"/>
                <w:sz w:val="24"/>
                <w:szCs w:val="24"/>
                <w:highlight w:val="none"/>
                <w:lang w:val="en-US" w:eastAsia="zh-CN" w:bidi="ar-SA"/>
              </w:rPr>
              <w:t xml:space="preserve">（8）供应商须为未被列入“信用中国”网（ www.creditchina.gov.cn）记录失信被执行人或重大税收违法案件当事人名单或政府采购严重违法失信行为记录名单；不处于中国 政府采购网（ www.ccgp.gov.cn）政府采购严重违法失信行为信息记录中的禁止参加政府采购活动期间；未被列入“信用甘肃”网站（ </w:t>
            </w:r>
            <w:r>
              <w:rPr>
                <w:rFonts w:hint="eastAsia" w:ascii="宋体" w:hAnsi="宋体" w:eastAsia="宋体" w:cs="宋体"/>
                <w:color w:val="auto"/>
                <w:kern w:val="2"/>
                <w:sz w:val="24"/>
                <w:szCs w:val="24"/>
                <w:highlight w:val="none"/>
                <w:lang w:val="en-US" w:eastAsia="zh-CN" w:bidi="ar-SA"/>
              </w:rPr>
              <w:fldChar w:fldCharType="begin"/>
            </w:r>
            <w:r>
              <w:rPr>
                <w:rFonts w:hint="eastAsia" w:ascii="宋体" w:hAnsi="宋体" w:eastAsia="宋体" w:cs="宋体"/>
                <w:color w:val="auto"/>
                <w:kern w:val="2"/>
                <w:sz w:val="24"/>
                <w:szCs w:val="24"/>
                <w:highlight w:val="none"/>
                <w:lang w:val="en-US" w:eastAsia="zh-CN" w:bidi="ar-SA"/>
              </w:rPr>
              <w:instrText xml:space="preserve"> HYPERLINK "http://www.gscredit.gov.cn）记录失信被执行人或财政性资金管理使用领域相关失信责任主体、统计领域严重失信企业及其有关人员等的方可参加本项目的投标；" </w:instrText>
            </w:r>
            <w:r>
              <w:rPr>
                <w:rFonts w:hint="eastAsia" w:ascii="宋体" w:hAnsi="宋体" w:eastAsia="宋体" w:cs="宋体"/>
                <w:color w:val="auto"/>
                <w:kern w:val="2"/>
                <w:sz w:val="24"/>
                <w:szCs w:val="24"/>
                <w:highlight w:val="none"/>
                <w:lang w:val="en-US" w:eastAsia="zh-CN" w:bidi="ar-SA"/>
              </w:rPr>
              <w:fldChar w:fldCharType="separate"/>
            </w:r>
            <w:r>
              <w:rPr>
                <w:rFonts w:hint="eastAsia" w:ascii="宋体" w:hAnsi="宋体" w:eastAsia="宋体" w:cs="宋体"/>
                <w:color w:val="auto"/>
                <w:kern w:val="2"/>
                <w:sz w:val="24"/>
                <w:szCs w:val="24"/>
                <w:highlight w:val="none"/>
                <w:lang w:val="en-US" w:eastAsia="zh-CN" w:bidi="ar-SA"/>
              </w:rPr>
              <w:t>www.gscredit.gov.cn）记录失信被执行人或财政性资金管理使用领域相关失信责任主体、统计领域严重失信企业及其有关人员等的方可参加本项目的投标；</w:t>
            </w:r>
            <w:r>
              <w:rPr>
                <w:rFonts w:hint="eastAsia" w:ascii="宋体" w:hAnsi="宋体" w:eastAsia="宋体" w:cs="宋体"/>
                <w:color w:val="auto"/>
                <w:kern w:val="2"/>
                <w:sz w:val="24"/>
                <w:szCs w:val="24"/>
                <w:highlight w:val="none"/>
                <w:lang w:val="en-US" w:eastAsia="zh-CN" w:bidi="ar-SA"/>
              </w:rPr>
              <w:fldChar w:fldCharType="end"/>
            </w:r>
          </w:p>
          <w:p>
            <w:pPr>
              <w:keepNext w:val="0"/>
              <w:keepLines w:val="0"/>
              <w:pageBreakBefore w:val="0"/>
              <w:widowControl/>
              <w:kinsoku w:val="0"/>
              <w:wordWrap/>
              <w:overflowPunct/>
              <w:topLinePunct w:val="0"/>
              <w:autoSpaceDE w:val="0"/>
              <w:autoSpaceDN w:val="0"/>
              <w:bidi w:val="0"/>
              <w:adjustRightInd w:val="0"/>
              <w:snapToGrid w:val="0"/>
              <w:spacing w:line="480" w:lineRule="auto"/>
              <w:ind w:firstLine="240" w:firstLineChars="100"/>
              <w:textAlignment w:val="baseline"/>
              <w:rPr>
                <w:rFonts w:ascii="宋体" w:hAnsi="宋体" w:cs="宋体"/>
                <w:sz w:val="24"/>
                <w:highlight w:val="none"/>
              </w:rPr>
            </w:pPr>
            <w:r>
              <w:rPr>
                <w:rFonts w:hint="eastAsia" w:ascii="宋体" w:hAnsi="宋体" w:eastAsia="宋体" w:cs="宋体"/>
                <w:b w:val="0"/>
                <w:bCs w:val="0"/>
                <w:kern w:val="0"/>
                <w:sz w:val="24"/>
                <w:szCs w:val="24"/>
                <w:highlight w:val="none"/>
                <w:lang w:eastAsia="zh-CN"/>
              </w:rPr>
              <w:t>（</w:t>
            </w:r>
            <w:r>
              <w:rPr>
                <w:rFonts w:hint="eastAsia" w:ascii="宋体" w:hAnsi="宋体" w:eastAsia="宋体" w:cs="宋体"/>
                <w:b w:val="0"/>
                <w:bCs w:val="0"/>
                <w:kern w:val="0"/>
                <w:sz w:val="24"/>
                <w:szCs w:val="24"/>
                <w:highlight w:val="none"/>
                <w:lang w:val="en-US" w:eastAsia="zh-CN"/>
              </w:rPr>
              <w:t>9</w:t>
            </w:r>
            <w:r>
              <w:rPr>
                <w:rFonts w:hint="eastAsia" w:ascii="宋体" w:hAnsi="宋体" w:eastAsia="宋体" w:cs="宋体"/>
                <w:b w:val="0"/>
                <w:bCs w:val="0"/>
                <w:kern w:val="0"/>
                <w:sz w:val="24"/>
                <w:szCs w:val="24"/>
                <w:highlight w:val="none"/>
                <w:lang w:eastAsia="zh-CN"/>
              </w:rPr>
              <w:t>）</w:t>
            </w:r>
            <w:r>
              <w:rPr>
                <w:rFonts w:hint="eastAsia" w:ascii="宋体" w:hAnsi="宋体" w:cs="宋体"/>
                <w:color w:val="auto"/>
                <w:sz w:val="24"/>
                <w:highlight w:val="none"/>
              </w:rPr>
              <w:t>本项目不接受联合体投标。</w:t>
            </w:r>
          </w:p>
        </w:tc>
      </w:tr>
      <w:tr>
        <w:tblPrEx>
          <w:tblBorders>
            <w:top w:val="double" w:color="auto" w:sz="6" w:space="0"/>
            <w:left w:val="double" w:color="auto" w:sz="6" w:space="0"/>
            <w:bottom w:val="double" w:color="auto" w:sz="6" w:space="0"/>
            <w:right w:val="double" w:color="auto" w:sz="6" w:space="0"/>
            <w:insideH w:val="double" w:color="auto" w:sz="6" w:space="0"/>
            <w:insideV w:val="double" w:color="auto" w:sz="6" w:space="0"/>
          </w:tblBorders>
          <w:tblCellMar>
            <w:top w:w="0" w:type="dxa"/>
            <w:left w:w="108" w:type="dxa"/>
            <w:bottom w:w="0" w:type="dxa"/>
            <w:right w:w="108" w:type="dxa"/>
          </w:tblCellMar>
        </w:tblPrEx>
        <w:trPr>
          <w:trHeight w:val="957" w:hRule="atLeast"/>
        </w:trPr>
        <w:tc>
          <w:tcPr>
            <w:tcW w:w="696" w:type="dxa"/>
            <w:tcBorders>
              <w:tl2br w:val="nil"/>
              <w:tr2bl w:val="nil"/>
            </w:tcBorders>
            <w:vAlign w:val="center"/>
          </w:tcPr>
          <w:p>
            <w:pPr>
              <w:numPr>
                <w:ilvl w:val="0"/>
                <w:numId w:val="1"/>
              </w:numPr>
              <w:spacing w:line="360" w:lineRule="auto"/>
              <w:ind w:left="-70" w:leftChars="0" w:firstLine="280" w:firstLineChars="0"/>
              <w:rPr>
                <w:rFonts w:ascii="宋体" w:hAnsi="宋体" w:cs="宋体"/>
                <w:sz w:val="24"/>
                <w:highlight w:val="none"/>
              </w:rPr>
            </w:pPr>
          </w:p>
        </w:tc>
        <w:tc>
          <w:tcPr>
            <w:tcW w:w="2351" w:type="dxa"/>
            <w:tcBorders>
              <w:tl2br w:val="nil"/>
              <w:tr2bl w:val="nil"/>
            </w:tcBorders>
            <w:vAlign w:val="center"/>
          </w:tcPr>
          <w:p>
            <w:pPr>
              <w:wordWrap w:val="0"/>
              <w:spacing w:line="360" w:lineRule="auto"/>
              <w:jc w:val="center"/>
              <w:rPr>
                <w:rFonts w:ascii="宋体" w:hAnsi="宋体" w:cs="宋体"/>
                <w:sz w:val="24"/>
                <w:highlight w:val="none"/>
              </w:rPr>
            </w:pPr>
            <w:r>
              <w:rPr>
                <w:rFonts w:hint="eastAsia" w:ascii="宋体" w:hAnsi="宋体" w:cs="宋体"/>
                <w:color w:val="000000"/>
                <w:sz w:val="24"/>
                <w:highlight w:val="none"/>
              </w:rPr>
              <w:t>项目现场勘察</w:t>
            </w:r>
          </w:p>
        </w:tc>
        <w:tc>
          <w:tcPr>
            <w:tcW w:w="6472" w:type="dxa"/>
            <w:tcBorders>
              <w:tl2br w:val="nil"/>
              <w:tr2bl w:val="nil"/>
            </w:tcBorders>
          </w:tcPr>
          <w:p>
            <w:pPr>
              <w:wordWrap w:val="0"/>
              <w:spacing w:line="360" w:lineRule="auto"/>
              <w:rPr>
                <w:rFonts w:ascii="宋体" w:hAnsi="宋体" w:cs="宋体"/>
                <w:color w:val="000000"/>
                <w:sz w:val="24"/>
                <w:highlight w:val="none"/>
              </w:rPr>
            </w:pPr>
            <w:r>
              <w:rPr>
                <w:rFonts w:hint="eastAsia" w:ascii="宋体" w:hAnsi="宋体" w:cs="宋体"/>
                <w:color w:val="000000"/>
                <w:sz w:val="24"/>
                <w:highlight w:val="none"/>
              </w:rPr>
              <w:t>√不组织</w:t>
            </w:r>
          </w:p>
          <w:p>
            <w:pPr>
              <w:wordWrap w:val="0"/>
              <w:spacing w:line="360" w:lineRule="auto"/>
              <w:rPr>
                <w:rFonts w:ascii="宋体" w:hAnsi="宋体" w:cs="宋体"/>
                <w:color w:val="000000" w:themeColor="text1"/>
                <w:spacing w:val="10"/>
                <w:kern w:val="0"/>
                <w:sz w:val="24"/>
                <w:highlight w:val="none"/>
              </w:rPr>
            </w:pPr>
            <w:r>
              <w:rPr>
                <w:rFonts w:hint="eastAsia" w:ascii="宋体" w:hAnsi="宋体" w:cs="宋体"/>
                <w:color w:val="000000"/>
                <w:sz w:val="24"/>
                <w:highlight w:val="none"/>
              </w:rPr>
              <w:t>□组织：</w:t>
            </w:r>
            <w:r>
              <w:rPr>
                <w:rFonts w:hint="eastAsia" w:ascii="宋体" w:hAnsi="宋体" w:cs="宋体"/>
                <w:color w:val="000000"/>
                <w:sz w:val="24"/>
                <w:highlight w:val="none"/>
                <w:u w:val="single"/>
              </w:rPr>
              <w:t xml:space="preserve">                        </w:t>
            </w:r>
          </w:p>
        </w:tc>
      </w:tr>
      <w:tr>
        <w:tblPrEx>
          <w:tblBorders>
            <w:top w:val="double" w:color="auto" w:sz="6" w:space="0"/>
            <w:left w:val="double" w:color="auto" w:sz="6" w:space="0"/>
            <w:bottom w:val="double" w:color="auto" w:sz="6" w:space="0"/>
            <w:right w:val="double" w:color="auto" w:sz="6" w:space="0"/>
            <w:insideH w:val="double" w:color="auto" w:sz="6" w:space="0"/>
            <w:insideV w:val="double" w:color="auto" w:sz="6" w:space="0"/>
          </w:tblBorders>
          <w:tblCellMar>
            <w:top w:w="0" w:type="dxa"/>
            <w:left w:w="108" w:type="dxa"/>
            <w:bottom w:w="0" w:type="dxa"/>
            <w:right w:w="108" w:type="dxa"/>
          </w:tblCellMar>
        </w:tblPrEx>
        <w:trPr>
          <w:trHeight w:val="3254" w:hRule="atLeast"/>
        </w:trPr>
        <w:tc>
          <w:tcPr>
            <w:tcW w:w="696" w:type="dxa"/>
            <w:tcBorders>
              <w:tl2br w:val="nil"/>
              <w:tr2bl w:val="nil"/>
            </w:tcBorders>
            <w:vAlign w:val="center"/>
          </w:tcPr>
          <w:p>
            <w:pPr>
              <w:numPr>
                <w:ilvl w:val="0"/>
                <w:numId w:val="1"/>
              </w:numPr>
              <w:spacing w:line="360" w:lineRule="auto"/>
              <w:ind w:left="-70" w:leftChars="0" w:firstLine="280" w:firstLineChars="0"/>
              <w:rPr>
                <w:rFonts w:ascii="宋体" w:hAnsi="宋体" w:cs="宋体"/>
                <w:sz w:val="24"/>
                <w:highlight w:val="none"/>
              </w:rPr>
            </w:pPr>
          </w:p>
        </w:tc>
        <w:tc>
          <w:tcPr>
            <w:tcW w:w="2351" w:type="dxa"/>
            <w:tcBorders>
              <w:tl2br w:val="nil"/>
              <w:tr2bl w:val="nil"/>
            </w:tcBorders>
            <w:vAlign w:val="center"/>
          </w:tcPr>
          <w:p>
            <w:pPr>
              <w:pStyle w:val="223"/>
              <w:spacing w:line="360" w:lineRule="auto"/>
              <w:ind w:left="63" w:right="48"/>
              <w:jc w:val="center"/>
              <w:rPr>
                <w:sz w:val="24"/>
                <w:highlight w:val="none"/>
              </w:rPr>
            </w:pPr>
            <w:r>
              <w:rPr>
                <w:sz w:val="24"/>
                <w:highlight w:val="none"/>
              </w:rPr>
              <w:t>样品</w:t>
            </w:r>
          </w:p>
        </w:tc>
        <w:tc>
          <w:tcPr>
            <w:tcW w:w="6472" w:type="dxa"/>
            <w:tcBorders>
              <w:tl2br w:val="nil"/>
              <w:tr2bl w:val="nil"/>
            </w:tcBorders>
          </w:tcPr>
          <w:p>
            <w:pPr>
              <w:pStyle w:val="223"/>
              <w:spacing w:before="1" w:line="360" w:lineRule="auto"/>
              <w:ind w:left="112"/>
              <w:rPr>
                <w:sz w:val="24"/>
                <w:highlight w:val="none"/>
              </w:rPr>
            </w:pPr>
            <w:r>
              <w:rPr>
                <w:rFonts w:ascii="Times New Roman" w:hAnsi="Times New Roman" w:eastAsia="Times New Roman"/>
                <w:spacing w:val="-1"/>
                <w:sz w:val="24"/>
                <w:highlight w:val="none"/>
              </w:rPr>
              <w:t>√</w:t>
            </w:r>
            <w:r>
              <w:rPr>
                <w:spacing w:val="-1"/>
                <w:sz w:val="24"/>
                <w:highlight w:val="none"/>
              </w:rPr>
              <w:t>不要求提供</w:t>
            </w:r>
          </w:p>
          <w:p>
            <w:pPr>
              <w:pStyle w:val="223"/>
              <w:spacing w:before="2" w:line="360" w:lineRule="auto"/>
              <w:ind w:left="112"/>
              <w:rPr>
                <w:sz w:val="24"/>
                <w:highlight w:val="none"/>
              </w:rPr>
            </w:pPr>
            <w:r>
              <w:rPr>
                <w:rFonts w:ascii="Times New Roman" w:hAnsi="Times New Roman" w:eastAsia="Times New Roman"/>
                <w:spacing w:val="-1"/>
                <w:sz w:val="24"/>
                <w:highlight w:val="none"/>
              </w:rPr>
              <w:t>□</w:t>
            </w:r>
            <w:r>
              <w:rPr>
                <w:spacing w:val="-3"/>
                <w:sz w:val="24"/>
                <w:highlight w:val="none"/>
              </w:rPr>
              <w:t>要求提供：</w:t>
            </w:r>
          </w:p>
          <w:p>
            <w:pPr>
              <w:pStyle w:val="223"/>
              <w:tabs>
                <w:tab w:val="left" w:pos="4682"/>
              </w:tabs>
              <w:spacing w:before="5" w:line="360" w:lineRule="auto"/>
              <w:rPr>
                <w:sz w:val="24"/>
                <w:highlight w:val="none"/>
              </w:rPr>
            </w:pPr>
            <w:r>
              <w:rPr>
                <w:rFonts w:hint="eastAsia"/>
                <w:sz w:val="24"/>
                <w:highlight w:val="none"/>
              </w:rPr>
              <w:t>1.</w:t>
            </w:r>
            <w:r>
              <w:rPr>
                <w:sz w:val="24"/>
                <w:highlight w:val="none"/>
              </w:rPr>
              <w:t>样</w:t>
            </w:r>
            <w:r>
              <w:rPr>
                <w:spacing w:val="-3"/>
                <w:sz w:val="24"/>
                <w:highlight w:val="none"/>
              </w:rPr>
              <w:t>品</w:t>
            </w:r>
            <w:r>
              <w:rPr>
                <w:sz w:val="24"/>
                <w:highlight w:val="none"/>
              </w:rPr>
              <w:t>制</w:t>
            </w:r>
            <w:r>
              <w:rPr>
                <w:spacing w:val="-3"/>
                <w:sz w:val="24"/>
                <w:highlight w:val="none"/>
              </w:rPr>
              <w:t>作</w:t>
            </w:r>
            <w:r>
              <w:rPr>
                <w:sz w:val="24"/>
                <w:highlight w:val="none"/>
              </w:rPr>
              <w:t>的</w:t>
            </w:r>
            <w:r>
              <w:rPr>
                <w:spacing w:val="-3"/>
                <w:sz w:val="24"/>
                <w:highlight w:val="none"/>
              </w:rPr>
              <w:t>标</w:t>
            </w:r>
            <w:r>
              <w:rPr>
                <w:sz w:val="24"/>
                <w:highlight w:val="none"/>
              </w:rPr>
              <w:t>准</w:t>
            </w:r>
            <w:r>
              <w:rPr>
                <w:spacing w:val="-3"/>
                <w:sz w:val="24"/>
                <w:highlight w:val="none"/>
              </w:rPr>
              <w:t>和</w:t>
            </w:r>
            <w:r>
              <w:rPr>
                <w:sz w:val="24"/>
                <w:highlight w:val="none"/>
              </w:rPr>
              <w:t>要</w:t>
            </w:r>
            <w:r>
              <w:rPr>
                <w:spacing w:val="-3"/>
                <w:sz w:val="24"/>
                <w:highlight w:val="none"/>
              </w:rPr>
              <w:t>求</w:t>
            </w:r>
            <w:r>
              <w:rPr>
                <w:sz w:val="24"/>
                <w:highlight w:val="none"/>
              </w:rPr>
              <w:t>：</w:t>
            </w:r>
            <w:r>
              <w:rPr>
                <w:sz w:val="24"/>
                <w:highlight w:val="none"/>
                <w:u w:val="single"/>
              </w:rPr>
              <w:tab/>
            </w:r>
            <w:r>
              <w:rPr>
                <w:sz w:val="24"/>
                <w:highlight w:val="none"/>
              </w:rPr>
              <w:t>。</w:t>
            </w:r>
          </w:p>
          <w:p>
            <w:pPr>
              <w:pStyle w:val="223"/>
              <w:tabs>
                <w:tab w:val="left" w:pos="272"/>
              </w:tabs>
              <w:spacing w:before="1" w:line="360" w:lineRule="auto"/>
              <w:ind w:right="92"/>
              <w:jc w:val="left"/>
              <w:rPr>
                <w:sz w:val="24"/>
                <w:highlight w:val="none"/>
              </w:rPr>
            </w:pPr>
            <w:r>
              <w:rPr>
                <w:rFonts w:hint="eastAsia"/>
                <w:spacing w:val="-4"/>
                <w:sz w:val="24"/>
                <w:highlight w:val="none"/>
              </w:rPr>
              <w:t>2.</w:t>
            </w:r>
            <w:r>
              <w:rPr>
                <w:spacing w:val="-4"/>
                <w:sz w:val="24"/>
                <w:highlight w:val="none"/>
              </w:rPr>
              <w:t>样品检测报告：</w:t>
            </w:r>
            <w:r>
              <w:rPr>
                <w:rFonts w:ascii="Times New Roman" w:hAnsi="Times New Roman" w:eastAsia="Times New Roman"/>
                <w:spacing w:val="-4"/>
                <w:sz w:val="24"/>
                <w:highlight w:val="none"/>
              </w:rPr>
              <w:t>(√</w:t>
            </w:r>
            <w:r>
              <w:rPr>
                <w:spacing w:val="-4"/>
                <w:sz w:val="24"/>
                <w:highlight w:val="none"/>
              </w:rPr>
              <w:t>否；</w:t>
            </w:r>
            <w:r>
              <w:rPr>
                <w:rFonts w:ascii="Times New Roman" w:hAnsi="Times New Roman" w:eastAsia="Times New Roman"/>
                <w:spacing w:val="-8"/>
                <w:sz w:val="24"/>
                <w:highlight w:val="none"/>
              </w:rPr>
              <w:t>□</w:t>
            </w:r>
            <w:r>
              <w:rPr>
                <w:spacing w:val="-5"/>
                <w:sz w:val="24"/>
                <w:highlight w:val="none"/>
              </w:rPr>
              <w:t>是，检测机构的要求、检测内容详见第三章项</w:t>
            </w:r>
            <w:r>
              <w:rPr>
                <w:spacing w:val="-4"/>
                <w:sz w:val="24"/>
                <w:highlight w:val="none"/>
              </w:rPr>
              <w:t>目采购需求</w:t>
            </w:r>
            <w:r>
              <w:rPr>
                <w:rFonts w:ascii="Times New Roman" w:hAnsi="Times New Roman" w:eastAsia="Times New Roman"/>
                <w:spacing w:val="-4"/>
                <w:sz w:val="24"/>
                <w:highlight w:val="none"/>
              </w:rPr>
              <w:t>)</w:t>
            </w:r>
            <w:r>
              <w:rPr>
                <w:sz w:val="24"/>
                <w:highlight w:val="none"/>
              </w:rPr>
              <w:t>。</w:t>
            </w:r>
          </w:p>
          <w:p>
            <w:pPr>
              <w:pStyle w:val="223"/>
              <w:tabs>
                <w:tab w:val="left" w:pos="4682"/>
              </w:tabs>
              <w:spacing w:before="5" w:line="360" w:lineRule="auto"/>
              <w:rPr>
                <w:color w:val="000000" w:themeColor="text1"/>
                <w:spacing w:val="10"/>
                <w:kern w:val="0"/>
                <w:sz w:val="24"/>
                <w:highlight w:val="none"/>
              </w:rPr>
            </w:pPr>
            <w:r>
              <w:rPr>
                <w:rFonts w:hint="eastAsia"/>
                <w:spacing w:val="-3"/>
                <w:sz w:val="24"/>
                <w:highlight w:val="none"/>
              </w:rPr>
              <w:t>3.</w:t>
            </w:r>
            <w:r>
              <w:rPr>
                <w:spacing w:val="-3"/>
                <w:sz w:val="24"/>
                <w:highlight w:val="none"/>
              </w:rPr>
              <w:t>样品的评审方法及评审标准：内容详见</w:t>
            </w:r>
            <w:r>
              <w:rPr>
                <w:rFonts w:hint="eastAsia"/>
                <w:b/>
                <w:bCs/>
                <w:spacing w:val="-3"/>
                <w:sz w:val="24"/>
                <w:highlight w:val="none"/>
              </w:rPr>
              <w:t>第五章</w:t>
            </w:r>
            <w:r>
              <w:rPr>
                <w:b/>
                <w:bCs/>
                <w:spacing w:val="-3"/>
                <w:sz w:val="24"/>
                <w:highlight w:val="none"/>
              </w:rPr>
              <w:t>评标办法及标准</w:t>
            </w:r>
            <w:r>
              <w:rPr>
                <w:spacing w:val="-3"/>
                <w:sz w:val="24"/>
                <w:highlight w:val="none"/>
              </w:rPr>
              <w:t>。</w:t>
            </w:r>
          </w:p>
        </w:tc>
      </w:tr>
      <w:tr>
        <w:tblPrEx>
          <w:tblBorders>
            <w:top w:val="double" w:color="auto" w:sz="6" w:space="0"/>
            <w:left w:val="double" w:color="auto" w:sz="6" w:space="0"/>
            <w:bottom w:val="double" w:color="auto" w:sz="6" w:space="0"/>
            <w:right w:val="double" w:color="auto" w:sz="6" w:space="0"/>
            <w:insideH w:val="double" w:color="auto" w:sz="6" w:space="0"/>
            <w:insideV w:val="double" w:color="auto" w:sz="6" w:space="0"/>
          </w:tblBorders>
          <w:tblCellMar>
            <w:top w:w="0" w:type="dxa"/>
            <w:left w:w="108" w:type="dxa"/>
            <w:bottom w:w="0" w:type="dxa"/>
            <w:right w:w="108" w:type="dxa"/>
          </w:tblCellMar>
        </w:tblPrEx>
        <w:trPr>
          <w:trHeight w:val="1421" w:hRule="atLeast"/>
        </w:trPr>
        <w:tc>
          <w:tcPr>
            <w:tcW w:w="696" w:type="dxa"/>
            <w:tcBorders>
              <w:tl2br w:val="nil"/>
              <w:tr2bl w:val="nil"/>
            </w:tcBorders>
            <w:vAlign w:val="center"/>
          </w:tcPr>
          <w:p>
            <w:pPr>
              <w:numPr>
                <w:ilvl w:val="0"/>
                <w:numId w:val="1"/>
              </w:numPr>
              <w:spacing w:line="360" w:lineRule="auto"/>
              <w:ind w:left="-70" w:leftChars="0" w:firstLine="280" w:firstLineChars="0"/>
              <w:rPr>
                <w:rFonts w:ascii="宋体" w:hAnsi="宋体" w:cs="宋体"/>
                <w:sz w:val="24"/>
                <w:highlight w:val="none"/>
              </w:rPr>
            </w:pPr>
          </w:p>
        </w:tc>
        <w:tc>
          <w:tcPr>
            <w:tcW w:w="2351" w:type="dxa"/>
            <w:tcBorders>
              <w:tl2br w:val="nil"/>
              <w:tr2bl w:val="nil"/>
            </w:tcBorders>
            <w:vAlign w:val="center"/>
          </w:tcPr>
          <w:p>
            <w:pPr>
              <w:pStyle w:val="223"/>
              <w:spacing w:before="140" w:line="360" w:lineRule="auto"/>
              <w:ind w:left="63" w:right="48"/>
              <w:jc w:val="center"/>
              <w:rPr>
                <w:sz w:val="24"/>
                <w:highlight w:val="none"/>
              </w:rPr>
            </w:pPr>
            <w:r>
              <w:rPr>
                <w:sz w:val="24"/>
                <w:highlight w:val="none"/>
              </w:rPr>
              <w:t>采购进口产品</w:t>
            </w:r>
          </w:p>
        </w:tc>
        <w:tc>
          <w:tcPr>
            <w:tcW w:w="6472" w:type="dxa"/>
            <w:tcBorders>
              <w:tl2br w:val="nil"/>
              <w:tr2bl w:val="nil"/>
            </w:tcBorders>
          </w:tcPr>
          <w:p>
            <w:pPr>
              <w:pStyle w:val="223"/>
              <w:spacing w:before="6" w:line="360" w:lineRule="auto"/>
              <w:ind w:left="112"/>
              <w:rPr>
                <w:rFonts w:hint="eastAsia" w:eastAsia="宋体"/>
                <w:sz w:val="24"/>
                <w:highlight w:val="none"/>
                <w:lang w:eastAsia="zh-CN"/>
              </w:rPr>
            </w:pPr>
            <w:r>
              <w:rPr>
                <w:rFonts w:hint="eastAsia" w:ascii="Times New Roman" w:hAnsi="Times New Roman"/>
                <w:sz w:val="24"/>
                <w:highlight w:val="none"/>
              </w:rPr>
              <w:t>☑</w:t>
            </w:r>
            <w:r>
              <w:rPr>
                <w:sz w:val="24"/>
                <w:highlight w:val="none"/>
              </w:rPr>
              <w:t>本采购项目拒绝进口产品参加投标</w:t>
            </w:r>
          </w:p>
          <w:p>
            <w:pPr>
              <w:pStyle w:val="223"/>
              <w:spacing w:before="2" w:line="360" w:lineRule="auto"/>
              <w:ind w:left="112"/>
              <w:rPr>
                <w:rFonts w:hint="eastAsia" w:eastAsia="宋体"/>
                <w:color w:val="000000" w:themeColor="text1"/>
                <w:spacing w:val="10"/>
                <w:kern w:val="0"/>
                <w:sz w:val="24"/>
                <w:highlight w:val="none"/>
                <w:lang w:eastAsia="zh-CN"/>
              </w:rPr>
            </w:pPr>
            <w:r>
              <w:rPr>
                <w:rFonts w:hint="eastAsia" w:ascii="Times New Roman" w:hAnsi="Times New Roman"/>
                <w:sz w:val="24"/>
                <w:highlight w:val="none"/>
                <w:lang w:eastAsia="zh-CN"/>
              </w:rPr>
              <w:t>□</w:t>
            </w:r>
            <w:r>
              <w:rPr>
                <w:sz w:val="24"/>
                <w:highlight w:val="none"/>
              </w:rPr>
              <w:t>本采购项目已经财政部门审核同意购买的进口产品为：</w:t>
            </w:r>
            <w:r>
              <w:rPr>
                <w:sz w:val="24"/>
                <w:highlight w:val="none"/>
                <w:u w:val="single"/>
              </w:rPr>
              <w:t xml:space="preserve"> </w:t>
            </w:r>
            <w:r>
              <w:rPr>
                <w:rFonts w:hint="eastAsia" w:ascii="Times New Roman" w:hAnsi="Times New Roman"/>
                <w:sz w:val="24"/>
                <w:highlight w:val="none"/>
                <w:u w:val="single"/>
              </w:rPr>
              <w:t xml:space="preserve"> </w:t>
            </w:r>
            <w:r>
              <w:rPr>
                <w:sz w:val="24"/>
                <w:highlight w:val="none"/>
              </w:rPr>
              <w:t>。</w:t>
            </w:r>
          </w:p>
        </w:tc>
      </w:tr>
      <w:tr>
        <w:tblPrEx>
          <w:tblBorders>
            <w:top w:val="double" w:color="auto" w:sz="6" w:space="0"/>
            <w:left w:val="double" w:color="auto" w:sz="6" w:space="0"/>
            <w:bottom w:val="double" w:color="auto" w:sz="6" w:space="0"/>
            <w:right w:val="double" w:color="auto" w:sz="6" w:space="0"/>
            <w:insideH w:val="double" w:color="auto" w:sz="6" w:space="0"/>
            <w:insideV w:val="double" w:color="auto" w:sz="6" w:space="0"/>
          </w:tblBorders>
          <w:tblCellMar>
            <w:top w:w="0" w:type="dxa"/>
            <w:left w:w="108" w:type="dxa"/>
            <w:bottom w:w="0" w:type="dxa"/>
            <w:right w:w="108" w:type="dxa"/>
          </w:tblCellMar>
        </w:tblPrEx>
        <w:trPr>
          <w:trHeight w:val="500" w:hRule="atLeast"/>
        </w:trPr>
        <w:tc>
          <w:tcPr>
            <w:tcW w:w="696" w:type="dxa"/>
            <w:tcBorders>
              <w:tl2br w:val="nil"/>
              <w:tr2bl w:val="nil"/>
            </w:tcBorders>
            <w:vAlign w:val="center"/>
          </w:tcPr>
          <w:p>
            <w:pPr>
              <w:numPr>
                <w:ilvl w:val="0"/>
                <w:numId w:val="1"/>
              </w:numPr>
              <w:spacing w:line="360" w:lineRule="auto"/>
              <w:ind w:left="-70" w:leftChars="0" w:firstLine="280" w:firstLineChars="0"/>
              <w:rPr>
                <w:rFonts w:ascii="宋体" w:hAnsi="宋体" w:cs="宋体"/>
                <w:sz w:val="24"/>
                <w:highlight w:val="none"/>
              </w:rPr>
            </w:pPr>
          </w:p>
        </w:tc>
        <w:tc>
          <w:tcPr>
            <w:tcW w:w="2351" w:type="dxa"/>
            <w:tcBorders>
              <w:tl2br w:val="nil"/>
              <w:tr2bl w:val="nil"/>
            </w:tcBorders>
          </w:tcPr>
          <w:p>
            <w:pPr>
              <w:pStyle w:val="223"/>
              <w:spacing w:before="65"/>
              <w:ind w:left="62" w:right="50"/>
              <w:jc w:val="center"/>
              <w:rPr>
                <w:sz w:val="24"/>
                <w:highlight w:val="none"/>
              </w:rPr>
            </w:pPr>
            <w:r>
              <w:rPr>
                <w:sz w:val="24"/>
                <w:highlight w:val="none"/>
              </w:rPr>
              <w:t>核心产品</w:t>
            </w:r>
          </w:p>
        </w:tc>
        <w:tc>
          <w:tcPr>
            <w:tcW w:w="6472" w:type="dxa"/>
            <w:tcBorders>
              <w:tl2br w:val="nil"/>
              <w:tr2bl w:val="nil"/>
            </w:tcBorders>
          </w:tcPr>
          <w:p>
            <w:pPr>
              <w:pStyle w:val="223"/>
              <w:spacing w:before="72"/>
              <w:rPr>
                <w:rFonts w:hint="default" w:eastAsia="宋体"/>
                <w:color w:val="000000" w:themeColor="text1"/>
                <w:spacing w:val="10"/>
                <w:kern w:val="0"/>
                <w:sz w:val="24"/>
                <w:highlight w:val="none"/>
                <w:lang w:val="en-US" w:eastAsia="zh-CN"/>
              </w:rPr>
            </w:pPr>
            <w:r>
              <w:rPr>
                <w:rFonts w:hint="eastAsia"/>
                <w:color w:val="000000" w:themeColor="text1"/>
                <w:spacing w:val="10"/>
                <w:kern w:val="0"/>
                <w:sz w:val="24"/>
                <w:highlight w:val="none"/>
                <w:lang w:val="en-US" w:eastAsia="zh-CN"/>
              </w:rPr>
              <w:t>幽门螺旋杆菌检测仪</w:t>
            </w:r>
          </w:p>
        </w:tc>
      </w:tr>
      <w:tr>
        <w:tblPrEx>
          <w:tblBorders>
            <w:top w:val="double" w:color="auto" w:sz="6" w:space="0"/>
            <w:left w:val="double" w:color="auto" w:sz="6" w:space="0"/>
            <w:bottom w:val="double" w:color="auto" w:sz="6" w:space="0"/>
            <w:right w:val="double" w:color="auto" w:sz="6" w:space="0"/>
            <w:insideH w:val="double" w:color="auto" w:sz="6" w:space="0"/>
            <w:insideV w:val="double" w:color="auto" w:sz="6" w:space="0"/>
          </w:tblBorders>
          <w:tblCellMar>
            <w:top w:w="0" w:type="dxa"/>
            <w:left w:w="108" w:type="dxa"/>
            <w:bottom w:w="0" w:type="dxa"/>
            <w:right w:w="108" w:type="dxa"/>
          </w:tblCellMar>
        </w:tblPrEx>
        <w:trPr>
          <w:trHeight w:val="90" w:hRule="atLeast"/>
        </w:trPr>
        <w:tc>
          <w:tcPr>
            <w:tcW w:w="696" w:type="dxa"/>
            <w:tcBorders>
              <w:tl2br w:val="nil"/>
              <w:tr2bl w:val="nil"/>
            </w:tcBorders>
            <w:vAlign w:val="center"/>
          </w:tcPr>
          <w:p>
            <w:pPr>
              <w:numPr>
                <w:ilvl w:val="0"/>
                <w:numId w:val="1"/>
              </w:numPr>
              <w:spacing w:line="360" w:lineRule="auto"/>
              <w:ind w:left="-70" w:leftChars="0" w:firstLine="280" w:firstLineChars="0"/>
              <w:rPr>
                <w:rFonts w:ascii="宋体" w:hAnsi="宋体" w:cs="宋体"/>
                <w:sz w:val="24"/>
                <w:highlight w:val="none"/>
              </w:rPr>
            </w:pPr>
          </w:p>
        </w:tc>
        <w:tc>
          <w:tcPr>
            <w:tcW w:w="2351" w:type="dxa"/>
            <w:tcBorders>
              <w:tl2br w:val="nil"/>
              <w:tr2bl w:val="nil"/>
            </w:tcBorders>
            <w:vAlign w:val="center"/>
          </w:tcPr>
          <w:p>
            <w:pPr>
              <w:spacing w:line="360" w:lineRule="auto"/>
              <w:jc w:val="center"/>
              <w:rPr>
                <w:rFonts w:ascii="宋体" w:hAnsi="宋体" w:cs="宋体"/>
                <w:sz w:val="24"/>
                <w:highlight w:val="none"/>
              </w:rPr>
            </w:pPr>
            <w:r>
              <w:rPr>
                <w:rFonts w:hint="eastAsia" w:ascii="宋体" w:hAnsi="宋体" w:cs="宋体"/>
                <w:sz w:val="24"/>
                <w:highlight w:val="none"/>
              </w:rPr>
              <w:t>投标保证金</w:t>
            </w:r>
          </w:p>
        </w:tc>
        <w:tc>
          <w:tcPr>
            <w:tcW w:w="6472" w:type="dxa"/>
            <w:tcBorders>
              <w:tl2br w:val="nil"/>
              <w:tr2bl w:val="nil"/>
            </w:tcBorders>
            <w:vAlign w:val="center"/>
          </w:tcPr>
          <w:p>
            <w:pPr>
              <w:widowControl/>
              <w:spacing w:line="360" w:lineRule="auto"/>
              <w:rPr>
                <w:rFonts w:hint="eastAsia" w:ascii="宋体" w:hAnsi="宋体" w:eastAsia="宋体" w:cs="宋体"/>
                <w:spacing w:val="10"/>
                <w:kern w:val="0"/>
                <w:sz w:val="24"/>
                <w:highlight w:val="none"/>
                <w:lang w:val="en-US" w:eastAsia="zh-CN"/>
              </w:rPr>
            </w:pPr>
            <w:r>
              <w:rPr>
                <w:rFonts w:hint="eastAsia" w:ascii="宋体" w:hAnsi="宋体" w:cs="宋体"/>
                <w:spacing w:val="10"/>
                <w:kern w:val="0"/>
                <w:sz w:val="24"/>
                <w:highlight w:val="none"/>
                <w:lang w:val="en-US" w:eastAsia="zh-CN"/>
              </w:rPr>
              <w:t>无</w:t>
            </w:r>
          </w:p>
        </w:tc>
      </w:tr>
      <w:tr>
        <w:tblPrEx>
          <w:tblBorders>
            <w:top w:val="double" w:color="auto" w:sz="6" w:space="0"/>
            <w:left w:val="double" w:color="auto" w:sz="6" w:space="0"/>
            <w:bottom w:val="double" w:color="auto" w:sz="6" w:space="0"/>
            <w:right w:val="double" w:color="auto" w:sz="6" w:space="0"/>
            <w:insideH w:val="double" w:color="auto" w:sz="6" w:space="0"/>
            <w:insideV w:val="double" w:color="auto" w:sz="6" w:space="0"/>
          </w:tblBorders>
          <w:tblCellMar>
            <w:top w:w="0" w:type="dxa"/>
            <w:left w:w="108" w:type="dxa"/>
            <w:bottom w:w="0" w:type="dxa"/>
            <w:right w:w="108" w:type="dxa"/>
          </w:tblCellMar>
        </w:tblPrEx>
        <w:trPr>
          <w:trHeight w:val="498" w:hRule="atLeast"/>
        </w:trPr>
        <w:tc>
          <w:tcPr>
            <w:tcW w:w="696" w:type="dxa"/>
            <w:tcBorders>
              <w:tl2br w:val="nil"/>
              <w:tr2bl w:val="nil"/>
            </w:tcBorders>
            <w:vAlign w:val="center"/>
          </w:tcPr>
          <w:p>
            <w:pPr>
              <w:numPr>
                <w:ilvl w:val="0"/>
                <w:numId w:val="1"/>
              </w:numPr>
              <w:spacing w:line="360" w:lineRule="auto"/>
              <w:ind w:left="-70" w:leftChars="0" w:firstLine="280" w:firstLineChars="0"/>
              <w:rPr>
                <w:rFonts w:ascii="宋体" w:hAnsi="宋体" w:cs="宋体"/>
                <w:sz w:val="24"/>
                <w:highlight w:val="none"/>
              </w:rPr>
            </w:pPr>
          </w:p>
        </w:tc>
        <w:tc>
          <w:tcPr>
            <w:tcW w:w="2351" w:type="dxa"/>
            <w:tcBorders>
              <w:tl2br w:val="nil"/>
              <w:tr2bl w:val="nil"/>
            </w:tcBorders>
            <w:vAlign w:val="center"/>
          </w:tcPr>
          <w:p>
            <w:pPr>
              <w:widowControl/>
              <w:autoSpaceDN w:val="0"/>
              <w:spacing w:after="240" w:line="360" w:lineRule="auto"/>
              <w:jc w:val="center"/>
              <w:rPr>
                <w:rFonts w:ascii="宋体" w:hAnsi="宋体" w:cs="宋体"/>
                <w:kern w:val="0"/>
                <w:sz w:val="24"/>
                <w:highlight w:val="none"/>
              </w:rPr>
            </w:pPr>
            <w:r>
              <w:rPr>
                <w:rFonts w:hint="eastAsia" w:ascii="宋体" w:hAnsi="宋体" w:cs="宋体"/>
                <w:sz w:val="24"/>
                <w:highlight w:val="none"/>
              </w:rPr>
              <w:t>联合惩戒对象和联合惩戒措施</w:t>
            </w:r>
          </w:p>
        </w:tc>
        <w:tc>
          <w:tcPr>
            <w:tcW w:w="6472" w:type="dxa"/>
            <w:tcBorders>
              <w:tl2br w:val="nil"/>
              <w:tr2bl w:val="nil"/>
            </w:tcBorders>
            <w:vAlign w:val="center"/>
          </w:tcPr>
          <w:p>
            <w:pPr>
              <w:pStyle w:val="83"/>
              <w:widowControl/>
              <w:snapToGrid w:val="0"/>
              <w:spacing w:line="360" w:lineRule="auto"/>
              <w:ind w:firstLine="0" w:firstLineChars="0"/>
              <w:rPr>
                <w:rFonts w:ascii="宋体" w:hAnsi="宋体" w:cs="宋体"/>
                <w:spacing w:val="10"/>
                <w:sz w:val="24"/>
                <w:highlight w:val="none"/>
              </w:rPr>
            </w:pPr>
            <w:r>
              <w:rPr>
                <w:rFonts w:hint="eastAsia" w:ascii="宋体" w:hAnsi="宋体" w:cs="宋体"/>
                <w:sz w:val="24"/>
                <w:highlight w:val="none"/>
              </w:rPr>
              <w:t>公共资源交易领域失信行为联合惩戒对象和联合惩戒措施。对于被司法部门列入失信被执行人名单或存在其他失信行为的个人或单位（包括以失信被执行人为法定代表人、主要负责人、实际控制人、董事、监事、高级管理人员的单位），依法限制其参与政府投资项目或主要使用财政性资金项目，限制其从事土地、矿产等不动产资源开发利用，限制其参与国有企业资产、国家资产等国有产权交易，限制其参与药品和医用耗材集中采购和阳光采购活动。对失信被执行人参与公共资源交易活动的，由评标（评审）委员会取消其投标资格或直接废标（上述条款，本项目参照执行，未尽事宜由招标人解释）。</w:t>
            </w:r>
          </w:p>
        </w:tc>
      </w:tr>
      <w:tr>
        <w:tblPrEx>
          <w:tblBorders>
            <w:top w:val="double" w:color="auto" w:sz="6" w:space="0"/>
            <w:left w:val="double" w:color="auto" w:sz="6" w:space="0"/>
            <w:bottom w:val="double" w:color="auto" w:sz="6" w:space="0"/>
            <w:right w:val="double" w:color="auto" w:sz="6" w:space="0"/>
            <w:insideH w:val="double" w:color="auto" w:sz="6" w:space="0"/>
            <w:insideV w:val="double" w:color="auto" w:sz="6" w:space="0"/>
          </w:tblBorders>
          <w:tblCellMar>
            <w:top w:w="0" w:type="dxa"/>
            <w:left w:w="108" w:type="dxa"/>
            <w:bottom w:w="0" w:type="dxa"/>
            <w:right w:w="108" w:type="dxa"/>
          </w:tblCellMar>
        </w:tblPrEx>
        <w:trPr>
          <w:trHeight w:val="500" w:hRule="atLeast"/>
        </w:trPr>
        <w:tc>
          <w:tcPr>
            <w:tcW w:w="696" w:type="dxa"/>
            <w:tcBorders>
              <w:tl2br w:val="nil"/>
              <w:tr2bl w:val="nil"/>
            </w:tcBorders>
            <w:vAlign w:val="center"/>
          </w:tcPr>
          <w:p>
            <w:pPr>
              <w:numPr>
                <w:ilvl w:val="0"/>
                <w:numId w:val="1"/>
              </w:numPr>
              <w:spacing w:line="360" w:lineRule="auto"/>
              <w:ind w:left="-70" w:leftChars="0" w:firstLine="280" w:firstLineChars="0"/>
              <w:rPr>
                <w:rFonts w:ascii="宋体" w:hAnsi="宋体" w:cs="宋体"/>
                <w:sz w:val="24"/>
                <w:highlight w:val="none"/>
              </w:rPr>
            </w:pPr>
          </w:p>
        </w:tc>
        <w:tc>
          <w:tcPr>
            <w:tcW w:w="2351" w:type="dxa"/>
            <w:tcBorders>
              <w:tl2br w:val="nil"/>
              <w:tr2bl w:val="nil"/>
            </w:tcBorders>
            <w:vAlign w:val="center"/>
          </w:tcPr>
          <w:p>
            <w:pPr>
              <w:spacing w:line="360" w:lineRule="auto"/>
              <w:jc w:val="center"/>
              <w:rPr>
                <w:highlight w:val="none"/>
                <w:lang w:val="zh-CN"/>
              </w:rPr>
            </w:pPr>
            <w:r>
              <w:rPr>
                <w:rFonts w:hint="eastAsia" w:ascii="宋体" w:hAnsi="宋体" w:cs="宋体"/>
                <w:sz w:val="24"/>
                <w:highlight w:val="none"/>
              </w:rPr>
              <w:t>投标有效期</w:t>
            </w:r>
          </w:p>
        </w:tc>
        <w:tc>
          <w:tcPr>
            <w:tcW w:w="6472" w:type="dxa"/>
            <w:tcBorders>
              <w:tl2br w:val="nil"/>
              <w:tr2bl w:val="nil"/>
            </w:tcBorders>
            <w:vAlign w:val="center"/>
          </w:tcPr>
          <w:p>
            <w:pPr>
              <w:spacing w:line="360" w:lineRule="auto"/>
              <w:rPr>
                <w:highlight w:val="none"/>
              </w:rPr>
            </w:pPr>
            <w:r>
              <w:rPr>
                <w:rFonts w:hint="eastAsia" w:ascii="宋体" w:hAnsi="宋体" w:cs="宋体"/>
                <w:sz w:val="24"/>
                <w:highlight w:val="none"/>
              </w:rPr>
              <w:t>自投标文件正式递交之日起</w:t>
            </w:r>
            <w:r>
              <w:rPr>
                <w:rFonts w:hint="eastAsia" w:ascii="宋体" w:hAnsi="宋体" w:cs="宋体"/>
                <w:b/>
                <w:bCs/>
                <w:sz w:val="24"/>
                <w:highlight w:val="none"/>
                <w:u w:val="single"/>
              </w:rPr>
              <w:t>90</w:t>
            </w:r>
            <w:r>
              <w:rPr>
                <w:rFonts w:hint="eastAsia" w:ascii="宋体" w:hAnsi="宋体" w:cs="宋体"/>
                <w:sz w:val="24"/>
                <w:highlight w:val="none"/>
              </w:rPr>
              <w:t>天内有效。</w:t>
            </w:r>
          </w:p>
        </w:tc>
      </w:tr>
      <w:tr>
        <w:tblPrEx>
          <w:tblBorders>
            <w:top w:val="double" w:color="auto" w:sz="6" w:space="0"/>
            <w:left w:val="double" w:color="auto" w:sz="6" w:space="0"/>
            <w:bottom w:val="double" w:color="auto" w:sz="6" w:space="0"/>
            <w:right w:val="double" w:color="auto" w:sz="6" w:space="0"/>
            <w:insideH w:val="double" w:color="auto" w:sz="6" w:space="0"/>
            <w:insideV w:val="double" w:color="auto" w:sz="6" w:space="0"/>
          </w:tblBorders>
          <w:tblCellMar>
            <w:top w:w="0" w:type="dxa"/>
            <w:left w:w="108" w:type="dxa"/>
            <w:bottom w:w="0" w:type="dxa"/>
            <w:right w:w="108" w:type="dxa"/>
          </w:tblCellMar>
        </w:tblPrEx>
        <w:trPr>
          <w:trHeight w:val="957" w:hRule="atLeast"/>
        </w:trPr>
        <w:tc>
          <w:tcPr>
            <w:tcW w:w="696" w:type="dxa"/>
            <w:tcBorders>
              <w:tl2br w:val="nil"/>
              <w:tr2bl w:val="nil"/>
            </w:tcBorders>
            <w:vAlign w:val="center"/>
          </w:tcPr>
          <w:p>
            <w:pPr>
              <w:numPr>
                <w:ilvl w:val="0"/>
                <w:numId w:val="1"/>
              </w:numPr>
              <w:spacing w:line="360" w:lineRule="auto"/>
              <w:ind w:left="-70" w:leftChars="0" w:firstLine="280" w:firstLineChars="0"/>
              <w:rPr>
                <w:rFonts w:ascii="宋体" w:hAnsi="宋体" w:cs="宋体"/>
                <w:sz w:val="24"/>
                <w:highlight w:val="none"/>
              </w:rPr>
            </w:pPr>
          </w:p>
        </w:tc>
        <w:tc>
          <w:tcPr>
            <w:tcW w:w="2351" w:type="dxa"/>
            <w:tcBorders>
              <w:tl2br w:val="nil"/>
              <w:tr2bl w:val="nil"/>
            </w:tcBorders>
            <w:vAlign w:val="center"/>
          </w:tcPr>
          <w:p>
            <w:pPr>
              <w:pStyle w:val="210"/>
              <w:spacing w:line="360" w:lineRule="auto"/>
              <w:ind w:firstLine="480" w:firstLineChars="200"/>
              <w:jc w:val="both"/>
              <w:rPr>
                <w:kern w:val="2"/>
                <w:highlight w:val="none"/>
                <w:lang w:val="zh-CN"/>
              </w:rPr>
            </w:pPr>
            <w:r>
              <w:rPr>
                <w:rFonts w:hint="eastAsia"/>
                <w:kern w:val="2"/>
                <w:highlight w:val="none"/>
                <w:lang w:val="zh-CN"/>
              </w:rPr>
              <w:t>签字盖章</w:t>
            </w:r>
          </w:p>
        </w:tc>
        <w:tc>
          <w:tcPr>
            <w:tcW w:w="6472" w:type="dxa"/>
            <w:tcBorders>
              <w:tl2br w:val="nil"/>
              <w:tr2bl w:val="nil"/>
            </w:tcBorders>
            <w:vAlign w:val="center"/>
          </w:tcPr>
          <w:p>
            <w:pPr>
              <w:pStyle w:val="210"/>
              <w:spacing w:line="360" w:lineRule="auto"/>
              <w:jc w:val="both"/>
              <w:rPr>
                <w:kern w:val="2"/>
                <w:highlight w:val="none"/>
              </w:rPr>
            </w:pPr>
            <w:r>
              <w:rPr>
                <w:rFonts w:hint="eastAsia"/>
                <w:kern w:val="2"/>
                <w:highlight w:val="none"/>
                <w:lang w:val="zh-CN"/>
              </w:rPr>
              <w:t>投标人必须按照招标文件的规定和要求签字、盖章（法定代表人的签字可用具有法定效力的签字章）</w:t>
            </w:r>
          </w:p>
        </w:tc>
      </w:tr>
      <w:tr>
        <w:tblPrEx>
          <w:tblBorders>
            <w:top w:val="double" w:color="auto" w:sz="6" w:space="0"/>
            <w:left w:val="double" w:color="auto" w:sz="6" w:space="0"/>
            <w:bottom w:val="double" w:color="auto" w:sz="6" w:space="0"/>
            <w:right w:val="double" w:color="auto" w:sz="6" w:space="0"/>
            <w:insideH w:val="double" w:color="auto" w:sz="6" w:space="0"/>
            <w:insideV w:val="double" w:color="auto" w:sz="6" w:space="0"/>
          </w:tblBorders>
          <w:tblCellMar>
            <w:top w:w="0" w:type="dxa"/>
            <w:left w:w="108" w:type="dxa"/>
            <w:bottom w:w="0" w:type="dxa"/>
            <w:right w:w="108" w:type="dxa"/>
          </w:tblCellMar>
        </w:tblPrEx>
        <w:trPr>
          <w:trHeight w:val="957" w:hRule="atLeast"/>
        </w:trPr>
        <w:tc>
          <w:tcPr>
            <w:tcW w:w="696" w:type="dxa"/>
            <w:tcBorders>
              <w:tl2br w:val="nil"/>
              <w:tr2bl w:val="nil"/>
            </w:tcBorders>
            <w:vAlign w:val="center"/>
          </w:tcPr>
          <w:p>
            <w:pPr>
              <w:numPr>
                <w:ilvl w:val="0"/>
                <w:numId w:val="1"/>
              </w:numPr>
              <w:spacing w:line="360" w:lineRule="auto"/>
              <w:ind w:left="-70" w:leftChars="0" w:firstLine="280" w:firstLineChars="0"/>
              <w:rPr>
                <w:rFonts w:ascii="宋体" w:hAnsi="宋体" w:cs="宋体"/>
                <w:sz w:val="24"/>
                <w:highlight w:val="none"/>
              </w:rPr>
            </w:pPr>
          </w:p>
        </w:tc>
        <w:tc>
          <w:tcPr>
            <w:tcW w:w="2351" w:type="dxa"/>
            <w:tcBorders>
              <w:tl2br w:val="nil"/>
              <w:tr2bl w:val="nil"/>
            </w:tcBorders>
            <w:vAlign w:val="center"/>
          </w:tcPr>
          <w:p>
            <w:pPr>
              <w:pStyle w:val="210"/>
              <w:spacing w:line="360" w:lineRule="auto"/>
              <w:jc w:val="center"/>
              <w:rPr>
                <w:spacing w:val="10"/>
                <w:highlight w:val="none"/>
              </w:rPr>
            </w:pPr>
            <w:r>
              <w:rPr>
                <w:rFonts w:hint="eastAsia"/>
                <w:kern w:val="2"/>
                <w:highlight w:val="none"/>
                <w:lang w:val="zh-CN"/>
              </w:rPr>
              <w:t>构成招标文件的其他文件</w:t>
            </w:r>
          </w:p>
        </w:tc>
        <w:tc>
          <w:tcPr>
            <w:tcW w:w="6472" w:type="dxa"/>
            <w:tcBorders>
              <w:tl2br w:val="nil"/>
              <w:tr2bl w:val="nil"/>
            </w:tcBorders>
            <w:vAlign w:val="center"/>
          </w:tcPr>
          <w:p>
            <w:pPr>
              <w:pStyle w:val="210"/>
              <w:spacing w:line="360" w:lineRule="auto"/>
              <w:jc w:val="both"/>
              <w:rPr>
                <w:spacing w:val="10"/>
                <w:highlight w:val="none"/>
              </w:rPr>
            </w:pPr>
            <w:r>
              <w:rPr>
                <w:rFonts w:hint="eastAsia"/>
                <w:kern w:val="2"/>
                <w:highlight w:val="none"/>
              </w:rPr>
              <w:t>招标文件的澄清、修改书及有关补充通知为招标文件的有效组成部分</w:t>
            </w:r>
          </w:p>
        </w:tc>
      </w:tr>
      <w:tr>
        <w:tblPrEx>
          <w:tblBorders>
            <w:top w:val="double" w:color="auto" w:sz="6" w:space="0"/>
            <w:left w:val="double" w:color="auto" w:sz="6" w:space="0"/>
            <w:bottom w:val="double" w:color="auto" w:sz="6" w:space="0"/>
            <w:right w:val="double" w:color="auto" w:sz="6" w:space="0"/>
            <w:insideH w:val="double" w:color="auto" w:sz="6" w:space="0"/>
            <w:insideV w:val="double" w:color="auto" w:sz="6" w:space="0"/>
          </w:tblBorders>
          <w:tblCellMar>
            <w:top w:w="0" w:type="dxa"/>
            <w:left w:w="108" w:type="dxa"/>
            <w:bottom w:w="0" w:type="dxa"/>
            <w:right w:w="108" w:type="dxa"/>
          </w:tblCellMar>
        </w:tblPrEx>
        <w:trPr>
          <w:trHeight w:val="1006" w:hRule="atLeast"/>
        </w:trPr>
        <w:tc>
          <w:tcPr>
            <w:tcW w:w="696" w:type="dxa"/>
            <w:tcBorders>
              <w:tl2br w:val="nil"/>
              <w:tr2bl w:val="nil"/>
            </w:tcBorders>
            <w:vAlign w:val="center"/>
          </w:tcPr>
          <w:p>
            <w:pPr>
              <w:numPr>
                <w:ilvl w:val="0"/>
                <w:numId w:val="1"/>
              </w:numPr>
              <w:spacing w:line="360" w:lineRule="auto"/>
              <w:ind w:left="-70" w:leftChars="0" w:firstLine="280" w:firstLineChars="0"/>
              <w:rPr>
                <w:rFonts w:ascii="宋体" w:hAnsi="宋体" w:cs="宋体"/>
                <w:sz w:val="24"/>
                <w:highlight w:val="none"/>
              </w:rPr>
            </w:pPr>
          </w:p>
        </w:tc>
        <w:tc>
          <w:tcPr>
            <w:tcW w:w="2351" w:type="dxa"/>
            <w:tcBorders>
              <w:tl2br w:val="nil"/>
              <w:tr2bl w:val="nil"/>
            </w:tcBorders>
            <w:vAlign w:val="center"/>
          </w:tcPr>
          <w:p>
            <w:pPr>
              <w:spacing w:line="360" w:lineRule="auto"/>
              <w:jc w:val="center"/>
              <w:rPr>
                <w:rFonts w:ascii="宋体" w:hAnsi="宋体" w:cs="宋体"/>
                <w:sz w:val="24"/>
                <w:highlight w:val="none"/>
              </w:rPr>
            </w:pPr>
            <w:r>
              <w:rPr>
                <w:rFonts w:hint="eastAsia" w:ascii="宋体" w:hAnsi="宋体" w:cs="宋体"/>
                <w:sz w:val="24"/>
                <w:highlight w:val="none"/>
              </w:rPr>
              <w:t>投标文件及电子版要求</w:t>
            </w:r>
          </w:p>
          <w:p>
            <w:pPr>
              <w:spacing w:line="360" w:lineRule="auto"/>
              <w:ind w:firstLine="520" w:firstLineChars="200"/>
              <w:rPr>
                <w:rFonts w:ascii="宋体" w:hAnsi="宋体" w:cs="宋体"/>
                <w:spacing w:val="10"/>
                <w:sz w:val="24"/>
                <w:highlight w:val="none"/>
              </w:rPr>
            </w:pPr>
          </w:p>
        </w:tc>
        <w:tc>
          <w:tcPr>
            <w:tcW w:w="6472" w:type="dxa"/>
            <w:tcBorders>
              <w:tl2br w:val="nil"/>
              <w:tr2bl w:val="nil"/>
            </w:tcBorders>
            <w:vAlign w:val="center"/>
          </w:tcPr>
          <w:p>
            <w:pPr>
              <w:tabs>
                <w:tab w:val="left" w:pos="400"/>
              </w:tabs>
              <w:spacing w:line="360" w:lineRule="auto"/>
              <w:textAlignment w:val="baseline"/>
              <w:rPr>
                <w:rFonts w:ascii="宋体" w:hAnsi="宋体" w:cs="宋体"/>
                <w:sz w:val="24"/>
                <w:szCs w:val="32"/>
                <w:highlight w:val="none"/>
              </w:rPr>
            </w:pPr>
            <w:r>
              <w:rPr>
                <w:rFonts w:hint="eastAsia" w:ascii="宋体" w:hAnsi="宋体" w:cs="宋体"/>
                <w:sz w:val="24"/>
                <w:szCs w:val="32"/>
                <w:highlight w:val="none"/>
              </w:rPr>
              <w:t>1）纸质文件份数：正本壹份、副本壹份；单独密封递交的“开标一览表”壹份。</w:t>
            </w:r>
          </w:p>
          <w:p>
            <w:pPr>
              <w:tabs>
                <w:tab w:val="left" w:pos="400"/>
              </w:tabs>
              <w:spacing w:line="360" w:lineRule="auto"/>
              <w:textAlignment w:val="baseline"/>
              <w:rPr>
                <w:rFonts w:ascii="宋体" w:hAnsi="宋体" w:cs="宋体"/>
                <w:sz w:val="24"/>
                <w:szCs w:val="32"/>
                <w:highlight w:val="none"/>
              </w:rPr>
            </w:pPr>
            <w:r>
              <w:rPr>
                <w:rFonts w:hint="eastAsia" w:ascii="宋体" w:hAnsi="宋体" w:cs="宋体"/>
                <w:sz w:val="24"/>
                <w:szCs w:val="32"/>
                <w:highlight w:val="none"/>
              </w:rPr>
              <w:t>2）电子版文件要求：</w:t>
            </w:r>
          </w:p>
          <w:p>
            <w:pPr>
              <w:tabs>
                <w:tab w:val="left" w:pos="400"/>
              </w:tabs>
              <w:spacing w:line="360" w:lineRule="auto"/>
              <w:textAlignment w:val="baseline"/>
              <w:rPr>
                <w:rFonts w:ascii="宋体" w:hAnsi="宋体" w:cs="宋体"/>
                <w:sz w:val="24"/>
                <w:szCs w:val="32"/>
                <w:highlight w:val="none"/>
              </w:rPr>
            </w:pPr>
            <w:r>
              <w:rPr>
                <w:rFonts w:hint="eastAsia" w:ascii="宋体" w:hAnsi="宋体" w:cs="宋体"/>
                <w:sz w:val="24"/>
                <w:szCs w:val="32"/>
                <w:highlight w:val="none"/>
              </w:rPr>
              <w:t>电子版一份：U盘壹份，密封（单独提交，提交不退）；U盘为Word文件和PDF文件（PDF文件内容：逐页电子扫描制成，要与纸质版文件正本完全一致）；投标人必须按照招标文件的规定和要求签字、盖章（</w:t>
            </w:r>
            <w:r>
              <w:rPr>
                <w:rFonts w:hint="eastAsia" w:ascii="宋体" w:hAnsi="宋体" w:cs="宋体"/>
                <w:sz w:val="24"/>
                <w:szCs w:val="32"/>
                <w:highlight w:val="none"/>
                <w:lang w:eastAsia="zh-CN"/>
              </w:rPr>
              <w:t>法定代表人</w:t>
            </w:r>
            <w:r>
              <w:rPr>
                <w:rFonts w:hint="eastAsia" w:ascii="宋体" w:hAnsi="宋体" w:cs="宋体"/>
                <w:sz w:val="24"/>
                <w:szCs w:val="32"/>
                <w:highlight w:val="none"/>
              </w:rPr>
              <w:t>的签字可用具有法定效力的签字章）,未按规定签字盖章的，按无效投标处理。</w:t>
            </w:r>
          </w:p>
          <w:p>
            <w:pPr>
              <w:pStyle w:val="30"/>
              <w:numPr>
                <w:ilvl w:val="0"/>
                <w:numId w:val="3"/>
              </w:numPr>
              <w:spacing w:line="360" w:lineRule="auto"/>
              <w:ind w:left="0" w:leftChars="0"/>
              <w:rPr>
                <w:rFonts w:ascii="宋体" w:hAnsi="宋体" w:cs="宋体"/>
                <w:sz w:val="24"/>
                <w:szCs w:val="32"/>
                <w:highlight w:val="none"/>
                <w:lang w:val="zh-CN"/>
              </w:rPr>
            </w:pPr>
            <w:r>
              <w:rPr>
                <w:rFonts w:hint="eastAsia" w:ascii="宋体" w:hAnsi="宋体" w:cs="宋体"/>
                <w:sz w:val="24"/>
                <w:szCs w:val="32"/>
                <w:highlight w:val="none"/>
                <w:lang w:val="zh-CN"/>
              </w:rPr>
              <w:t>投标文件正本、副本、电子文档（</w:t>
            </w:r>
            <w:r>
              <w:rPr>
                <w:rFonts w:hint="eastAsia" w:ascii="宋体" w:hAnsi="宋体" w:cs="宋体"/>
                <w:sz w:val="24"/>
                <w:szCs w:val="32"/>
                <w:highlight w:val="none"/>
              </w:rPr>
              <w:t>U</w:t>
            </w:r>
            <w:r>
              <w:rPr>
                <w:rFonts w:hint="eastAsia" w:ascii="宋体" w:hAnsi="宋体" w:cs="宋体"/>
                <w:sz w:val="24"/>
                <w:szCs w:val="32"/>
                <w:highlight w:val="none"/>
                <w:lang w:val="zh-CN"/>
              </w:rPr>
              <w:t>盘）、开标一览表的封面上均应标明：招标项目名称、招标编号、分包号（如有分包）、采购人名称、代理机构名称、投标人名称、详细地址、年月日、此文件在</w:t>
            </w:r>
            <w:r>
              <w:rPr>
                <w:rFonts w:hint="eastAsia" w:ascii="宋体" w:hAnsi="宋体" w:cs="宋体"/>
                <w:sz w:val="24"/>
                <w:szCs w:val="32"/>
                <w:highlight w:val="none"/>
                <w:lang w:val="zh-CN"/>
              </w:rPr>
              <w:tab/>
            </w:r>
            <w:r>
              <w:rPr>
                <w:rFonts w:hint="eastAsia" w:ascii="宋体" w:hAnsi="宋体" w:cs="宋体"/>
                <w:sz w:val="24"/>
                <w:szCs w:val="32"/>
                <w:highlight w:val="none"/>
                <w:lang w:val="zh-CN"/>
              </w:rPr>
              <w:t>年月日</w:t>
            </w:r>
            <w:r>
              <w:rPr>
                <w:rFonts w:hint="eastAsia" w:ascii="宋体" w:hAnsi="宋体" w:cs="宋体"/>
                <w:sz w:val="24"/>
                <w:szCs w:val="32"/>
                <w:highlight w:val="none"/>
                <w:lang w:val="zh-CN"/>
              </w:rPr>
              <w:tab/>
            </w:r>
            <w:r>
              <w:rPr>
                <w:rFonts w:hint="eastAsia" w:ascii="宋体" w:hAnsi="宋体" w:cs="宋体"/>
                <w:sz w:val="24"/>
                <w:szCs w:val="32"/>
                <w:highlight w:val="none"/>
                <w:lang w:val="zh-CN"/>
              </w:rPr>
              <w:t>时</w:t>
            </w:r>
            <w:r>
              <w:rPr>
                <w:rFonts w:hint="eastAsia" w:ascii="宋体" w:hAnsi="宋体" w:cs="宋体"/>
                <w:sz w:val="24"/>
                <w:szCs w:val="32"/>
                <w:highlight w:val="none"/>
                <w:lang w:val="zh-CN"/>
              </w:rPr>
              <w:tab/>
            </w:r>
            <w:r>
              <w:rPr>
                <w:rFonts w:hint="eastAsia" w:ascii="宋体" w:hAnsi="宋体" w:cs="宋体"/>
                <w:sz w:val="24"/>
                <w:szCs w:val="32"/>
                <w:highlight w:val="none"/>
                <w:lang w:val="zh-CN"/>
              </w:rPr>
              <w:t>分前不得开启；；并分别在右上角标明“正本”、“副本”、“电子文档（</w:t>
            </w:r>
            <w:r>
              <w:rPr>
                <w:rFonts w:hint="eastAsia" w:ascii="宋体" w:hAnsi="宋体" w:cs="宋体"/>
                <w:sz w:val="24"/>
                <w:szCs w:val="32"/>
                <w:highlight w:val="none"/>
              </w:rPr>
              <w:t>U</w:t>
            </w:r>
            <w:r>
              <w:rPr>
                <w:rFonts w:hint="eastAsia" w:ascii="宋体" w:hAnsi="宋体" w:cs="宋体"/>
                <w:sz w:val="24"/>
                <w:szCs w:val="32"/>
                <w:highlight w:val="none"/>
                <w:lang w:val="zh-CN"/>
              </w:rPr>
              <w:t>盘）”“开标一览表”字样。</w:t>
            </w:r>
          </w:p>
          <w:p>
            <w:pPr>
              <w:numPr>
                <w:ilvl w:val="0"/>
                <w:numId w:val="3"/>
              </w:numPr>
              <w:spacing w:line="360" w:lineRule="auto"/>
              <w:rPr>
                <w:highlight w:val="none"/>
              </w:rPr>
            </w:pPr>
            <w:r>
              <w:rPr>
                <w:rFonts w:hint="eastAsia" w:ascii="宋体" w:hAnsi="宋体" w:cs="宋体"/>
                <w:sz w:val="24"/>
                <w:szCs w:val="32"/>
                <w:highlight w:val="none"/>
              </w:rPr>
              <w:t>如投标多个包的，要求按包分别独立制作投标文件。</w:t>
            </w:r>
          </w:p>
        </w:tc>
      </w:tr>
      <w:tr>
        <w:tblPrEx>
          <w:tblBorders>
            <w:top w:val="double" w:color="auto" w:sz="6" w:space="0"/>
            <w:left w:val="double" w:color="auto" w:sz="6" w:space="0"/>
            <w:bottom w:val="double" w:color="auto" w:sz="6" w:space="0"/>
            <w:right w:val="double" w:color="auto" w:sz="6" w:space="0"/>
            <w:insideH w:val="double" w:color="auto" w:sz="6" w:space="0"/>
            <w:insideV w:val="double" w:color="auto" w:sz="6" w:space="0"/>
          </w:tblBorders>
          <w:tblCellMar>
            <w:top w:w="0" w:type="dxa"/>
            <w:left w:w="108" w:type="dxa"/>
            <w:bottom w:w="0" w:type="dxa"/>
            <w:right w:w="108" w:type="dxa"/>
          </w:tblCellMar>
        </w:tblPrEx>
        <w:trPr>
          <w:trHeight w:val="2743" w:hRule="atLeast"/>
        </w:trPr>
        <w:tc>
          <w:tcPr>
            <w:tcW w:w="696" w:type="dxa"/>
            <w:tcBorders>
              <w:tl2br w:val="nil"/>
              <w:tr2bl w:val="nil"/>
            </w:tcBorders>
            <w:vAlign w:val="center"/>
          </w:tcPr>
          <w:p>
            <w:pPr>
              <w:numPr>
                <w:ilvl w:val="0"/>
                <w:numId w:val="1"/>
              </w:numPr>
              <w:spacing w:line="360" w:lineRule="auto"/>
              <w:ind w:left="-70" w:leftChars="0" w:firstLine="280" w:firstLineChars="0"/>
              <w:rPr>
                <w:rFonts w:ascii="宋体" w:hAnsi="宋体" w:cs="宋体"/>
                <w:sz w:val="24"/>
                <w:highlight w:val="none"/>
              </w:rPr>
            </w:pPr>
          </w:p>
        </w:tc>
        <w:tc>
          <w:tcPr>
            <w:tcW w:w="2351" w:type="dxa"/>
            <w:tcBorders>
              <w:tl2br w:val="nil"/>
              <w:tr2bl w:val="nil"/>
            </w:tcBorders>
            <w:vAlign w:val="center"/>
          </w:tcPr>
          <w:p>
            <w:pPr>
              <w:spacing w:line="360" w:lineRule="auto"/>
              <w:jc w:val="center"/>
              <w:rPr>
                <w:rFonts w:ascii="宋体" w:hAnsi="宋体" w:cs="宋体"/>
                <w:color w:val="auto"/>
                <w:spacing w:val="10"/>
                <w:sz w:val="24"/>
                <w:highlight w:val="none"/>
              </w:rPr>
            </w:pPr>
            <w:r>
              <w:rPr>
                <w:rFonts w:hint="eastAsia" w:ascii="宋体" w:hAnsi="宋体" w:cs="宋体"/>
                <w:color w:val="auto"/>
                <w:spacing w:val="10"/>
                <w:sz w:val="24"/>
                <w:highlight w:val="none"/>
              </w:rPr>
              <w:t>投标文件递交截止日期及地点</w:t>
            </w:r>
          </w:p>
        </w:tc>
        <w:tc>
          <w:tcPr>
            <w:tcW w:w="6472" w:type="dxa"/>
            <w:tcBorders>
              <w:tl2br w:val="nil"/>
              <w:tr2bl w:val="nil"/>
            </w:tcBorders>
            <w:vAlign w:val="center"/>
          </w:tcPr>
          <w:p>
            <w:pPr>
              <w:pStyle w:val="30"/>
              <w:spacing w:line="360" w:lineRule="auto"/>
              <w:ind w:left="0" w:leftChars="0"/>
              <w:rPr>
                <w:rFonts w:hint="eastAsia" w:ascii="宋体" w:hAnsi="宋体" w:cs="宋体"/>
                <w:color w:val="auto"/>
                <w:sz w:val="24"/>
                <w:highlight w:val="none"/>
              </w:rPr>
            </w:pPr>
            <w:r>
              <w:rPr>
                <w:rFonts w:hint="eastAsia" w:ascii="宋体" w:hAnsi="宋体" w:cs="宋体"/>
                <w:color w:val="auto"/>
                <w:sz w:val="24"/>
                <w:highlight w:val="none"/>
              </w:rPr>
              <w:t>1</w:t>
            </w:r>
            <w:r>
              <w:rPr>
                <w:rFonts w:hint="eastAsia" w:ascii="宋体" w:hAnsi="宋体" w:cs="宋体"/>
                <w:color w:val="auto"/>
                <w:sz w:val="24"/>
                <w:highlight w:val="none"/>
                <w:lang w:eastAsia="zh-CN"/>
              </w:rPr>
              <w:t>投标</w:t>
            </w:r>
            <w:r>
              <w:rPr>
                <w:rFonts w:hint="eastAsia" w:ascii="宋体" w:hAnsi="宋体" w:cs="宋体"/>
                <w:color w:val="auto"/>
                <w:sz w:val="24"/>
                <w:highlight w:val="none"/>
              </w:rPr>
              <w:t>响应文件递交截止日期：</w:t>
            </w:r>
            <w:r>
              <w:rPr>
                <w:rFonts w:hint="eastAsia" w:ascii="宋体" w:hAnsi="宋体" w:cs="宋体"/>
                <w:color w:val="auto"/>
                <w:sz w:val="24"/>
                <w:highlight w:val="none"/>
                <w:lang w:eastAsia="zh-CN"/>
              </w:rPr>
              <w:t>2023年</w:t>
            </w:r>
            <w:r>
              <w:rPr>
                <w:rFonts w:hint="eastAsia" w:ascii="宋体" w:hAnsi="宋体" w:cs="宋体"/>
                <w:color w:val="auto"/>
                <w:sz w:val="24"/>
                <w:highlight w:val="none"/>
                <w:lang w:val="en-US" w:eastAsia="zh-CN"/>
              </w:rPr>
              <w:t>5</w:t>
            </w:r>
            <w:r>
              <w:rPr>
                <w:rFonts w:hint="eastAsia" w:ascii="宋体" w:hAnsi="宋体" w:cs="宋体"/>
                <w:color w:val="auto"/>
                <w:sz w:val="24"/>
                <w:highlight w:val="none"/>
                <w:lang w:eastAsia="zh-CN"/>
              </w:rPr>
              <w:t>月</w:t>
            </w:r>
            <w:r>
              <w:rPr>
                <w:rFonts w:hint="eastAsia" w:ascii="宋体" w:hAnsi="宋体" w:cs="宋体"/>
                <w:color w:val="auto"/>
                <w:sz w:val="24"/>
                <w:highlight w:val="none"/>
                <w:lang w:val="en-US" w:eastAsia="zh-CN"/>
              </w:rPr>
              <w:t>9</w:t>
            </w:r>
            <w:r>
              <w:rPr>
                <w:rFonts w:hint="eastAsia" w:ascii="宋体" w:hAnsi="宋体" w:cs="宋体"/>
                <w:color w:val="auto"/>
                <w:sz w:val="24"/>
                <w:highlight w:val="none"/>
                <w:lang w:eastAsia="zh-CN"/>
              </w:rPr>
              <w:t>日下午15:00分</w:t>
            </w:r>
            <w:r>
              <w:rPr>
                <w:rFonts w:hint="eastAsia" w:ascii="宋体" w:hAnsi="宋体" w:cs="宋体"/>
                <w:color w:val="auto"/>
                <w:sz w:val="24"/>
                <w:highlight w:val="none"/>
              </w:rPr>
              <w:t>（北京时间）</w:t>
            </w:r>
          </w:p>
          <w:p>
            <w:pPr>
              <w:pStyle w:val="30"/>
              <w:spacing w:line="360" w:lineRule="auto"/>
              <w:ind w:left="0" w:leftChars="0"/>
              <w:rPr>
                <w:rFonts w:hint="eastAsia" w:ascii="宋体" w:hAnsi="宋体" w:cs="宋体"/>
                <w:color w:val="auto"/>
                <w:sz w:val="24"/>
                <w:highlight w:val="none"/>
              </w:rPr>
            </w:pPr>
            <w:r>
              <w:rPr>
                <w:rFonts w:hint="eastAsia" w:ascii="宋体" w:hAnsi="宋体" w:cs="宋体"/>
                <w:color w:val="auto"/>
                <w:sz w:val="24"/>
                <w:highlight w:val="none"/>
              </w:rPr>
              <w:t>2）</w:t>
            </w:r>
            <w:r>
              <w:rPr>
                <w:rFonts w:hint="eastAsia" w:ascii="宋体" w:hAnsi="宋体" w:cs="宋体"/>
                <w:color w:val="auto"/>
                <w:sz w:val="24"/>
                <w:highlight w:val="none"/>
                <w:lang w:val="en-US" w:eastAsia="zh-CN"/>
              </w:rPr>
              <w:t>投标</w:t>
            </w:r>
            <w:r>
              <w:rPr>
                <w:rFonts w:hint="eastAsia" w:ascii="宋体" w:hAnsi="宋体" w:cs="宋体"/>
                <w:color w:val="auto"/>
                <w:sz w:val="24"/>
                <w:highlight w:val="none"/>
              </w:rPr>
              <w:t>文件递交地点：</w:t>
            </w:r>
            <w:r>
              <w:rPr>
                <w:rFonts w:hint="eastAsia" w:ascii="宋体" w:hAnsi="宋体" w:cs="宋体"/>
                <w:color w:val="auto"/>
                <w:sz w:val="24"/>
                <w:highlight w:val="none"/>
                <w:lang w:val="en-US" w:eastAsia="zh-CN"/>
              </w:rPr>
              <w:t>甘肃省第二人民医院制剂楼3楼</w:t>
            </w:r>
            <w:r>
              <w:rPr>
                <w:rFonts w:hint="eastAsia" w:ascii="宋体" w:hAnsi="宋体" w:cs="宋体"/>
                <w:color w:val="auto"/>
                <w:sz w:val="24"/>
                <w:highlight w:val="none"/>
              </w:rPr>
              <w:t>。</w:t>
            </w:r>
          </w:p>
          <w:p>
            <w:pPr>
              <w:pStyle w:val="30"/>
              <w:spacing w:line="360" w:lineRule="auto"/>
              <w:ind w:left="0" w:leftChars="0"/>
              <w:rPr>
                <w:color w:val="auto"/>
                <w:highlight w:val="none"/>
              </w:rPr>
            </w:pPr>
            <w:r>
              <w:rPr>
                <w:rFonts w:hint="eastAsia" w:ascii="宋体" w:hAnsi="宋体" w:cs="宋体"/>
                <w:color w:val="auto"/>
                <w:sz w:val="24"/>
                <w:highlight w:val="none"/>
              </w:rPr>
              <w:t>3）对迟于该时间递交的</w:t>
            </w:r>
            <w:r>
              <w:rPr>
                <w:rFonts w:hint="eastAsia" w:ascii="宋体" w:hAnsi="宋体" w:cs="宋体"/>
                <w:color w:val="auto"/>
                <w:sz w:val="24"/>
                <w:highlight w:val="none"/>
                <w:lang w:val="en-US" w:eastAsia="zh-CN"/>
              </w:rPr>
              <w:t>投标</w:t>
            </w:r>
            <w:r>
              <w:rPr>
                <w:rFonts w:hint="eastAsia" w:ascii="宋体" w:hAnsi="宋体" w:cs="宋体"/>
                <w:color w:val="auto"/>
                <w:sz w:val="24"/>
                <w:highlight w:val="none"/>
              </w:rPr>
              <w:t>文件将不予接收，本次招标不接受邮寄的投标文件。</w:t>
            </w:r>
          </w:p>
        </w:tc>
      </w:tr>
      <w:tr>
        <w:tblPrEx>
          <w:tblBorders>
            <w:top w:val="double" w:color="auto" w:sz="6" w:space="0"/>
            <w:left w:val="double" w:color="auto" w:sz="6" w:space="0"/>
            <w:bottom w:val="double" w:color="auto" w:sz="6" w:space="0"/>
            <w:right w:val="double" w:color="auto" w:sz="6" w:space="0"/>
            <w:insideH w:val="double" w:color="auto" w:sz="6" w:space="0"/>
            <w:insideV w:val="double" w:color="auto" w:sz="6" w:space="0"/>
          </w:tblBorders>
          <w:tblCellMar>
            <w:top w:w="0" w:type="dxa"/>
            <w:left w:w="108" w:type="dxa"/>
            <w:bottom w:w="0" w:type="dxa"/>
            <w:right w:w="108" w:type="dxa"/>
          </w:tblCellMar>
        </w:tblPrEx>
        <w:trPr>
          <w:trHeight w:val="1577" w:hRule="atLeast"/>
        </w:trPr>
        <w:tc>
          <w:tcPr>
            <w:tcW w:w="696" w:type="dxa"/>
            <w:tcBorders>
              <w:tl2br w:val="nil"/>
              <w:tr2bl w:val="nil"/>
            </w:tcBorders>
            <w:vAlign w:val="center"/>
          </w:tcPr>
          <w:p>
            <w:pPr>
              <w:numPr>
                <w:ilvl w:val="0"/>
                <w:numId w:val="1"/>
              </w:numPr>
              <w:spacing w:line="360" w:lineRule="auto"/>
              <w:ind w:left="-70" w:leftChars="0" w:firstLine="280" w:firstLineChars="0"/>
              <w:rPr>
                <w:rFonts w:ascii="宋体" w:hAnsi="宋体" w:cs="宋体"/>
                <w:sz w:val="24"/>
                <w:highlight w:val="none"/>
              </w:rPr>
            </w:pPr>
          </w:p>
        </w:tc>
        <w:tc>
          <w:tcPr>
            <w:tcW w:w="2351" w:type="dxa"/>
            <w:tcBorders>
              <w:tl2br w:val="nil"/>
              <w:tr2bl w:val="nil"/>
            </w:tcBorders>
            <w:vAlign w:val="center"/>
          </w:tcPr>
          <w:p>
            <w:pPr>
              <w:spacing w:line="360" w:lineRule="auto"/>
              <w:jc w:val="center"/>
              <w:rPr>
                <w:rFonts w:ascii="宋体" w:hAnsi="宋体" w:cs="宋体"/>
                <w:color w:val="auto"/>
                <w:spacing w:val="10"/>
                <w:sz w:val="24"/>
                <w:highlight w:val="none"/>
              </w:rPr>
            </w:pPr>
            <w:r>
              <w:rPr>
                <w:rFonts w:hint="eastAsia" w:ascii="宋体" w:hAnsi="宋体" w:cs="宋体"/>
                <w:color w:val="auto"/>
                <w:spacing w:val="10"/>
                <w:sz w:val="24"/>
                <w:highlight w:val="none"/>
              </w:rPr>
              <w:t>开标时间及开标地点</w:t>
            </w:r>
          </w:p>
        </w:tc>
        <w:tc>
          <w:tcPr>
            <w:tcW w:w="6472" w:type="dxa"/>
            <w:tcBorders>
              <w:tl2br w:val="nil"/>
              <w:tr2bl w:val="nil"/>
            </w:tcBorders>
            <w:vAlign w:val="center"/>
          </w:tcPr>
          <w:p>
            <w:pPr>
              <w:spacing w:line="360" w:lineRule="auto"/>
              <w:rPr>
                <w:rFonts w:hint="eastAsia" w:ascii="宋体" w:hAnsi="宋体" w:cs="宋体"/>
                <w:color w:val="auto"/>
                <w:sz w:val="24"/>
                <w:highlight w:val="none"/>
              </w:rPr>
            </w:pPr>
            <w:r>
              <w:rPr>
                <w:rFonts w:hint="eastAsia" w:ascii="宋体" w:hAnsi="宋体" w:cs="宋体"/>
                <w:color w:val="auto"/>
                <w:sz w:val="24"/>
                <w:highlight w:val="none"/>
              </w:rPr>
              <w:t>1）</w:t>
            </w:r>
            <w:r>
              <w:rPr>
                <w:rFonts w:hint="eastAsia" w:ascii="宋体" w:hAnsi="宋体" w:cs="宋体"/>
                <w:color w:val="auto"/>
                <w:sz w:val="24"/>
                <w:highlight w:val="none"/>
                <w:lang w:eastAsia="zh-CN"/>
              </w:rPr>
              <w:t>投标</w:t>
            </w:r>
            <w:r>
              <w:rPr>
                <w:rFonts w:hint="eastAsia" w:ascii="宋体" w:hAnsi="宋体" w:cs="宋体"/>
                <w:color w:val="auto"/>
                <w:sz w:val="24"/>
                <w:highlight w:val="none"/>
              </w:rPr>
              <w:t>时间：</w:t>
            </w:r>
            <w:r>
              <w:rPr>
                <w:rFonts w:hint="eastAsia" w:ascii="宋体" w:hAnsi="宋体" w:cs="宋体"/>
                <w:color w:val="auto"/>
                <w:sz w:val="24"/>
                <w:highlight w:val="none"/>
                <w:lang w:eastAsia="zh-CN"/>
              </w:rPr>
              <w:t>2023年</w:t>
            </w:r>
            <w:r>
              <w:rPr>
                <w:rFonts w:hint="eastAsia" w:ascii="宋体" w:hAnsi="宋体" w:cs="宋体"/>
                <w:color w:val="auto"/>
                <w:sz w:val="24"/>
                <w:highlight w:val="none"/>
                <w:lang w:val="en-US" w:eastAsia="zh-CN"/>
              </w:rPr>
              <w:t>5</w:t>
            </w:r>
            <w:r>
              <w:rPr>
                <w:rFonts w:hint="eastAsia" w:ascii="宋体" w:hAnsi="宋体" w:cs="宋体"/>
                <w:color w:val="auto"/>
                <w:sz w:val="24"/>
                <w:highlight w:val="none"/>
                <w:lang w:eastAsia="zh-CN"/>
              </w:rPr>
              <w:t>月</w:t>
            </w:r>
            <w:r>
              <w:rPr>
                <w:rFonts w:hint="eastAsia" w:ascii="宋体" w:hAnsi="宋体" w:cs="宋体"/>
                <w:color w:val="auto"/>
                <w:sz w:val="24"/>
                <w:highlight w:val="none"/>
                <w:lang w:val="en-US" w:eastAsia="zh-CN"/>
              </w:rPr>
              <w:t>9</w:t>
            </w:r>
            <w:r>
              <w:rPr>
                <w:rFonts w:hint="eastAsia" w:ascii="宋体" w:hAnsi="宋体" w:cs="宋体"/>
                <w:color w:val="auto"/>
                <w:sz w:val="24"/>
                <w:highlight w:val="none"/>
                <w:lang w:eastAsia="zh-CN"/>
              </w:rPr>
              <w:t>日下午15:00分</w:t>
            </w:r>
            <w:r>
              <w:rPr>
                <w:rFonts w:hint="eastAsia" w:ascii="宋体" w:hAnsi="宋体" w:cs="宋体"/>
                <w:color w:val="auto"/>
                <w:sz w:val="24"/>
                <w:highlight w:val="none"/>
              </w:rPr>
              <w:t>（北京时间）</w:t>
            </w:r>
          </w:p>
          <w:p>
            <w:pPr>
              <w:spacing w:line="360" w:lineRule="auto"/>
              <w:rPr>
                <w:rFonts w:ascii="宋体" w:hAnsi="宋体" w:cs="宋体"/>
                <w:color w:val="auto"/>
                <w:highlight w:val="none"/>
              </w:rPr>
            </w:pPr>
            <w:r>
              <w:rPr>
                <w:rFonts w:hint="eastAsia" w:ascii="宋体" w:hAnsi="宋体" w:cs="宋体"/>
                <w:color w:val="auto"/>
                <w:sz w:val="24"/>
                <w:highlight w:val="none"/>
              </w:rPr>
              <w:t>2）</w:t>
            </w:r>
            <w:r>
              <w:rPr>
                <w:rFonts w:hint="eastAsia" w:ascii="宋体" w:hAnsi="宋体" w:cs="宋体"/>
                <w:color w:val="auto"/>
                <w:sz w:val="24"/>
                <w:highlight w:val="none"/>
                <w:lang w:eastAsia="zh-CN"/>
              </w:rPr>
              <w:t>投标</w:t>
            </w:r>
            <w:r>
              <w:rPr>
                <w:rFonts w:hint="eastAsia" w:ascii="宋体" w:hAnsi="宋体" w:cs="宋体"/>
                <w:color w:val="auto"/>
                <w:sz w:val="24"/>
                <w:highlight w:val="none"/>
              </w:rPr>
              <w:t>地点：</w:t>
            </w:r>
            <w:r>
              <w:rPr>
                <w:rFonts w:hint="eastAsia" w:ascii="宋体" w:hAnsi="宋体" w:cs="宋体"/>
                <w:color w:val="auto"/>
                <w:sz w:val="24"/>
                <w:highlight w:val="none"/>
                <w:lang w:val="en-US" w:eastAsia="zh-CN"/>
              </w:rPr>
              <w:t>甘肃省第二人民医院制剂楼3楼</w:t>
            </w:r>
            <w:r>
              <w:rPr>
                <w:rFonts w:hint="eastAsia" w:ascii="宋体" w:hAnsi="宋体" w:cs="宋体"/>
                <w:color w:val="auto"/>
                <w:sz w:val="24"/>
                <w:highlight w:val="none"/>
              </w:rPr>
              <w:t>。</w:t>
            </w:r>
          </w:p>
        </w:tc>
      </w:tr>
      <w:tr>
        <w:tblPrEx>
          <w:tblBorders>
            <w:top w:val="double" w:color="auto" w:sz="6" w:space="0"/>
            <w:left w:val="double" w:color="auto" w:sz="6" w:space="0"/>
            <w:bottom w:val="double" w:color="auto" w:sz="6" w:space="0"/>
            <w:right w:val="double" w:color="auto" w:sz="6" w:space="0"/>
            <w:insideH w:val="double" w:color="auto" w:sz="6" w:space="0"/>
            <w:insideV w:val="double" w:color="auto" w:sz="6" w:space="0"/>
          </w:tblBorders>
          <w:tblCellMar>
            <w:top w:w="0" w:type="dxa"/>
            <w:left w:w="108" w:type="dxa"/>
            <w:bottom w:w="0" w:type="dxa"/>
            <w:right w:w="108" w:type="dxa"/>
          </w:tblCellMar>
        </w:tblPrEx>
        <w:trPr>
          <w:trHeight w:val="1413" w:hRule="atLeast"/>
        </w:trPr>
        <w:tc>
          <w:tcPr>
            <w:tcW w:w="696" w:type="dxa"/>
            <w:tcBorders>
              <w:tl2br w:val="nil"/>
              <w:tr2bl w:val="nil"/>
            </w:tcBorders>
            <w:vAlign w:val="center"/>
          </w:tcPr>
          <w:p>
            <w:pPr>
              <w:numPr>
                <w:ilvl w:val="0"/>
                <w:numId w:val="1"/>
              </w:numPr>
              <w:spacing w:line="360" w:lineRule="auto"/>
              <w:ind w:left="-70" w:leftChars="0" w:firstLine="280" w:firstLineChars="0"/>
              <w:rPr>
                <w:rFonts w:ascii="宋体" w:hAnsi="宋体" w:cs="宋体"/>
                <w:sz w:val="24"/>
                <w:highlight w:val="none"/>
              </w:rPr>
            </w:pPr>
          </w:p>
        </w:tc>
        <w:tc>
          <w:tcPr>
            <w:tcW w:w="2351" w:type="dxa"/>
            <w:tcBorders>
              <w:tl2br w:val="nil"/>
              <w:tr2bl w:val="nil"/>
            </w:tcBorders>
            <w:vAlign w:val="center"/>
          </w:tcPr>
          <w:p>
            <w:pPr>
              <w:spacing w:line="360" w:lineRule="auto"/>
              <w:jc w:val="center"/>
              <w:rPr>
                <w:rFonts w:ascii="宋体" w:hAnsi="宋体" w:cs="宋体"/>
                <w:sz w:val="24"/>
                <w:highlight w:val="none"/>
                <w:lang w:val="zh-CN"/>
              </w:rPr>
            </w:pPr>
            <w:r>
              <w:rPr>
                <w:rFonts w:hint="eastAsia" w:ascii="宋体" w:hAnsi="宋体" w:cs="宋体"/>
                <w:sz w:val="24"/>
                <w:highlight w:val="none"/>
                <w:lang w:val="zh-CN"/>
              </w:rPr>
              <w:t>资格审查</w:t>
            </w:r>
          </w:p>
        </w:tc>
        <w:tc>
          <w:tcPr>
            <w:tcW w:w="6472" w:type="dxa"/>
            <w:tcBorders>
              <w:tl2br w:val="nil"/>
              <w:tr2bl w:val="nil"/>
            </w:tcBorders>
            <w:vAlign w:val="center"/>
          </w:tcPr>
          <w:p>
            <w:pPr>
              <w:spacing w:line="360" w:lineRule="auto"/>
              <w:rPr>
                <w:rFonts w:ascii="宋体" w:hAnsi="宋体" w:cs="宋体"/>
                <w:sz w:val="24"/>
                <w:highlight w:val="none"/>
                <w:lang w:val="zh-CN"/>
              </w:rPr>
            </w:pPr>
            <w:r>
              <w:rPr>
                <w:rFonts w:hint="eastAsia" w:ascii="宋体" w:hAnsi="宋体" w:cs="宋体"/>
                <w:sz w:val="24"/>
                <w:highlight w:val="none"/>
                <w:lang w:val="zh-CN"/>
              </w:rPr>
              <w:t>开标后，采购人应当依法对投标人的资格进行审查。资格审查合格的投标人不足3家的，不得评标。若提供的资格证明文件不全或不实，将导致其投标无效。</w:t>
            </w:r>
          </w:p>
        </w:tc>
      </w:tr>
      <w:tr>
        <w:tblPrEx>
          <w:tblBorders>
            <w:top w:val="double" w:color="auto" w:sz="6" w:space="0"/>
            <w:left w:val="double" w:color="auto" w:sz="6" w:space="0"/>
            <w:bottom w:val="double" w:color="auto" w:sz="6" w:space="0"/>
            <w:right w:val="double" w:color="auto" w:sz="6" w:space="0"/>
            <w:insideH w:val="double" w:color="auto" w:sz="6" w:space="0"/>
            <w:insideV w:val="double" w:color="auto" w:sz="6" w:space="0"/>
          </w:tblBorders>
          <w:tblCellMar>
            <w:top w:w="0" w:type="dxa"/>
            <w:left w:w="108" w:type="dxa"/>
            <w:bottom w:w="0" w:type="dxa"/>
            <w:right w:w="108" w:type="dxa"/>
          </w:tblCellMar>
        </w:tblPrEx>
        <w:trPr>
          <w:trHeight w:val="957" w:hRule="atLeast"/>
        </w:trPr>
        <w:tc>
          <w:tcPr>
            <w:tcW w:w="696" w:type="dxa"/>
            <w:tcBorders>
              <w:tl2br w:val="nil"/>
              <w:tr2bl w:val="nil"/>
            </w:tcBorders>
            <w:vAlign w:val="center"/>
          </w:tcPr>
          <w:p>
            <w:pPr>
              <w:numPr>
                <w:ilvl w:val="0"/>
                <w:numId w:val="1"/>
              </w:numPr>
              <w:spacing w:line="360" w:lineRule="auto"/>
              <w:ind w:left="-70" w:leftChars="0" w:firstLine="280" w:firstLineChars="0"/>
              <w:rPr>
                <w:rFonts w:ascii="宋体" w:hAnsi="宋体" w:cs="宋体"/>
                <w:sz w:val="24"/>
                <w:highlight w:val="none"/>
              </w:rPr>
            </w:pPr>
          </w:p>
        </w:tc>
        <w:tc>
          <w:tcPr>
            <w:tcW w:w="2351" w:type="dxa"/>
            <w:tcBorders>
              <w:tl2br w:val="nil"/>
              <w:tr2bl w:val="nil"/>
            </w:tcBorders>
            <w:vAlign w:val="center"/>
          </w:tcPr>
          <w:p>
            <w:pPr>
              <w:spacing w:line="360" w:lineRule="auto"/>
              <w:jc w:val="center"/>
              <w:rPr>
                <w:rFonts w:ascii="宋体" w:hAnsi="宋体" w:cs="宋体"/>
                <w:sz w:val="24"/>
                <w:highlight w:val="none"/>
              </w:rPr>
            </w:pPr>
            <w:r>
              <w:rPr>
                <w:rFonts w:hint="eastAsia" w:ascii="宋体" w:hAnsi="宋体" w:cs="宋体"/>
                <w:color w:val="000000"/>
                <w:sz w:val="24"/>
                <w:highlight w:val="none"/>
                <w:lang w:val="zh-CN"/>
              </w:rPr>
              <w:t>分公司投标</w:t>
            </w:r>
          </w:p>
        </w:tc>
        <w:tc>
          <w:tcPr>
            <w:tcW w:w="6472" w:type="dxa"/>
            <w:tcBorders>
              <w:tl2br w:val="nil"/>
              <w:tr2bl w:val="nil"/>
            </w:tcBorders>
          </w:tcPr>
          <w:p>
            <w:pPr>
              <w:spacing w:line="360" w:lineRule="auto"/>
              <w:rPr>
                <w:rFonts w:ascii="宋体" w:hAnsi="宋体" w:cs="宋体"/>
                <w:color w:val="000000" w:themeColor="text1"/>
                <w:spacing w:val="10"/>
                <w:sz w:val="24"/>
                <w:highlight w:val="none"/>
              </w:rPr>
            </w:pPr>
            <w:r>
              <w:rPr>
                <w:rFonts w:hint="eastAsia" w:ascii="宋体" w:hAnsi="宋体" w:cs="宋体"/>
                <w:color w:val="000000"/>
                <w:sz w:val="24"/>
                <w:highlight w:val="none"/>
                <w:lang w:val="zh-CN"/>
              </w:rPr>
              <w:t>除银行、保险、石油化工、电力电信等特殊行业外，本项目不接受非独立法人单位分公司的投标。</w:t>
            </w:r>
          </w:p>
        </w:tc>
      </w:tr>
      <w:tr>
        <w:tblPrEx>
          <w:tblBorders>
            <w:top w:val="double" w:color="auto" w:sz="6" w:space="0"/>
            <w:left w:val="double" w:color="auto" w:sz="6" w:space="0"/>
            <w:bottom w:val="double" w:color="auto" w:sz="6" w:space="0"/>
            <w:right w:val="double" w:color="auto" w:sz="6" w:space="0"/>
            <w:insideH w:val="double" w:color="auto" w:sz="6" w:space="0"/>
            <w:insideV w:val="double" w:color="auto" w:sz="6" w:space="0"/>
          </w:tblBorders>
          <w:tblCellMar>
            <w:top w:w="0" w:type="dxa"/>
            <w:left w:w="108" w:type="dxa"/>
            <w:bottom w:w="0" w:type="dxa"/>
            <w:right w:w="108" w:type="dxa"/>
          </w:tblCellMar>
        </w:tblPrEx>
        <w:trPr>
          <w:trHeight w:val="5525" w:hRule="atLeast"/>
        </w:trPr>
        <w:tc>
          <w:tcPr>
            <w:tcW w:w="696" w:type="dxa"/>
            <w:tcBorders>
              <w:tl2br w:val="nil"/>
              <w:tr2bl w:val="nil"/>
            </w:tcBorders>
            <w:vAlign w:val="center"/>
          </w:tcPr>
          <w:p>
            <w:pPr>
              <w:numPr>
                <w:ilvl w:val="0"/>
                <w:numId w:val="1"/>
              </w:numPr>
              <w:spacing w:line="360" w:lineRule="auto"/>
              <w:ind w:left="-70" w:leftChars="0" w:firstLine="280" w:firstLineChars="0"/>
              <w:rPr>
                <w:rFonts w:ascii="宋体" w:hAnsi="宋体" w:cs="宋体"/>
                <w:sz w:val="24"/>
                <w:highlight w:val="none"/>
              </w:rPr>
            </w:pPr>
          </w:p>
        </w:tc>
        <w:tc>
          <w:tcPr>
            <w:tcW w:w="2351" w:type="dxa"/>
            <w:tcBorders>
              <w:tl2br w:val="nil"/>
              <w:tr2bl w:val="nil"/>
            </w:tcBorders>
            <w:vAlign w:val="center"/>
          </w:tcPr>
          <w:p>
            <w:pPr>
              <w:spacing w:line="360" w:lineRule="auto"/>
              <w:jc w:val="center"/>
              <w:rPr>
                <w:rFonts w:ascii="宋体" w:hAnsi="宋体" w:cs="宋体"/>
                <w:sz w:val="24"/>
                <w:highlight w:val="none"/>
              </w:rPr>
            </w:pPr>
            <w:r>
              <w:rPr>
                <w:rFonts w:hint="eastAsia" w:ascii="宋体" w:hAnsi="宋体" w:cs="宋体"/>
                <w:color w:val="000000"/>
                <w:sz w:val="24"/>
                <w:highlight w:val="none"/>
                <w:lang w:val="zh-CN"/>
              </w:rPr>
              <w:t>相同品牌或任一核心产品为同一品牌投标人家数确定原则</w:t>
            </w:r>
          </w:p>
        </w:tc>
        <w:tc>
          <w:tcPr>
            <w:tcW w:w="6472" w:type="dxa"/>
            <w:tcBorders>
              <w:tl2br w:val="nil"/>
              <w:tr2bl w:val="nil"/>
            </w:tcBorders>
          </w:tcPr>
          <w:p>
            <w:pPr>
              <w:spacing w:line="360" w:lineRule="auto"/>
              <w:rPr>
                <w:rFonts w:ascii="宋体" w:hAnsi="宋体" w:cs="宋体"/>
                <w:color w:val="000000"/>
                <w:sz w:val="24"/>
                <w:highlight w:val="none"/>
                <w:lang w:val="zh-CN"/>
              </w:rPr>
            </w:pPr>
            <w:r>
              <w:rPr>
                <w:rFonts w:hint="eastAsia" w:ascii="宋体" w:hAnsi="宋体" w:cs="宋体"/>
                <w:color w:val="000000"/>
                <w:sz w:val="24"/>
                <w:highlight w:val="none"/>
                <w:lang w:val="zh-CN"/>
              </w:rPr>
              <w:t>□采用最低评标价法的采购项目，提供相同品牌产品的不同投标人参加同一合同项下投标的，以其中通过资格审查、符合性审查且报价最低的参加评标；报价相同的，由采购人自行选取一个投标人参加评标，其他投标无效。</w:t>
            </w:r>
          </w:p>
          <w:p>
            <w:pPr>
              <w:spacing w:line="360" w:lineRule="auto"/>
              <w:rPr>
                <w:rFonts w:ascii="宋体" w:hAnsi="宋体" w:cs="宋体"/>
                <w:color w:val="000000"/>
                <w:sz w:val="24"/>
                <w:highlight w:val="none"/>
                <w:lang w:val="zh-CN"/>
              </w:rPr>
            </w:pPr>
            <w:r>
              <w:rPr>
                <w:rFonts w:hint="eastAsia" w:ascii="宋体" w:hAnsi="宋体" w:cs="宋体"/>
                <w:b/>
                <w:bCs/>
                <w:color w:val="000000"/>
                <w:sz w:val="24"/>
                <w:highlight w:val="none"/>
                <w:lang w:val="zh-CN"/>
              </w:rPr>
              <w:t>√</w:t>
            </w:r>
            <w:r>
              <w:rPr>
                <w:rFonts w:hint="eastAsia" w:ascii="宋体" w:hAnsi="宋体" w:cs="宋体"/>
                <w:color w:val="000000"/>
                <w:sz w:val="24"/>
                <w:highlight w:val="none"/>
                <w:lang w:val="zh-CN"/>
              </w:rPr>
              <w:t>采用综合评分法的采购项目，提供相同品牌产品且通过资格审查、符合性审查的不同投标人参加同一合同项下投标的，按一家投标人计算，评审后得分最高的同品牌投标人获得中标人推荐资格；评审得分相同的， 由采购人自行选取一个投标人获得中标人推荐资格，其他同品牌投标人不作为中标候选人。</w:t>
            </w:r>
          </w:p>
          <w:p>
            <w:pPr>
              <w:spacing w:line="360" w:lineRule="auto"/>
              <w:rPr>
                <w:rFonts w:ascii="宋体" w:hAnsi="宋体" w:cs="宋体"/>
                <w:color w:val="000000" w:themeColor="text1"/>
                <w:spacing w:val="10"/>
                <w:sz w:val="24"/>
                <w:highlight w:val="none"/>
              </w:rPr>
            </w:pPr>
            <w:r>
              <w:rPr>
                <w:rFonts w:hint="eastAsia" w:ascii="宋体" w:hAnsi="宋体" w:cs="宋体"/>
                <w:color w:val="000000"/>
                <w:sz w:val="24"/>
                <w:highlight w:val="none"/>
                <w:lang w:val="zh-CN"/>
              </w:rPr>
              <w:t>□非单一产品采购项目，多家投标人提供的核心产品品牌相同的，按前款规定处理。</w:t>
            </w:r>
          </w:p>
        </w:tc>
      </w:tr>
      <w:tr>
        <w:tblPrEx>
          <w:tblBorders>
            <w:top w:val="double" w:color="auto" w:sz="6" w:space="0"/>
            <w:left w:val="double" w:color="auto" w:sz="6" w:space="0"/>
            <w:bottom w:val="double" w:color="auto" w:sz="6" w:space="0"/>
            <w:right w:val="double" w:color="auto" w:sz="6" w:space="0"/>
            <w:insideH w:val="double" w:color="auto" w:sz="6" w:space="0"/>
            <w:insideV w:val="double" w:color="auto" w:sz="6" w:space="0"/>
          </w:tblBorders>
          <w:tblCellMar>
            <w:top w:w="0" w:type="dxa"/>
            <w:left w:w="108" w:type="dxa"/>
            <w:bottom w:w="0" w:type="dxa"/>
            <w:right w:w="108" w:type="dxa"/>
          </w:tblCellMar>
        </w:tblPrEx>
        <w:trPr>
          <w:trHeight w:val="1479" w:hRule="atLeast"/>
        </w:trPr>
        <w:tc>
          <w:tcPr>
            <w:tcW w:w="696" w:type="dxa"/>
            <w:tcBorders>
              <w:tl2br w:val="nil"/>
              <w:tr2bl w:val="nil"/>
            </w:tcBorders>
            <w:vAlign w:val="center"/>
          </w:tcPr>
          <w:p>
            <w:pPr>
              <w:numPr>
                <w:ilvl w:val="0"/>
                <w:numId w:val="1"/>
              </w:numPr>
              <w:spacing w:line="360" w:lineRule="auto"/>
              <w:ind w:left="-70" w:leftChars="0" w:firstLine="280" w:firstLineChars="0"/>
              <w:rPr>
                <w:rFonts w:ascii="宋体" w:hAnsi="宋体" w:cs="宋体"/>
                <w:sz w:val="24"/>
                <w:highlight w:val="none"/>
              </w:rPr>
            </w:pPr>
          </w:p>
        </w:tc>
        <w:tc>
          <w:tcPr>
            <w:tcW w:w="2351" w:type="dxa"/>
            <w:tcBorders>
              <w:tl2br w:val="nil"/>
              <w:tr2bl w:val="nil"/>
            </w:tcBorders>
            <w:vAlign w:val="center"/>
          </w:tcPr>
          <w:p>
            <w:pPr>
              <w:spacing w:line="360" w:lineRule="auto"/>
              <w:jc w:val="center"/>
              <w:rPr>
                <w:rFonts w:ascii="宋体" w:hAnsi="宋体" w:cs="宋体"/>
                <w:color w:val="auto"/>
                <w:sz w:val="24"/>
                <w:highlight w:val="none"/>
                <w:lang w:val="zh-CN"/>
              </w:rPr>
            </w:pPr>
            <w:r>
              <w:rPr>
                <w:rFonts w:hint="eastAsia" w:ascii="宋体" w:hAnsi="宋体" w:cs="宋体"/>
                <w:color w:val="auto"/>
                <w:sz w:val="24"/>
                <w:highlight w:val="none"/>
              </w:rPr>
              <w:t>交货时间、交货地点、质保期</w:t>
            </w:r>
          </w:p>
        </w:tc>
        <w:tc>
          <w:tcPr>
            <w:tcW w:w="6472" w:type="dxa"/>
            <w:tcBorders>
              <w:tl2br w:val="nil"/>
              <w:tr2bl w:val="nil"/>
            </w:tcBorders>
          </w:tcPr>
          <w:p>
            <w:pPr>
              <w:pStyle w:val="4"/>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1）交货时间：</w:t>
            </w:r>
            <w:r>
              <w:rPr>
                <w:rFonts w:hint="eastAsia" w:ascii="宋体" w:hAnsi="宋体" w:eastAsia="宋体" w:cs="宋体"/>
                <w:color w:val="auto"/>
                <w:sz w:val="24"/>
                <w:szCs w:val="24"/>
                <w:highlight w:val="none"/>
                <w:lang w:val="en-US" w:eastAsia="zh-CN"/>
              </w:rPr>
              <w:t>合同签订后30</w:t>
            </w:r>
            <w:r>
              <w:rPr>
                <w:rFonts w:hint="eastAsia" w:ascii="宋体" w:hAnsi="宋体" w:eastAsia="宋体" w:cs="宋体"/>
                <w:color w:val="auto"/>
                <w:sz w:val="24"/>
                <w:szCs w:val="24"/>
                <w:highlight w:val="none"/>
                <w:lang w:eastAsia="zh-Hans"/>
              </w:rPr>
              <w:t>（</w:t>
            </w:r>
            <w:r>
              <w:rPr>
                <w:rFonts w:hint="eastAsia" w:ascii="宋体" w:hAnsi="宋体" w:eastAsia="宋体" w:cs="宋体"/>
                <w:color w:val="auto"/>
                <w:sz w:val="24"/>
                <w:szCs w:val="24"/>
                <w:highlight w:val="none"/>
                <w:lang w:val="en-US" w:eastAsia="zh-Hans"/>
              </w:rPr>
              <w:t>日历日</w:t>
            </w:r>
            <w:r>
              <w:rPr>
                <w:rFonts w:hint="eastAsia" w:ascii="宋体" w:hAnsi="宋体" w:eastAsia="宋体" w:cs="宋体"/>
                <w:color w:val="auto"/>
                <w:sz w:val="24"/>
                <w:szCs w:val="24"/>
                <w:highlight w:val="none"/>
                <w:lang w:eastAsia="zh-Hans"/>
              </w:rPr>
              <w:t>）</w:t>
            </w:r>
          </w:p>
          <w:p>
            <w:pPr>
              <w:pStyle w:val="4"/>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2）交货地点：甲方指定地点</w:t>
            </w:r>
          </w:p>
          <w:p>
            <w:pPr>
              <w:pStyle w:val="4"/>
              <w:spacing w:line="360" w:lineRule="auto"/>
              <w:rPr>
                <w:rFonts w:hint="default" w:eastAsia="宋体"/>
                <w:color w:val="auto"/>
                <w:highlight w:val="none"/>
                <w:lang w:val="en-US" w:eastAsia="zh-CN"/>
              </w:rPr>
            </w:pPr>
            <w:r>
              <w:rPr>
                <w:rFonts w:hint="eastAsia" w:ascii="宋体" w:hAnsi="宋体" w:eastAsia="宋体" w:cs="宋体"/>
                <w:color w:val="auto"/>
                <w:sz w:val="24"/>
                <w:szCs w:val="24"/>
                <w:highlight w:val="none"/>
                <w:lang w:val="en-US" w:eastAsia="zh-CN"/>
              </w:rPr>
              <w:t>3）质保期：整机（含配套附件、附属设备等）原厂质保3年</w:t>
            </w:r>
          </w:p>
        </w:tc>
      </w:tr>
      <w:tr>
        <w:tblPrEx>
          <w:tblBorders>
            <w:top w:val="double" w:color="auto" w:sz="6" w:space="0"/>
            <w:left w:val="double" w:color="auto" w:sz="6" w:space="0"/>
            <w:bottom w:val="double" w:color="auto" w:sz="6" w:space="0"/>
            <w:right w:val="double" w:color="auto" w:sz="6" w:space="0"/>
            <w:insideH w:val="double" w:color="auto" w:sz="6" w:space="0"/>
            <w:insideV w:val="double" w:color="auto" w:sz="6" w:space="0"/>
          </w:tblBorders>
          <w:tblCellMar>
            <w:top w:w="0" w:type="dxa"/>
            <w:left w:w="108" w:type="dxa"/>
            <w:bottom w:w="0" w:type="dxa"/>
            <w:right w:w="108" w:type="dxa"/>
          </w:tblCellMar>
        </w:tblPrEx>
        <w:trPr>
          <w:trHeight w:val="615" w:hRule="atLeast"/>
        </w:trPr>
        <w:tc>
          <w:tcPr>
            <w:tcW w:w="696" w:type="dxa"/>
            <w:tcBorders>
              <w:tl2br w:val="nil"/>
              <w:tr2bl w:val="nil"/>
            </w:tcBorders>
            <w:vAlign w:val="center"/>
          </w:tcPr>
          <w:p>
            <w:pPr>
              <w:numPr>
                <w:ilvl w:val="0"/>
                <w:numId w:val="1"/>
              </w:numPr>
              <w:spacing w:line="360" w:lineRule="auto"/>
              <w:ind w:left="-70" w:leftChars="0" w:firstLine="280" w:firstLineChars="0"/>
              <w:rPr>
                <w:rFonts w:ascii="宋体" w:hAnsi="宋体" w:cs="宋体"/>
                <w:sz w:val="24"/>
                <w:highlight w:val="none"/>
              </w:rPr>
            </w:pPr>
          </w:p>
        </w:tc>
        <w:tc>
          <w:tcPr>
            <w:tcW w:w="2351" w:type="dxa"/>
            <w:tcBorders>
              <w:tl2br w:val="nil"/>
              <w:tr2bl w:val="nil"/>
            </w:tcBorders>
            <w:vAlign w:val="center"/>
          </w:tcPr>
          <w:p>
            <w:pPr>
              <w:spacing w:line="360" w:lineRule="auto"/>
              <w:jc w:val="center"/>
              <w:rPr>
                <w:rFonts w:ascii="宋体" w:hAnsi="宋体" w:cs="宋体"/>
                <w:color w:val="auto"/>
                <w:sz w:val="24"/>
                <w:highlight w:val="none"/>
                <w:lang w:val="zh-CN"/>
              </w:rPr>
            </w:pPr>
            <w:r>
              <w:rPr>
                <w:rFonts w:hint="eastAsia" w:ascii="宋体" w:hAnsi="宋体" w:cs="宋体"/>
                <w:color w:val="auto"/>
                <w:sz w:val="24"/>
                <w:highlight w:val="none"/>
              </w:rPr>
              <w:t>付款方式</w:t>
            </w:r>
          </w:p>
        </w:tc>
        <w:tc>
          <w:tcPr>
            <w:tcW w:w="6472" w:type="dxa"/>
            <w:tcBorders>
              <w:tl2br w:val="nil"/>
              <w:tr2bl w:val="nil"/>
            </w:tcBorders>
          </w:tcPr>
          <w:p>
            <w:pPr>
              <w:pStyle w:val="32"/>
              <w:spacing w:line="360" w:lineRule="auto"/>
              <w:rPr>
                <w:color w:val="auto"/>
                <w:highlight w:val="none"/>
                <w:lang w:val="zh-CN"/>
              </w:rPr>
            </w:pPr>
            <w:r>
              <w:rPr>
                <w:rFonts w:hint="eastAsia"/>
                <w:color w:val="auto"/>
                <w:highlight w:val="none"/>
                <w:lang w:val="zh-CN"/>
              </w:rPr>
              <w:t>合同签订后，乙方向甲方缴纳中标金额的 20%作为质量保证金，供货验收合格后，乙方开具全额发票，甲方支付 100%全额货款，质保期进行到一半时，如无质量问题，甲方无息退还乙方 10%的质保金，质保期结束后，如无质量问题，甲方无息退还乙方剩余的 10%质保金。质量保证期内乙方违反质量保证责任，迟延、拖延履行质量保证责任的甲方有权扣除乙方的质量保证金，质量保证期相应顺延；乙方拒绝履行质量保证责任的，甲方可以聘请第三方进行维保，产生的维保费甲方有权向乙方主张，并扣除的全部质保金。</w:t>
            </w:r>
          </w:p>
        </w:tc>
      </w:tr>
      <w:tr>
        <w:tblPrEx>
          <w:tblBorders>
            <w:top w:val="double" w:color="auto" w:sz="6" w:space="0"/>
            <w:left w:val="double" w:color="auto" w:sz="6" w:space="0"/>
            <w:bottom w:val="double" w:color="auto" w:sz="6" w:space="0"/>
            <w:right w:val="double" w:color="auto" w:sz="6" w:space="0"/>
            <w:insideH w:val="double" w:color="auto" w:sz="6" w:space="0"/>
            <w:insideV w:val="double" w:color="auto" w:sz="6" w:space="0"/>
          </w:tblBorders>
          <w:tblCellMar>
            <w:top w:w="0" w:type="dxa"/>
            <w:left w:w="108" w:type="dxa"/>
            <w:bottom w:w="0" w:type="dxa"/>
            <w:right w:w="108" w:type="dxa"/>
          </w:tblCellMar>
        </w:tblPrEx>
        <w:trPr>
          <w:trHeight w:val="500" w:hRule="atLeast"/>
        </w:trPr>
        <w:tc>
          <w:tcPr>
            <w:tcW w:w="696" w:type="dxa"/>
            <w:tcBorders>
              <w:tl2br w:val="nil"/>
              <w:tr2bl w:val="nil"/>
            </w:tcBorders>
            <w:vAlign w:val="center"/>
          </w:tcPr>
          <w:p>
            <w:pPr>
              <w:numPr>
                <w:ilvl w:val="0"/>
                <w:numId w:val="1"/>
              </w:numPr>
              <w:spacing w:line="360" w:lineRule="auto"/>
              <w:ind w:left="-70" w:leftChars="0" w:firstLine="280" w:firstLineChars="0"/>
              <w:rPr>
                <w:rFonts w:ascii="宋体" w:hAnsi="宋体" w:cs="宋体"/>
                <w:sz w:val="24"/>
                <w:highlight w:val="none"/>
              </w:rPr>
            </w:pPr>
          </w:p>
        </w:tc>
        <w:tc>
          <w:tcPr>
            <w:tcW w:w="2351" w:type="dxa"/>
            <w:tcBorders>
              <w:tl2br w:val="nil"/>
              <w:tr2bl w:val="nil"/>
            </w:tcBorders>
            <w:vAlign w:val="center"/>
          </w:tcPr>
          <w:p>
            <w:pPr>
              <w:spacing w:line="360" w:lineRule="auto"/>
              <w:jc w:val="center"/>
              <w:rPr>
                <w:rFonts w:ascii="宋体" w:hAnsi="宋体" w:cs="宋体"/>
                <w:spacing w:val="10"/>
                <w:sz w:val="24"/>
                <w:highlight w:val="none"/>
              </w:rPr>
            </w:pPr>
            <w:r>
              <w:rPr>
                <w:rFonts w:hint="eastAsia" w:ascii="宋体" w:hAnsi="宋体" w:cs="宋体"/>
                <w:sz w:val="24"/>
                <w:highlight w:val="none"/>
                <w:lang w:val="zh-CN"/>
              </w:rPr>
              <w:t>备选投标方案和报价</w:t>
            </w:r>
          </w:p>
        </w:tc>
        <w:tc>
          <w:tcPr>
            <w:tcW w:w="6472" w:type="dxa"/>
            <w:tcBorders>
              <w:tl2br w:val="nil"/>
              <w:tr2bl w:val="nil"/>
            </w:tcBorders>
            <w:vAlign w:val="center"/>
          </w:tcPr>
          <w:p>
            <w:pPr>
              <w:spacing w:line="360" w:lineRule="auto"/>
              <w:rPr>
                <w:rFonts w:ascii="宋体" w:hAnsi="宋体" w:cs="宋体"/>
                <w:spacing w:val="10"/>
                <w:sz w:val="24"/>
                <w:highlight w:val="none"/>
              </w:rPr>
            </w:pPr>
            <w:r>
              <w:rPr>
                <w:rFonts w:hint="eastAsia" w:ascii="宋体" w:hAnsi="宋体" w:cs="宋体"/>
                <w:sz w:val="24"/>
                <w:highlight w:val="none"/>
                <w:lang w:val="zh-CN"/>
              </w:rPr>
              <w:t>不接受备选投标方案和多个报价</w:t>
            </w:r>
          </w:p>
        </w:tc>
      </w:tr>
      <w:tr>
        <w:tblPrEx>
          <w:tblBorders>
            <w:top w:val="double" w:color="auto" w:sz="6" w:space="0"/>
            <w:left w:val="double" w:color="auto" w:sz="6" w:space="0"/>
            <w:bottom w:val="double" w:color="auto" w:sz="6" w:space="0"/>
            <w:right w:val="double" w:color="auto" w:sz="6" w:space="0"/>
            <w:insideH w:val="double" w:color="auto" w:sz="6" w:space="0"/>
            <w:insideV w:val="double" w:color="auto" w:sz="6" w:space="0"/>
          </w:tblBorders>
          <w:tblCellMar>
            <w:top w:w="0" w:type="dxa"/>
            <w:left w:w="108" w:type="dxa"/>
            <w:bottom w:w="0" w:type="dxa"/>
            <w:right w:w="108" w:type="dxa"/>
          </w:tblCellMar>
        </w:tblPrEx>
        <w:trPr>
          <w:trHeight w:val="500" w:hRule="atLeast"/>
        </w:trPr>
        <w:tc>
          <w:tcPr>
            <w:tcW w:w="696" w:type="dxa"/>
            <w:tcBorders>
              <w:tl2br w:val="nil"/>
              <w:tr2bl w:val="nil"/>
            </w:tcBorders>
            <w:vAlign w:val="center"/>
          </w:tcPr>
          <w:p>
            <w:pPr>
              <w:numPr>
                <w:ilvl w:val="0"/>
                <w:numId w:val="1"/>
              </w:numPr>
              <w:spacing w:line="360" w:lineRule="auto"/>
              <w:ind w:left="-70" w:leftChars="0" w:firstLine="280" w:firstLineChars="0"/>
              <w:rPr>
                <w:rFonts w:ascii="宋体" w:hAnsi="宋体" w:cs="宋体"/>
                <w:sz w:val="24"/>
                <w:highlight w:val="none"/>
              </w:rPr>
            </w:pPr>
          </w:p>
        </w:tc>
        <w:tc>
          <w:tcPr>
            <w:tcW w:w="2351" w:type="dxa"/>
            <w:tcBorders>
              <w:tl2br w:val="nil"/>
              <w:tr2bl w:val="nil"/>
            </w:tcBorders>
            <w:vAlign w:val="center"/>
          </w:tcPr>
          <w:p>
            <w:pPr>
              <w:spacing w:line="360" w:lineRule="auto"/>
              <w:jc w:val="center"/>
              <w:rPr>
                <w:rFonts w:ascii="宋体" w:hAnsi="宋体" w:cs="宋体"/>
                <w:spacing w:val="10"/>
                <w:sz w:val="24"/>
                <w:highlight w:val="none"/>
              </w:rPr>
            </w:pPr>
            <w:r>
              <w:rPr>
                <w:rFonts w:hint="eastAsia" w:ascii="宋体" w:hAnsi="宋体" w:cs="宋体"/>
                <w:spacing w:val="10"/>
                <w:sz w:val="24"/>
                <w:highlight w:val="none"/>
              </w:rPr>
              <w:t>评标办法</w:t>
            </w:r>
          </w:p>
        </w:tc>
        <w:tc>
          <w:tcPr>
            <w:tcW w:w="6472" w:type="dxa"/>
            <w:tcBorders>
              <w:tl2br w:val="nil"/>
              <w:tr2bl w:val="nil"/>
            </w:tcBorders>
            <w:vAlign w:val="center"/>
          </w:tcPr>
          <w:p>
            <w:pPr>
              <w:spacing w:line="360" w:lineRule="auto"/>
              <w:rPr>
                <w:rFonts w:ascii="宋体" w:hAnsi="宋体" w:cs="宋体"/>
                <w:spacing w:val="10"/>
                <w:sz w:val="24"/>
                <w:highlight w:val="none"/>
              </w:rPr>
            </w:pPr>
            <w:r>
              <w:rPr>
                <w:rFonts w:hint="eastAsia" w:ascii="宋体" w:hAnsi="宋体" w:cs="宋体"/>
                <w:spacing w:val="10"/>
                <w:sz w:val="24"/>
                <w:highlight w:val="none"/>
              </w:rPr>
              <w:t>综合评分法</w:t>
            </w:r>
          </w:p>
        </w:tc>
      </w:tr>
      <w:tr>
        <w:tblPrEx>
          <w:tblBorders>
            <w:top w:val="double" w:color="auto" w:sz="6" w:space="0"/>
            <w:left w:val="double" w:color="auto" w:sz="6" w:space="0"/>
            <w:bottom w:val="double" w:color="auto" w:sz="6" w:space="0"/>
            <w:right w:val="double" w:color="auto" w:sz="6" w:space="0"/>
            <w:insideH w:val="double" w:color="auto" w:sz="6" w:space="0"/>
            <w:insideV w:val="double" w:color="auto" w:sz="6" w:space="0"/>
          </w:tblBorders>
          <w:tblCellMar>
            <w:top w:w="0" w:type="dxa"/>
            <w:left w:w="108" w:type="dxa"/>
            <w:bottom w:w="0" w:type="dxa"/>
            <w:right w:w="108" w:type="dxa"/>
          </w:tblCellMar>
        </w:tblPrEx>
        <w:trPr>
          <w:trHeight w:val="500" w:hRule="atLeast"/>
        </w:trPr>
        <w:tc>
          <w:tcPr>
            <w:tcW w:w="696" w:type="dxa"/>
            <w:tcBorders>
              <w:tl2br w:val="nil"/>
              <w:tr2bl w:val="nil"/>
            </w:tcBorders>
            <w:vAlign w:val="center"/>
          </w:tcPr>
          <w:p>
            <w:pPr>
              <w:numPr>
                <w:ilvl w:val="0"/>
                <w:numId w:val="1"/>
              </w:numPr>
              <w:spacing w:line="360" w:lineRule="auto"/>
              <w:ind w:left="-70" w:leftChars="0" w:firstLine="280" w:firstLineChars="0"/>
              <w:rPr>
                <w:rFonts w:ascii="宋体" w:hAnsi="宋体" w:cs="宋体"/>
                <w:sz w:val="24"/>
                <w:highlight w:val="none"/>
              </w:rPr>
            </w:pPr>
          </w:p>
        </w:tc>
        <w:tc>
          <w:tcPr>
            <w:tcW w:w="2351" w:type="dxa"/>
            <w:tcBorders>
              <w:tl2br w:val="nil"/>
              <w:tr2bl w:val="nil"/>
            </w:tcBorders>
            <w:vAlign w:val="center"/>
          </w:tcPr>
          <w:p>
            <w:pPr>
              <w:spacing w:line="360" w:lineRule="auto"/>
              <w:jc w:val="center"/>
              <w:rPr>
                <w:rFonts w:ascii="宋体" w:hAnsi="宋体" w:cs="宋体"/>
                <w:spacing w:val="10"/>
                <w:sz w:val="24"/>
                <w:highlight w:val="none"/>
              </w:rPr>
            </w:pPr>
            <w:r>
              <w:rPr>
                <w:rFonts w:hint="eastAsia" w:ascii="宋体" w:hAnsi="宋体" w:cs="宋体"/>
                <w:spacing w:val="10"/>
                <w:sz w:val="24"/>
                <w:highlight w:val="none"/>
              </w:rPr>
              <w:t>中标通知书领取</w:t>
            </w:r>
          </w:p>
        </w:tc>
        <w:tc>
          <w:tcPr>
            <w:tcW w:w="6472" w:type="dxa"/>
            <w:tcBorders>
              <w:tl2br w:val="nil"/>
              <w:tr2bl w:val="nil"/>
            </w:tcBorders>
            <w:vAlign w:val="center"/>
          </w:tcPr>
          <w:p>
            <w:pPr>
              <w:spacing w:line="360" w:lineRule="auto"/>
              <w:rPr>
                <w:rFonts w:ascii="宋体" w:hAnsi="宋体" w:cs="宋体"/>
                <w:spacing w:val="10"/>
                <w:sz w:val="24"/>
                <w:highlight w:val="none"/>
              </w:rPr>
            </w:pPr>
            <w:r>
              <w:rPr>
                <w:rFonts w:hint="eastAsia" w:ascii="宋体" w:hAnsi="宋体" w:cs="宋体"/>
                <w:spacing w:val="10"/>
                <w:sz w:val="24"/>
                <w:highlight w:val="none"/>
                <w:lang w:val="en-US" w:eastAsia="zh-CN"/>
              </w:rPr>
              <w:t>中标公示结束2个工作日内领取</w:t>
            </w:r>
            <w:r>
              <w:rPr>
                <w:rFonts w:hint="eastAsia" w:ascii="宋体" w:hAnsi="宋体" w:cs="宋体"/>
                <w:spacing w:val="10"/>
                <w:sz w:val="24"/>
                <w:highlight w:val="none"/>
              </w:rPr>
              <w:t>。</w:t>
            </w:r>
          </w:p>
        </w:tc>
      </w:tr>
      <w:tr>
        <w:tblPrEx>
          <w:tblBorders>
            <w:top w:val="double" w:color="auto" w:sz="6" w:space="0"/>
            <w:left w:val="double" w:color="auto" w:sz="6" w:space="0"/>
            <w:bottom w:val="double" w:color="auto" w:sz="6" w:space="0"/>
            <w:right w:val="double" w:color="auto" w:sz="6" w:space="0"/>
            <w:insideH w:val="double" w:color="auto" w:sz="6" w:space="0"/>
            <w:insideV w:val="double" w:color="auto" w:sz="6" w:space="0"/>
          </w:tblBorders>
          <w:tblCellMar>
            <w:top w:w="0" w:type="dxa"/>
            <w:left w:w="108" w:type="dxa"/>
            <w:bottom w:w="0" w:type="dxa"/>
            <w:right w:w="108" w:type="dxa"/>
          </w:tblCellMar>
        </w:tblPrEx>
        <w:trPr>
          <w:trHeight w:val="1913" w:hRule="atLeast"/>
        </w:trPr>
        <w:tc>
          <w:tcPr>
            <w:tcW w:w="696" w:type="dxa"/>
            <w:tcBorders>
              <w:tl2br w:val="nil"/>
              <w:tr2bl w:val="nil"/>
            </w:tcBorders>
            <w:vAlign w:val="center"/>
          </w:tcPr>
          <w:p>
            <w:pPr>
              <w:numPr>
                <w:ilvl w:val="0"/>
                <w:numId w:val="1"/>
              </w:numPr>
              <w:spacing w:line="360" w:lineRule="auto"/>
              <w:ind w:left="-70" w:leftChars="0" w:firstLine="280" w:firstLineChars="0"/>
              <w:rPr>
                <w:rFonts w:ascii="宋体" w:hAnsi="宋体" w:cs="宋体"/>
                <w:sz w:val="24"/>
                <w:highlight w:val="none"/>
              </w:rPr>
            </w:pPr>
          </w:p>
        </w:tc>
        <w:tc>
          <w:tcPr>
            <w:tcW w:w="2351" w:type="dxa"/>
            <w:tcBorders>
              <w:tl2br w:val="nil"/>
              <w:tr2bl w:val="nil"/>
            </w:tcBorders>
            <w:vAlign w:val="center"/>
          </w:tcPr>
          <w:p>
            <w:pPr>
              <w:spacing w:line="360" w:lineRule="auto"/>
              <w:jc w:val="center"/>
              <w:rPr>
                <w:rFonts w:ascii="宋体" w:hAnsi="宋体" w:cs="宋体"/>
                <w:spacing w:val="10"/>
                <w:sz w:val="24"/>
                <w:highlight w:val="none"/>
              </w:rPr>
            </w:pPr>
            <w:r>
              <w:rPr>
                <w:rFonts w:hint="eastAsia" w:ascii="宋体" w:hAnsi="宋体" w:cs="宋体"/>
                <w:spacing w:val="10"/>
                <w:sz w:val="24"/>
                <w:highlight w:val="none"/>
              </w:rPr>
              <w:t>备注</w:t>
            </w:r>
          </w:p>
        </w:tc>
        <w:tc>
          <w:tcPr>
            <w:tcW w:w="6472" w:type="dxa"/>
            <w:tcBorders>
              <w:tl2br w:val="nil"/>
              <w:tr2bl w:val="nil"/>
            </w:tcBorders>
            <w:vAlign w:val="center"/>
          </w:tcPr>
          <w:p>
            <w:pPr>
              <w:spacing w:line="360" w:lineRule="auto"/>
              <w:rPr>
                <w:rFonts w:ascii="宋体" w:hAnsi="宋体" w:cs="宋体"/>
                <w:spacing w:val="10"/>
                <w:sz w:val="24"/>
                <w:highlight w:val="none"/>
              </w:rPr>
            </w:pPr>
            <w:r>
              <w:rPr>
                <w:rFonts w:hint="eastAsia" w:ascii="宋体" w:hAnsi="宋体" w:cs="宋体"/>
                <w:spacing w:val="10"/>
                <w:sz w:val="24"/>
                <w:highlight w:val="none"/>
              </w:rPr>
              <w:t>请参与本项目的投标人认真阅读招标文件的所有条款，严格按规定完成各阶段投标的工作，及时在甘肃经济信息网查看该项目的相关信息，认真配合完成本次招标工作。</w:t>
            </w:r>
          </w:p>
        </w:tc>
      </w:tr>
    </w:tbl>
    <w:p>
      <w:pPr>
        <w:pStyle w:val="6"/>
        <w:rPr>
          <w:rFonts w:ascii="宋体" w:hAnsi="宋体" w:cs="宋体"/>
          <w:sz w:val="32"/>
          <w:szCs w:val="32"/>
          <w:highlight w:val="none"/>
        </w:rPr>
      </w:pPr>
      <w:bookmarkStart w:id="21" w:name="_Toc11105"/>
      <w:bookmarkStart w:id="22" w:name="_Toc327439435"/>
      <w:bookmarkStart w:id="23" w:name="_Toc17253"/>
      <w:bookmarkStart w:id="24" w:name="_Toc25119"/>
      <w:bookmarkStart w:id="25" w:name="_Toc139965326"/>
      <w:bookmarkStart w:id="26" w:name="_Toc128372730"/>
      <w:bookmarkStart w:id="27" w:name="_Toc14588"/>
      <w:bookmarkStart w:id="28" w:name="_Toc18296"/>
      <w:bookmarkStart w:id="29" w:name="_Toc128372052"/>
    </w:p>
    <w:p>
      <w:pPr>
        <w:pStyle w:val="6"/>
        <w:rPr>
          <w:rFonts w:ascii="宋体" w:hAnsi="宋体" w:cs="宋体"/>
          <w:sz w:val="32"/>
          <w:szCs w:val="32"/>
          <w:highlight w:val="none"/>
        </w:rPr>
      </w:pPr>
    </w:p>
    <w:p>
      <w:pPr>
        <w:pStyle w:val="6"/>
        <w:rPr>
          <w:rFonts w:ascii="宋体" w:hAnsi="宋体" w:cs="宋体"/>
          <w:sz w:val="32"/>
          <w:szCs w:val="32"/>
          <w:highlight w:val="none"/>
        </w:rPr>
      </w:pPr>
    </w:p>
    <w:p>
      <w:pPr>
        <w:pStyle w:val="6"/>
        <w:rPr>
          <w:rFonts w:ascii="宋体" w:hAnsi="宋体" w:cs="宋体"/>
          <w:sz w:val="32"/>
          <w:szCs w:val="32"/>
          <w:highlight w:val="none"/>
        </w:rPr>
      </w:pPr>
    </w:p>
    <w:p>
      <w:pPr>
        <w:pStyle w:val="6"/>
        <w:rPr>
          <w:rFonts w:ascii="宋体" w:hAnsi="宋体" w:cs="宋体"/>
          <w:sz w:val="32"/>
          <w:szCs w:val="32"/>
          <w:highlight w:val="none"/>
        </w:rPr>
      </w:pPr>
    </w:p>
    <w:p>
      <w:pPr>
        <w:rPr>
          <w:rFonts w:ascii="宋体" w:hAnsi="宋体" w:cs="宋体"/>
          <w:sz w:val="32"/>
          <w:szCs w:val="32"/>
          <w:highlight w:val="none"/>
        </w:rPr>
      </w:pPr>
      <w:r>
        <w:rPr>
          <w:rFonts w:ascii="宋体" w:hAnsi="宋体" w:cs="宋体"/>
          <w:sz w:val="32"/>
          <w:szCs w:val="32"/>
          <w:highlight w:val="none"/>
        </w:rPr>
        <w:br w:type="page"/>
      </w:r>
    </w:p>
    <w:p>
      <w:pPr>
        <w:pStyle w:val="6"/>
        <w:rPr>
          <w:rFonts w:ascii="宋体" w:hAnsi="宋体" w:cs="宋体"/>
          <w:sz w:val="32"/>
          <w:szCs w:val="32"/>
          <w:highlight w:val="none"/>
        </w:rPr>
      </w:pPr>
      <w:r>
        <w:rPr>
          <w:rFonts w:hint="eastAsia" w:ascii="宋体" w:hAnsi="宋体" w:cs="宋体"/>
          <w:sz w:val="32"/>
          <w:szCs w:val="32"/>
          <w:highlight w:val="none"/>
        </w:rPr>
        <w:t>一、总则</w:t>
      </w:r>
      <w:bookmarkEnd w:id="21"/>
      <w:bookmarkEnd w:id="22"/>
      <w:bookmarkEnd w:id="23"/>
      <w:bookmarkEnd w:id="24"/>
      <w:bookmarkEnd w:id="25"/>
      <w:bookmarkEnd w:id="26"/>
      <w:bookmarkEnd w:id="27"/>
      <w:bookmarkEnd w:id="28"/>
      <w:bookmarkEnd w:id="29"/>
    </w:p>
    <w:p>
      <w:pPr>
        <w:pStyle w:val="7"/>
        <w:jc w:val="both"/>
        <w:rPr>
          <w:rFonts w:ascii="宋体" w:hAnsi="宋体" w:cs="宋体"/>
          <w:sz w:val="24"/>
          <w:highlight w:val="none"/>
          <w:lang w:val="zh-CN"/>
        </w:rPr>
      </w:pPr>
      <w:bookmarkStart w:id="30" w:name="_Toc21484"/>
      <w:bookmarkStart w:id="31" w:name="_Toc12346"/>
      <w:bookmarkStart w:id="32" w:name="_Toc32168"/>
      <w:bookmarkStart w:id="33" w:name="_Toc17945"/>
      <w:bookmarkStart w:id="34" w:name="_Toc23166"/>
      <w:bookmarkStart w:id="35" w:name="_Toc8673"/>
      <w:bookmarkStart w:id="36" w:name="_Toc327439436"/>
      <w:r>
        <w:rPr>
          <w:rFonts w:hint="eastAsia" w:ascii="宋体" w:hAnsi="宋体" w:cs="宋体"/>
          <w:sz w:val="24"/>
          <w:highlight w:val="none"/>
          <w:lang w:val="zh-CN"/>
        </w:rPr>
        <w:t>1.适用范围</w:t>
      </w:r>
      <w:bookmarkEnd w:id="30"/>
      <w:bookmarkEnd w:id="31"/>
      <w:bookmarkEnd w:id="32"/>
      <w:bookmarkEnd w:id="33"/>
      <w:bookmarkEnd w:id="34"/>
      <w:bookmarkEnd w:id="35"/>
    </w:p>
    <w:p>
      <w:pPr>
        <w:pStyle w:val="7"/>
        <w:jc w:val="both"/>
        <w:rPr>
          <w:rFonts w:ascii="宋体" w:hAnsi="宋体" w:cs="宋体"/>
          <w:b w:val="0"/>
          <w:bCs w:val="0"/>
          <w:sz w:val="24"/>
          <w:szCs w:val="24"/>
          <w:highlight w:val="none"/>
        </w:rPr>
      </w:pPr>
      <w:bookmarkStart w:id="37" w:name="_Toc22111"/>
      <w:bookmarkStart w:id="38" w:name="_Toc25223"/>
      <w:bookmarkStart w:id="39" w:name="_Toc11984"/>
      <w:bookmarkStart w:id="40" w:name="_Toc9864"/>
      <w:bookmarkStart w:id="41" w:name="_Toc8851"/>
      <w:bookmarkStart w:id="42" w:name="_Toc6674"/>
      <w:r>
        <w:rPr>
          <w:rFonts w:hint="eastAsia" w:ascii="宋体" w:hAnsi="宋体" w:cs="宋体"/>
          <w:b w:val="0"/>
          <w:bCs w:val="0"/>
          <w:sz w:val="24"/>
          <w:szCs w:val="24"/>
          <w:highlight w:val="none"/>
          <w:lang w:val="zh-CN"/>
        </w:rPr>
        <w:t>1.1本招标文件仅适用于本次公开招标所叙述的货物（工程或服务）采购项目。</w:t>
      </w:r>
      <w:bookmarkEnd w:id="37"/>
      <w:bookmarkEnd w:id="38"/>
      <w:bookmarkEnd w:id="39"/>
      <w:bookmarkEnd w:id="40"/>
      <w:bookmarkEnd w:id="41"/>
      <w:bookmarkEnd w:id="42"/>
    </w:p>
    <w:p>
      <w:pPr>
        <w:pStyle w:val="7"/>
        <w:jc w:val="both"/>
        <w:rPr>
          <w:rFonts w:ascii="宋体" w:hAnsi="宋体" w:cs="宋体"/>
          <w:sz w:val="24"/>
          <w:highlight w:val="none"/>
        </w:rPr>
      </w:pPr>
      <w:bookmarkStart w:id="43" w:name="_Toc9394"/>
      <w:bookmarkStart w:id="44" w:name="_Toc10181"/>
      <w:bookmarkStart w:id="45" w:name="_Toc1089"/>
      <w:bookmarkStart w:id="46" w:name="_Toc2887"/>
      <w:bookmarkStart w:id="47" w:name="_Toc15335"/>
      <w:bookmarkStart w:id="48" w:name="_Toc1806"/>
      <w:r>
        <w:rPr>
          <w:rFonts w:hint="eastAsia" w:ascii="宋体" w:hAnsi="宋体" w:cs="宋体"/>
          <w:sz w:val="24"/>
          <w:highlight w:val="none"/>
        </w:rPr>
        <w:t>2.招标文件涉及术语的内涵及解释</w:t>
      </w:r>
      <w:bookmarkEnd w:id="36"/>
      <w:bookmarkEnd w:id="43"/>
      <w:bookmarkEnd w:id="44"/>
      <w:bookmarkEnd w:id="45"/>
      <w:bookmarkEnd w:id="46"/>
      <w:bookmarkEnd w:id="47"/>
      <w:bookmarkEnd w:id="48"/>
    </w:p>
    <w:p>
      <w:pPr>
        <w:spacing w:line="360" w:lineRule="auto"/>
        <w:rPr>
          <w:rFonts w:ascii="宋体" w:hAnsi="宋体" w:cs="宋体"/>
          <w:sz w:val="24"/>
          <w:highlight w:val="none"/>
        </w:rPr>
      </w:pPr>
      <w:bookmarkStart w:id="49" w:name="_Toc139965332"/>
      <w:bookmarkStart w:id="50" w:name="_Toc128372736"/>
      <w:bookmarkStart w:id="51" w:name="_Toc128372058"/>
      <w:r>
        <w:rPr>
          <w:rFonts w:hint="eastAsia" w:ascii="宋体" w:hAnsi="宋体" w:cs="宋体"/>
          <w:sz w:val="24"/>
          <w:highlight w:val="none"/>
        </w:rPr>
        <w:t>2.1“</w:t>
      </w:r>
      <w:r>
        <w:rPr>
          <w:rFonts w:hint="eastAsia" w:ascii="宋体" w:hAnsi="宋体" w:cs="宋体"/>
          <w:sz w:val="24"/>
          <w:highlight w:val="none"/>
          <w:lang w:eastAsia="zh-CN"/>
        </w:rPr>
        <w:t>采购</w:t>
      </w:r>
      <w:r>
        <w:rPr>
          <w:rFonts w:hint="eastAsia" w:ascii="宋体" w:hAnsi="宋体" w:cs="宋体"/>
          <w:sz w:val="24"/>
          <w:highlight w:val="none"/>
        </w:rPr>
        <w:t>当事人”是指在采购活动中享有权利和承担义务的各类主体，包括采购人、投标人和</w:t>
      </w:r>
      <w:r>
        <w:rPr>
          <w:rFonts w:hint="eastAsia" w:ascii="宋体" w:hAnsi="宋体" w:cs="宋体"/>
          <w:sz w:val="24"/>
          <w:highlight w:val="none"/>
          <w:lang w:eastAsia="zh-CN"/>
        </w:rPr>
        <w:t>采购人</w:t>
      </w:r>
      <w:r>
        <w:rPr>
          <w:rFonts w:hint="eastAsia" w:ascii="宋体" w:hAnsi="宋体" w:cs="宋体"/>
          <w:sz w:val="24"/>
          <w:highlight w:val="none"/>
        </w:rPr>
        <w:t>等。</w:t>
      </w:r>
    </w:p>
    <w:p>
      <w:pPr>
        <w:spacing w:line="360" w:lineRule="auto"/>
        <w:rPr>
          <w:rFonts w:ascii="宋体" w:hAnsi="宋体" w:cs="宋体"/>
          <w:sz w:val="24"/>
          <w:highlight w:val="none"/>
        </w:rPr>
      </w:pPr>
      <w:r>
        <w:rPr>
          <w:rFonts w:hint="eastAsia" w:ascii="宋体" w:hAnsi="宋体" w:cs="宋体"/>
          <w:sz w:val="24"/>
          <w:highlight w:val="none"/>
        </w:rPr>
        <w:t>2.2“采购人”、“甲方”是指甘肃省第二人民医院。</w:t>
      </w:r>
    </w:p>
    <w:p>
      <w:pPr>
        <w:spacing w:line="360" w:lineRule="auto"/>
        <w:rPr>
          <w:rFonts w:ascii="宋体" w:hAnsi="宋体" w:cs="宋体"/>
          <w:sz w:val="24"/>
          <w:highlight w:val="none"/>
        </w:rPr>
      </w:pPr>
      <w:r>
        <w:rPr>
          <w:rFonts w:hint="eastAsia" w:ascii="宋体" w:hAnsi="宋体" w:cs="宋体"/>
          <w:sz w:val="24"/>
          <w:highlight w:val="none"/>
        </w:rPr>
        <w:t>2.</w:t>
      </w:r>
      <w:r>
        <w:rPr>
          <w:rFonts w:hint="eastAsia" w:ascii="宋体" w:hAnsi="宋体" w:cs="宋体"/>
          <w:sz w:val="24"/>
          <w:highlight w:val="none"/>
          <w:lang w:val="en-US" w:eastAsia="zh-CN"/>
        </w:rPr>
        <w:t>3</w:t>
      </w:r>
      <w:r>
        <w:rPr>
          <w:rFonts w:hint="eastAsia" w:ascii="宋体" w:hAnsi="宋体" w:cs="宋体"/>
          <w:sz w:val="24"/>
          <w:highlight w:val="none"/>
        </w:rPr>
        <w:t>“投标人”是指向本次</w:t>
      </w:r>
      <w:r>
        <w:rPr>
          <w:rFonts w:hint="eastAsia" w:ascii="宋体" w:hAnsi="宋体" w:cs="宋体"/>
          <w:sz w:val="24"/>
          <w:highlight w:val="none"/>
          <w:lang w:eastAsia="zh-CN"/>
        </w:rPr>
        <w:t>采购人</w:t>
      </w:r>
      <w:r>
        <w:rPr>
          <w:rFonts w:hint="eastAsia" w:ascii="宋体" w:hAnsi="宋体" w:cs="宋体"/>
          <w:sz w:val="24"/>
          <w:highlight w:val="none"/>
        </w:rPr>
        <w:t>提交投标文件的投标人。</w:t>
      </w:r>
    </w:p>
    <w:p>
      <w:pPr>
        <w:spacing w:line="360" w:lineRule="auto"/>
        <w:rPr>
          <w:rFonts w:ascii="宋体" w:hAnsi="宋体" w:cs="宋体"/>
          <w:sz w:val="24"/>
          <w:highlight w:val="none"/>
        </w:rPr>
      </w:pPr>
      <w:r>
        <w:rPr>
          <w:rFonts w:hint="eastAsia" w:ascii="宋体" w:hAnsi="宋体" w:cs="宋体"/>
          <w:sz w:val="24"/>
          <w:highlight w:val="none"/>
        </w:rPr>
        <w:t>2.5“中标供应商”、“乙方”是指中标的投标人，合同一方的当事人。</w:t>
      </w:r>
    </w:p>
    <w:p>
      <w:pPr>
        <w:spacing w:line="360" w:lineRule="auto"/>
        <w:rPr>
          <w:rFonts w:ascii="宋体" w:hAnsi="宋体" w:cs="宋体"/>
          <w:sz w:val="24"/>
          <w:highlight w:val="none"/>
        </w:rPr>
      </w:pPr>
      <w:r>
        <w:rPr>
          <w:rFonts w:hint="eastAsia" w:ascii="宋体" w:hAnsi="宋体" w:cs="宋体"/>
          <w:sz w:val="24"/>
          <w:highlight w:val="none"/>
        </w:rPr>
        <w:t>2.6“招标文件”是指由</w:t>
      </w:r>
      <w:r>
        <w:rPr>
          <w:rFonts w:hint="eastAsia" w:ascii="宋体" w:hAnsi="宋体" w:cs="宋体"/>
          <w:sz w:val="24"/>
          <w:highlight w:val="none"/>
          <w:lang w:eastAsia="zh-CN"/>
        </w:rPr>
        <w:t>采购人</w:t>
      </w:r>
      <w:r>
        <w:rPr>
          <w:rFonts w:hint="eastAsia" w:ascii="宋体" w:hAnsi="宋体" w:cs="宋体"/>
          <w:sz w:val="24"/>
          <w:highlight w:val="none"/>
        </w:rPr>
        <w:t>发出的文本、文件，包括全部章节和附件及答疑会议纪要。</w:t>
      </w:r>
    </w:p>
    <w:p>
      <w:pPr>
        <w:spacing w:line="360" w:lineRule="auto"/>
        <w:rPr>
          <w:rFonts w:ascii="宋体" w:hAnsi="宋体" w:cs="宋体"/>
          <w:sz w:val="24"/>
          <w:highlight w:val="none"/>
        </w:rPr>
      </w:pPr>
      <w:r>
        <w:rPr>
          <w:rFonts w:hint="eastAsia" w:ascii="宋体" w:hAnsi="宋体" w:cs="宋体"/>
          <w:sz w:val="24"/>
          <w:highlight w:val="none"/>
        </w:rPr>
        <w:t>2.7“投标文件”是指投标人根据本招标文件向</w:t>
      </w:r>
      <w:r>
        <w:rPr>
          <w:rFonts w:hint="eastAsia" w:ascii="宋体" w:hAnsi="宋体" w:cs="宋体"/>
          <w:sz w:val="24"/>
          <w:highlight w:val="none"/>
          <w:lang w:val="en-US" w:eastAsia="zh-CN"/>
        </w:rPr>
        <w:t>采购人</w:t>
      </w:r>
      <w:r>
        <w:rPr>
          <w:rFonts w:hint="eastAsia" w:ascii="宋体" w:hAnsi="宋体" w:cs="宋体"/>
          <w:sz w:val="24"/>
          <w:highlight w:val="none"/>
        </w:rPr>
        <w:t>提交的全部文件。</w:t>
      </w:r>
    </w:p>
    <w:p>
      <w:pPr>
        <w:spacing w:line="360" w:lineRule="auto"/>
        <w:rPr>
          <w:rFonts w:ascii="宋体" w:hAnsi="宋体" w:cs="宋体"/>
          <w:sz w:val="24"/>
          <w:highlight w:val="none"/>
        </w:rPr>
      </w:pPr>
      <w:r>
        <w:rPr>
          <w:rFonts w:hint="eastAsia" w:ascii="宋体" w:hAnsi="宋体" w:cs="宋体"/>
          <w:sz w:val="24"/>
          <w:highlight w:val="none"/>
        </w:rPr>
        <w:t>2.8“采购文件”是指包括采购活动记录、采购预算、招标文件、投标文件、评标标准、评标报告、定标文件、合同文本、验收证明、质疑答复、投诉处理决定及其他有关文件、资料。</w:t>
      </w:r>
    </w:p>
    <w:p>
      <w:pPr>
        <w:spacing w:line="360" w:lineRule="auto"/>
        <w:rPr>
          <w:rFonts w:ascii="宋体" w:hAnsi="宋体" w:cs="宋体"/>
          <w:sz w:val="24"/>
          <w:highlight w:val="none"/>
        </w:rPr>
      </w:pPr>
      <w:r>
        <w:rPr>
          <w:rFonts w:hint="eastAsia" w:ascii="宋体" w:hAnsi="宋体" w:cs="宋体"/>
          <w:sz w:val="24"/>
          <w:highlight w:val="none"/>
        </w:rPr>
        <w:t>2.9“货物”是指各种形态和种类的物品，包括原材料、燃料、设备、产品等，详见《</w:t>
      </w:r>
      <w:r>
        <w:rPr>
          <w:rFonts w:hint="eastAsia" w:ascii="宋体" w:hAnsi="宋体" w:cs="宋体"/>
          <w:sz w:val="24"/>
          <w:highlight w:val="none"/>
          <w:lang w:eastAsia="zh-CN"/>
        </w:rPr>
        <w:t>采购</w:t>
      </w:r>
      <w:r>
        <w:rPr>
          <w:rFonts w:hint="eastAsia" w:ascii="宋体" w:hAnsi="宋体" w:cs="宋体"/>
          <w:sz w:val="24"/>
          <w:highlight w:val="none"/>
        </w:rPr>
        <w:t>品目分类目录》(财库[2013]189号)。</w:t>
      </w:r>
    </w:p>
    <w:p>
      <w:pPr>
        <w:spacing w:line="360" w:lineRule="auto"/>
        <w:rPr>
          <w:rFonts w:ascii="宋体" w:hAnsi="宋体" w:cs="宋体"/>
          <w:sz w:val="24"/>
          <w:highlight w:val="none"/>
        </w:rPr>
      </w:pPr>
      <w:r>
        <w:rPr>
          <w:rFonts w:hint="eastAsia" w:ascii="宋体" w:hAnsi="宋体" w:cs="宋体"/>
          <w:sz w:val="24"/>
          <w:highlight w:val="none"/>
        </w:rPr>
        <w:t>2.10“工程”是指建设工程，包括建筑物和构筑物的新建、改建、扩建、装修、拆除、修缮等，详见《</w:t>
      </w:r>
      <w:r>
        <w:rPr>
          <w:rFonts w:hint="eastAsia" w:ascii="宋体" w:hAnsi="宋体" w:cs="宋体"/>
          <w:sz w:val="24"/>
          <w:highlight w:val="none"/>
          <w:lang w:eastAsia="zh-CN"/>
        </w:rPr>
        <w:t>采购</w:t>
      </w:r>
      <w:r>
        <w:rPr>
          <w:rFonts w:hint="eastAsia" w:ascii="宋体" w:hAnsi="宋体" w:cs="宋体"/>
          <w:sz w:val="24"/>
          <w:highlight w:val="none"/>
        </w:rPr>
        <w:t>品目分类目录》(财库[2013]189号)。</w:t>
      </w:r>
    </w:p>
    <w:p>
      <w:pPr>
        <w:spacing w:line="360" w:lineRule="auto"/>
        <w:rPr>
          <w:rFonts w:ascii="宋体" w:hAnsi="宋体" w:cs="宋体"/>
          <w:sz w:val="24"/>
          <w:highlight w:val="none"/>
        </w:rPr>
      </w:pPr>
      <w:r>
        <w:rPr>
          <w:rFonts w:hint="eastAsia" w:ascii="宋体" w:hAnsi="宋体" w:cs="宋体"/>
          <w:sz w:val="24"/>
          <w:highlight w:val="none"/>
        </w:rPr>
        <w:t>2.11“服务”是指除货物和工程以外的其他</w:t>
      </w:r>
      <w:r>
        <w:rPr>
          <w:rFonts w:hint="eastAsia" w:ascii="宋体" w:hAnsi="宋体" w:cs="宋体"/>
          <w:sz w:val="24"/>
          <w:highlight w:val="none"/>
          <w:lang w:eastAsia="zh-CN"/>
        </w:rPr>
        <w:t>采购</w:t>
      </w:r>
      <w:r>
        <w:rPr>
          <w:rFonts w:hint="eastAsia" w:ascii="宋体" w:hAnsi="宋体" w:cs="宋体"/>
          <w:sz w:val="24"/>
          <w:highlight w:val="none"/>
        </w:rPr>
        <w:t>对象，详见《</w:t>
      </w:r>
      <w:r>
        <w:rPr>
          <w:rFonts w:hint="eastAsia" w:ascii="宋体" w:hAnsi="宋体" w:cs="宋体"/>
          <w:sz w:val="24"/>
          <w:highlight w:val="none"/>
          <w:lang w:eastAsia="zh-CN"/>
        </w:rPr>
        <w:t>采购</w:t>
      </w:r>
      <w:r>
        <w:rPr>
          <w:rFonts w:hint="eastAsia" w:ascii="宋体" w:hAnsi="宋体" w:cs="宋体"/>
          <w:sz w:val="24"/>
          <w:highlight w:val="none"/>
        </w:rPr>
        <w:t>品目分类目录》(财库[2013]189号)。</w:t>
      </w:r>
    </w:p>
    <w:p>
      <w:pPr>
        <w:spacing w:line="360" w:lineRule="auto"/>
        <w:rPr>
          <w:rFonts w:ascii="宋体" w:hAnsi="宋体" w:cs="宋体"/>
          <w:sz w:val="24"/>
          <w:highlight w:val="none"/>
        </w:rPr>
      </w:pPr>
      <w:r>
        <w:rPr>
          <w:rFonts w:hint="eastAsia" w:ascii="宋体" w:hAnsi="宋体" w:cs="宋体"/>
          <w:sz w:val="24"/>
          <w:highlight w:val="none"/>
        </w:rPr>
        <w:t>2.12“节能产品”或者“环保产品”是指获得国家确定的认证机构出具的有效期内的节能产品认证证书、环境标志产品认证证书的产品。</w:t>
      </w:r>
    </w:p>
    <w:p>
      <w:pPr>
        <w:spacing w:line="360" w:lineRule="auto"/>
        <w:rPr>
          <w:rFonts w:ascii="宋体" w:hAnsi="宋体" w:cs="宋体"/>
          <w:sz w:val="24"/>
          <w:highlight w:val="none"/>
        </w:rPr>
      </w:pPr>
      <w:r>
        <w:rPr>
          <w:rFonts w:hint="eastAsia" w:ascii="宋体" w:hAnsi="宋体" w:cs="宋体"/>
          <w:sz w:val="24"/>
          <w:highlight w:val="none"/>
        </w:rPr>
        <w:t>2.13“进口产品”是指通过中国海关报关验放进入中国境内且产自关境外的产品，详见《关于</w:t>
      </w:r>
      <w:r>
        <w:rPr>
          <w:rFonts w:hint="eastAsia" w:ascii="宋体" w:hAnsi="宋体" w:cs="宋体"/>
          <w:sz w:val="24"/>
          <w:highlight w:val="none"/>
          <w:lang w:eastAsia="zh-CN"/>
        </w:rPr>
        <w:t>采购</w:t>
      </w:r>
      <w:r>
        <w:rPr>
          <w:rFonts w:hint="eastAsia" w:ascii="宋体" w:hAnsi="宋体" w:cs="宋体"/>
          <w:sz w:val="24"/>
          <w:highlight w:val="none"/>
        </w:rPr>
        <w:t>进口产品管理有关问题的通知》(财库[2007]119号)。</w:t>
      </w:r>
    </w:p>
    <w:p>
      <w:pPr>
        <w:spacing w:line="360" w:lineRule="auto"/>
        <w:rPr>
          <w:rFonts w:ascii="宋体" w:hAnsi="宋体" w:cs="宋体"/>
          <w:sz w:val="24"/>
          <w:highlight w:val="none"/>
        </w:rPr>
      </w:pPr>
      <w:r>
        <w:rPr>
          <w:rFonts w:hint="eastAsia" w:ascii="宋体" w:hAnsi="宋体" w:cs="宋体"/>
          <w:sz w:val="24"/>
          <w:highlight w:val="none"/>
        </w:rPr>
        <w:t>2.14“书面形式”是指任何手写、打印或印刷的各种函件，不包括电传、电报、传真、电子邮件。</w:t>
      </w:r>
    </w:p>
    <w:p>
      <w:pPr>
        <w:spacing w:line="360" w:lineRule="auto"/>
        <w:rPr>
          <w:rFonts w:ascii="宋体" w:hAnsi="宋体" w:cs="宋体"/>
          <w:sz w:val="24"/>
          <w:highlight w:val="none"/>
        </w:rPr>
      </w:pPr>
      <w:r>
        <w:rPr>
          <w:rFonts w:hint="eastAsia" w:ascii="宋体" w:hAnsi="宋体" w:cs="宋体"/>
          <w:sz w:val="24"/>
          <w:highlight w:val="none"/>
        </w:rPr>
        <w:t>2.15“招标采购单位”系指“采购人”。</w:t>
      </w:r>
    </w:p>
    <w:p>
      <w:pPr>
        <w:pStyle w:val="30"/>
        <w:spacing w:line="360" w:lineRule="auto"/>
        <w:ind w:left="0" w:leftChars="0"/>
        <w:rPr>
          <w:highlight w:val="none"/>
        </w:rPr>
      </w:pPr>
      <w:r>
        <w:rPr>
          <w:rFonts w:hint="eastAsia" w:ascii="宋体" w:hAnsi="宋体" w:cs="宋体"/>
          <w:sz w:val="24"/>
          <w:highlight w:val="none"/>
        </w:rPr>
        <w:t>2.16投标人应仔细阅读招标文件的全部内容（招标文件中特别提醒的内容与要求同为招标文件的有效组成部分），按照招标文件要求编制投标文件。任何对招标文件的忽略或误解不能作为投标文件存在缺陷或瑕疵的理由，其风险由投标人承担。</w:t>
      </w:r>
    </w:p>
    <w:p>
      <w:pPr>
        <w:pStyle w:val="7"/>
        <w:jc w:val="both"/>
        <w:rPr>
          <w:rFonts w:ascii="宋体" w:hAnsi="宋体" w:cs="宋体"/>
          <w:sz w:val="24"/>
          <w:highlight w:val="none"/>
          <w:lang w:val="zh-CN"/>
        </w:rPr>
      </w:pPr>
      <w:bookmarkStart w:id="52" w:name="_Toc19398"/>
      <w:bookmarkStart w:id="53" w:name="_Toc22890"/>
      <w:bookmarkStart w:id="54" w:name="_Toc3548"/>
      <w:bookmarkStart w:id="55" w:name="_Toc14148"/>
      <w:bookmarkStart w:id="56" w:name="_Toc19415"/>
      <w:bookmarkStart w:id="57" w:name="_Toc16327"/>
      <w:r>
        <w:rPr>
          <w:rFonts w:hint="eastAsia" w:ascii="宋体" w:hAnsi="宋体" w:cs="宋体"/>
          <w:sz w:val="24"/>
          <w:highlight w:val="none"/>
          <w:lang w:val="zh-CN"/>
        </w:rPr>
        <w:t>3.合格的投标人</w:t>
      </w:r>
      <w:bookmarkEnd w:id="52"/>
      <w:bookmarkEnd w:id="53"/>
      <w:bookmarkEnd w:id="54"/>
      <w:bookmarkEnd w:id="55"/>
      <w:bookmarkEnd w:id="56"/>
      <w:bookmarkEnd w:id="57"/>
    </w:p>
    <w:p>
      <w:pPr>
        <w:spacing w:line="360" w:lineRule="auto"/>
        <w:rPr>
          <w:rFonts w:ascii="宋体" w:hAnsi="宋体" w:cs="宋体"/>
          <w:b/>
          <w:bCs/>
          <w:sz w:val="24"/>
          <w:highlight w:val="none"/>
        </w:rPr>
      </w:pPr>
      <w:r>
        <w:rPr>
          <w:rFonts w:hint="eastAsia" w:ascii="宋体" w:hAnsi="宋体" w:cs="宋体"/>
          <w:b/>
          <w:bCs/>
          <w:sz w:val="24"/>
          <w:highlight w:val="none"/>
        </w:rPr>
        <w:t>合格的投标人应具备以下条件：</w:t>
      </w:r>
    </w:p>
    <w:p>
      <w:pPr>
        <w:spacing w:line="360" w:lineRule="auto"/>
        <w:rPr>
          <w:rFonts w:ascii="宋体" w:hAnsi="宋体" w:cs="宋体"/>
          <w:sz w:val="24"/>
          <w:highlight w:val="none"/>
        </w:rPr>
      </w:pPr>
      <w:r>
        <w:rPr>
          <w:rFonts w:hint="eastAsia" w:ascii="宋体" w:hAnsi="宋体" w:cs="宋体"/>
          <w:sz w:val="24"/>
          <w:highlight w:val="none"/>
        </w:rPr>
        <w:t>3.1符合《中华人民共和国</w:t>
      </w:r>
      <w:r>
        <w:rPr>
          <w:rFonts w:hint="eastAsia" w:ascii="宋体" w:hAnsi="宋体" w:cs="宋体"/>
          <w:sz w:val="24"/>
          <w:highlight w:val="none"/>
          <w:lang w:eastAsia="zh-CN"/>
        </w:rPr>
        <w:t>采购</w:t>
      </w:r>
      <w:r>
        <w:rPr>
          <w:rFonts w:hint="eastAsia" w:ascii="宋体" w:hAnsi="宋体" w:cs="宋体"/>
          <w:sz w:val="24"/>
          <w:highlight w:val="none"/>
        </w:rPr>
        <w:t>法》第二十二条投标人参加</w:t>
      </w:r>
      <w:r>
        <w:rPr>
          <w:rFonts w:hint="eastAsia" w:ascii="宋体" w:hAnsi="宋体" w:cs="宋体"/>
          <w:sz w:val="24"/>
          <w:highlight w:val="none"/>
          <w:lang w:eastAsia="zh-CN"/>
        </w:rPr>
        <w:t>采购</w:t>
      </w:r>
      <w:r>
        <w:rPr>
          <w:rFonts w:hint="eastAsia" w:ascii="宋体" w:hAnsi="宋体" w:cs="宋体"/>
          <w:sz w:val="24"/>
          <w:highlight w:val="none"/>
        </w:rPr>
        <w:t>活动应当具备的条件及其他有关法律、法规关于投标人的有关规定，有能力提供招标采购货物及服务的投标人。</w:t>
      </w:r>
    </w:p>
    <w:p>
      <w:pPr>
        <w:spacing w:line="360" w:lineRule="auto"/>
        <w:rPr>
          <w:highlight w:val="none"/>
        </w:rPr>
      </w:pPr>
      <w:r>
        <w:rPr>
          <w:rFonts w:hint="eastAsia" w:ascii="宋体" w:hAnsi="宋体" w:cs="宋体"/>
          <w:sz w:val="24"/>
          <w:highlight w:val="none"/>
        </w:rPr>
        <w:t>3.2符合《投标邀请》中关于投标人资格要求的规定。</w:t>
      </w:r>
    </w:p>
    <w:p>
      <w:pPr>
        <w:spacing w:line="360" w:lineRule="auto"/>
        <w:rPr>
          <w:rFonts w:ascii="宋体" w:hAnsi="宋体" w:cs="宋体"/>
          <w:sz w:val="24"/>
          <w:highlight w:val="none"/>
        </w:rPr>
      </w:pPr>
      <w:r>
        <w:rPr>
          <w:rFonts w:hint="eastAsia" w:ascii="宋体" w:hAnsi="宋体" w:cs="宋体"/>
          <w:sz w:val="24"/>
          <w:highlight w:val="none"/>
        </w:rPr>
        <w:t>3.3关于关联企业除联合体外，法定代表人或单位负责人为同一个人或者存在直接控股、管理关系的不同投标人，不得同时参加同一项目或同一子项目的投标。如同时参加，则评审时将同时被拒绝。</w:t>
      </w:r>
    </w:p>
    <w:p>
      <w:pPr>
        <w:pStyle w:val="30"/>
        <w:spacing w:line="360" w:lineRule="auto"/>
        <w:ind w:left="0" w:leftChars="0"/>
        <w:rPr>
          <w:rFonts w:ascii="宋体" w:hAnsi="宋体" w:cs="宋体"/>
          <w:sz w:val="24"/>
          <w:highlight w:val="none"/>
        </w:rPr>
      </w:pPr>
      <w:r>
        <w:rPr>
          <w:rFonts w:hint="eastAsia" w:ascii="宋体" w:hAnsi="宋体" w:cs="宋体"/>
          <w:sz w:val="24"/>
          <w:highlight w:val="none"/>
        </w:rPr>
        <w:t>3.4关于分公司投标（除银行、保险、电力、电信等特殊行业外，本项目不接受非独立法人单位分公司的投标）</w:t>
      </w:r>
    </w:p>
    <w:p>
      <w:pPr>
        <w:pStyle w:val="30"/>
        <w:spacing w:line="360" w:lineRule="auto"/>
        <w:ind w:left="0" w:leftChars="0" w:firstLine="480" w:firstLineChars="200"/>
        <w:rPr>
          <w:rFonts w:ascii="宋体" w:hAnsi="宋体" w:cs="宋体"/>
          <w:sz w:val="24"/>
          <w:highlight w:val="none"/>
        </w:rPr>
      </w:pPr>
      <w:r>
        <w:rPr>
          <w:rFonts w:hint="eastAsia" w:ascii="宋体" w:hAnsi="宋体" w:cs="宋体"/>
          <w:sz w:val="24"/>
          <w:highlight w:val="none"/>
        </w:rPr>
        <w:t>分公司作为投标人参与本项目</w:t>
      </w:r>
      <w:r>
        <w:rPr>
          <w:rFonts w:hint="eastAsia" w:ascii="宋体" w:hAnsi="宋体" w:cs="宋体"/>
          <w:sz w:val="24"/>
          <w:highlight w:val="none"/>
          <w:lang w:eastAsia="zh-CN"/>
        </w:rPr>
        <w:t>采购</w:t>
      </w:r>
      <w:r>
        <w:rPr>
          <w:rFonts w:hint="eastAsia" w:ascii="宋体" w:hAnsi="宋体" w:cs="宋体"/>
          <w:sz w:val="24"/>
          <w:highlight w:val="none"/>
        </w:rPr>
        <w:t>活动的，应提供具有法人资格的总公司的营业执照副本扫描件及法人企业授权书，法人企业授权书须加盖总公司公章。总公司可就本项目或此类项目在一定范围或时间内出具法人企业授权书。已由总公司授权的，总公司取得的相关资质证书对分公司有效，法律法规或者行业另有规定的除外。</w:t>
      </w:r>
    </w:p>
    <w:p>
      <w:pPr>
        <w:spacing w:line="360" w:lineRule="auto"/>
        <w:rPr>
          <w:rFonts w:ascii="宋体" w:hAnsi="宋体" w:cs="宋体"/>
          <w:sz w:val="24"/>
          <w:highlight w:val="none"/>
        </w:rPr>
      </w:pPr>
      <w:r>
        <w:rPr>
          <w:rFonts w:hint="eastAsia" w:ascii="宋体" w:hAnsi="宋体" w:cs="宋体"/>
          <w:sz w:val="24"/>
          <w:highlight w:val="none"/>
        </w:rPr>
        <w:t>3.5关于提供前期服务的投标人为采购项目提供整体设计、规范编制或者项目管理、监理、检测等服务的投标人，不得再参加该采购项目的其他采购活动。</w:t>
      </w:r>
    </w:p>
    <w:p>
      <w:pPr>
        <w:pStyle w:val="7"/>
        <w:jc w:val="both"/>
        <w:rPr>
          <w:rFonts w:ascii="宋体" w:hAnsi="宋体" w:cs="宋体"/>
          <w:sz w:val="24"/>
          <w:highlight w:val="none"/>
        </w:rPr>
      </w:pPr>
      <w:bookmarkStart w:id="58" w:name="_Toc1417"/>
      <w:bookmarkStart w:id="59" w:name="_Toc29398"/>
      <w:bookmarkStart w:id="60" w:name="_Toc13985"/>
      <w:bookmarkStart w:id="61" w:name="_Toc6836"/>
      <w:bookmarkStart w:id="62" w:name="_Toc4654"/>
      <w:bookmarkStart w:id="63" w:name="_Toc31472"/>
      <w:bookmarkStart w:id="64" w:name="_Toc3295"/>
      <w:bookmarkStart w:id="65" w:name="_Toc25932"/>
      <w:bookmarkStart w:id="66" w:name="_Toc20194"/>
      <w:bookmarkStart w:id="67" w:name="_Toc9150"/>
      <w:bookmarkStart w:id="68" w:name="_Toc20426"/>
      <w:r>
        <w:rPr>
          <w:rFonts w:hint="eastAsia" w:ascii="宋体" w:hAnsi="宋体" w:cs="宋体"/>
          <w:sz w:val="24"/>
          <w:highlight w:val="none"/>
        </w:rPr>
        <w:t>4.投标费用</w:t>
      </w:r>
      <w:bookmarkEnd w:id="58"/>
      <w:bookmarkEnd w:id="59"/>
      <w:bookmarkEnd w:id="60"/>
      <w:bookmarkEnd w:id="61"/>
      <w:bookmarkEnd w:id="62"/>
      <w:bookmarkEnd w:id="63"/>
    </w:p>
    <w:p>
      <w:pPr>
        <w:spacing w:line="360" w:lineRule="auto"/>
        <w:rPr>
          <w:rFonts w:ascii="宋体" w:hAnsi="宋体" w:cs="宋体"/>
          <w:color w:val="000000"/>
          <w:sz w:val="24"/>
          <w:highlight w:val="none"/>
        </w:rPr>
      </w:pPr>
      <w:r>
        <w:rPr>
          <w:rFonts w:hint="eastAsia" w:ascii="宋体" w:hAnsi="宋体" w:cs="宋体"/>
          <w:sz w:val="24"/>
          <w:highlight w:val="none"/>
        </w:rPr>
        <w:t>4.1投标人应承担其准备与参加投标所涉及的一切费用。在任何情况下采购人及</w:t>
      </w:r>
      <w:r>
        <w:rPr>
          <w:rFonts w:hint="eastAsia" w:ascii="宋体" w:hAnsi="宋体" w:cs="宋体"/>
          <w:sz w:val="24"/>
          <w:highlight w:val="none"/>
          <w:lang w:eastAsia="zh-CN"/>
        </w:rPr>
        <w:t>采购人</w:t>
      </w:r>
      <w:r>
        <w:rPr>
          <w:rFonts w:hint="eastAsia" w:ascii="宋体" w:hAnsi="宋体" w:cs="宋体"/>
          <w:sz w:val="24"/>
          <w:highlight w:val="none"/>
        </w:rPr>
        <w:t>不承担任何费用。</w:t>
      </w:r>
    </w:p>
    <w:p>
      <w:pPr>
        <w:pStyle w:val="6"/>
        <w:rPr>
          <w:rFonts w:hint="eastAsia" w:ascii="宋体" w:hAnsi="宋体" w:cs="宋体"/>
          <w:sz w:val="32"/>
          <w:szCs w:val="32"/>
          <w:highlight w:val="none"/>
        </w:rPr>
      </w:pPr>
    </w:p>
    <w:p>
      <w:pPr>
        <w:pStyle w:val="6"/>
        <w:rPr>
          <w:rFonts w:hint="eastAsia" w:ascii="宋体" w:hAnsi="宋体" w:cs="宋体"/>
          <w:sz w:val="32"/>
          <w:szCs w:val="32"/>
          <w:highlight w:val="none"/>
        </w:rPr>
      </w:pPr>
    </w:p>
    <w:p>
      <w:pPr>
        <w:rPr>
          <w:rFonts w:hint="eastAsia" w:ascii="宋体" w:hAnsi="宋体" w:cs="宋体"/>
          <w:sz w:val="32"/>
          <w:szCs w:val="32"/>
          <w:highlight w:val="none"/>
        </w:rPr>
      </w:pPr>
    </w:p>
    <w:p>
      <w:pPr>
        <w:pStyle w:val="2"/>
        <w:rPr>
          <w:rFonts w:hint="eastAsia"/>
          <w:highlight w:val="none"/>
        </w:rPr>
      </w:pPr>
    </w:p>
    <w:p>
      <w:pPr>
        <w:pStyle w:val="6"/>
        <w:rPr>
          <w:rFonts w:hint="eastAsia" w:ascii="宋体" w:hAnsi="宋体" w:cs="宋体"/>
          <w:sz w:val="32"/>
          <w:szCs w:val="32"/>
          <w:highlight w:val="none"/>
        </w:rPr>
      </w:pPr>
    </w:p>
    <w:p>
      <w:pPr>
        <w:pStyle w:val="6"/>
        <w:rPr>
          <w:rFonts w:ascii="宋体" w:hAnsi="宋体" w:cs="宋体"/>
          <w:sz w:val="32"/>
          <w:szCs w:val="32"/>
          <w:highlight w:val="none"/>
        </w:rPr>
      </w:pPr>
      <w:r>
        <w:rPr>
          <w:rFonts w:hint="eastAsia" w:ascii="宋体" w:hAnsi="宋体" w:cs="宋体"/>
          <w:sz w:val="32"/>
          <w:szCs w:val="32"/>
          <w:highlight w:val="none"/>
        </w:rPr>
        <w:t>二、招标文件</w:t>
      </w:r>
      <w:bookmarkEnd w:id="64"/>
      <w:bookmarkEnd w:id="65"/>
      <w:bookmarkEnd w:id="66"/>
      <w:bookmarkEnd w:id="67"/>
      <w:bookmarkEnd w:id="68"/>
      <w:bookmarkStart w:id="69" w:name="_Toc217446039"/>
      <w:bookmarkStart w:id="70" w:name="_Toc183582210"/>
      <w:bookmarkStart w:id="71" w:name="_Toc183682347"/>
    </w:p>
    <w:p>
      <w:pPr>
        <w:pStyle w:val="7"/>
        <w:jc w:val="both"/>
        <w:rPr>
          <w:rFonts w:ascii="宋体" w:hAnsi="宋体" w:cs="宋体"/>
          <w:sz w:val="24"/>
          <w:highlight w:val="none"/>
          <w:lang w:val="zh-CN"/>
        </w:rPr>
      </w:pPr>
      <w:bookmarkStart w:id="72" w:name="_Toc27447"/>
      <w:bookmarkStart w:id="73" w:name="_Toc14154"/>
      <w:bookmarkStart w:id="74" w:name="_Toc841"/>
      <w:bookmarkStart w:id="75" w:name="_Toc3450"/>
      <w:bookmarkStart w:id="76" w:name="_Toc9052"/>
      <w:bookmarkStart w:id="77" w:name="_Toc11700"/>
      <w:r>
        <w:rPr>
          <w:rFonts w:hint="eastAsia" w:ascii="宋体" w:hAnsi="宋体" w:cs="宋体"/>
          <w:sz w:val="24"/>
          <w:highlight w:val="none"/>
          <w:lang w:val="zh-CN"/>
        </w:rPr>
        <w:t>5．招标文件的构成</w:t>
      </w:r>
      <w:bookmarkEnd w:id="69"/>
      <w:bookmarkEnd w:id="70"/>
      <w:bookmarkEnd w:id="71"/>
      <w:bookmarkEnd w:id="72"/>
      <w:bookmarkEnd w:id="73"/>
      <w:bookmarkEnd w:id="74"/>
      <w:bookmarkEnd w:id="75"/>
      <w:bookmarkEnd w:id="76"/>
      <w:bookmarkEnd w:id="77"/>
    </w:p>
    <w:p>
      <w:pPr>
        <w:pStyle w:val="210"/>
        <w:spacing w:line="360" w:lineRule="auto"/>
        <w:jc w:val="both"/>
        <w:rPr>
          <w:highlight w:val="none"/>
          <w:lang w:val="zh-CN"/>
        </w:rPr>
      </w:pPr>
      <w:r>
        <w:rPr>
          <w:rFonts w:hint="eastAsia"/>
          <w:highlight w:val="none"/>
          <w:lang w:val="zh-CN"/>
        </w:rPr>
        <w:t>5.1招标文件用以阐明招标项目所需的资质、技术、服务及报价等要求、招标投标程序、有关规定和注意事项以及合同主要条款等。本招标文件包括以下内容,但不限于这些内容：</w:t>
      </w:r>
    </w:p>
    <w:p>
      <w:pPr>
        <w:pStyle w:val="210"/>
        <w:spacing w:line="360" w:lineRule="auto"/>
        <w:jc w:val="both"/>
        <w:rPr>
          <w:highlight w:val="none"/>
        </w:rPr>
      </w:pPr>
      <w:r>
        <w:rPr>
          <w:rFonts w:hint="eastAsia"/>
          <w:highlight w:val="none"/>
        </w:rPr>
        <w:t>5.1.1投标邀请</w:t>
      </w:r>
    </w:p>
    <w:p>
      <w:pPr>
        <w:pStyle w:val="210"/>
        <w:spacing w:line="360" w:lineRule="auto"/>
        <w:jc w:val="both"/>
        <w:rPr>
          <w:highlight w:val="none"/>
        </w:rPr>
      </w:pPr>
      <w:r>
        <w:rPr>
          <w:rFonts w:hint="eastAsia"/>
          <w:highlight w:val="none"/>
        </w:rPr>
        <w:t>5.1.2投标人须知</w:t>
      </w:r>
    </w:p>
    <w:p>
      <w:pPr>
        <w:pStyle w:val="210"/>
        <w:spacing w:line="360" w:lineRule="auto"/>
        <w:jc w:val="both"/>
        <w:rPr>
          <w:highlight w:val="none"/>
        </w:rPr>
      </w:pPr>
      <w:r>
        <w:rPr>
          <w:rFonts w:hint="eastAsia"/>
          <w:highlight w:val="none"/>
        </w:rPr>
        <w:t>5.1.3采购需求及技术要求</w:t>
      </w:r>
    </w:p>
    <w:p>
      <w:pPr>
        <w:pStyle w:val="210"/>
        <w:spacing w:line="360" w:lineRule="auto"/>
        <w:jc w:val="both"/>
        <w:rPr>
          <w:highlight w:val="none"/>
        </w:rPr>
      </w:pPr>
      <w:r>
        <w:rPr>
          <w:rFonts w:hint="eastAsia"/>
          <w:highlight w:val="none"/>
        </w:rPr>
        <w:t>5.1.4资格证明文件</w:t>
      </w:r>
    </w:p>
    <w:p>
      <w:pPr>
        <w:pStyle w:val="210"/>
        <w:spacing w:line="360" w:lineRule="auto"/>
        <w:jc w:val="both"/>
        <w:rPr>
          <w:highlight w:val="none"/>
        </w:rPr>
      </w:pPr>
      <w:r>
        <w:rPr>
          <w:rFonts w:hint="eastAsia"/>
          <w:highlight w:val="none"/>
        </w:rPr>
        <w:t>5.1.5评标办法</w:t>
      </w:r>
    </w:p>
    <w:p>
      <w:pPr>
        <w:pStyle w:val="210"/>
        <w:spacing w:line="360" w:lineRule="auto"/>
        <w:jc w:val="both"/>
        <w:rPr>
          <w:highlight w:val="none"/>
        </w:rPr>
      </w:pPr>
      <w:r>
        <w:rPr>
          <w:rFonts w:hint="eastAsia"/>
          <w:highlight w:val="none"/>
        </w:rPr>
        <w:t>5.1.6投标文件格式</w:t>
      </w:r>
    </w:p>
    <w:p>
      <w:pPr>
        <w:pStyle w:val="210"/>
        <w:spacing w:line="360" w:lineRule="auto"/>
        <w:jc w:val="both"/>
        <w:rPr>
          <w:highlight w:val="none"/>
        </w:rPr>
      </w:pPr>
      <w:r>
        <w:rPr>
          <w:rFonts w:hint="eastAsia"/>
          <w:highlight w:val="none"/>
        </w:rPr>
        <w:t>5.1.7合同条款及合同格式</w:t>
      </w:r>
    </w:p>
    <w:p>
      <w:pPr>
        <w:pStyle w:val="210"/>
        <w:spacing w:line="360" w:lineRule="auto"/>
        <w:jc w:val="both"/>
        <w:rPr>
          <w:highlight w:val="none"/>
          <w:lang w:val="zh-CN"/>
        </w:rPr>
      </w:pPr>
      <w:r>
        <w:rPr>
          <w:rFonts w:hint="eastAsia"/>
          <w:highlight w:val="none"/>
          <w:lang w:val="zh-CN"/>
        </w:rPr>
        <w:t>5.2投标人应认真阅读和充分理解招标文件中所有的事项、格式条款和规范要求。投标人没有对招标文件全面作出实质性响应是投标人的风险。没有按照招标文件要求做出实质性响应的投标文件将被拒绝。</w:t>
      </w:r>
      <w:bookmarkStart w:id="78" w:name="_Toc183682348"/>
      <w:bookmarkStart w:id="79" w:name="_Toc183582211"/>
      <w:bookmarkStart w:id="80" w:name="_Toc217446040"/>
    </w:p>
    <w:p>
      <w:pPr>
        <w:pStyle w:val="7"/>
        <w:jc w:val="both"/>
        <w:rPr>
          <w:rFonts w:ascii="宋体" w:hAnsi="宋体" w:cs="宋体"/>
          <w:sz w:val="24"/>
          <w:highlight w:val="none"/>
          <w:lang w:val="zh-CN"/>
        </w:rPr>
      </w:pPr>
      <w:bookmarkStart w:id="81" w:name="_Toc29913"/>
      <w:bookmarkStart w:id="82" w:name="_Toc21289"/>
      <w:bookmarkStart w:id="83" w:name="_Toc20124"/>
      <w:bookmarkStart w:id="84" w:name="_Toc9777"/>
      <w:bookmarkStart w:id="85" w:name="_Toc1077"/>
      <w:bookmarkStart w:id="86" w:name="_Toc31197"/>
      <w:r>
        <w:rPr>
          <w:rFonts w:hint="eastAsia" w:ascii="宋体" w:hAnsi="宋体" w:cs="宋体"/>
          <w:sz w:val="24"/>
          <w:highlight w:val="none"/>
          <w:lang w:val="zh-CN"/>
        </w:rPr>
        <w:t>6.招标文件的澄清</w:t>
      </w:r>
      <w:bookmarkEnd w:id="78"/>
      <w:bookmarkEnd w:id="79"/>
      <w:r>
        <w:rPr>
          <w:rFonts w:hint="eastAsia" w:ascii="宋体" w:hAnsi="宋体" w:cs="宋体"/>
          <w:sz w:val="24"/>
          <w:highlight w:val="none"/>
          <w:lang w:val="zh-CN"/>
        </w:rPr>
        <w:t>和修改</w:t>
      </w:r>
      <w:bookmarkEnd w:id="80"/>
      <w:bookmarkEnd w:id="81"/>
      <w:bookmarkEnd w:id="82"/>
      <w:bookmarkEnd w:id="83"/>
      <w:bookmarkEnd w:id="84"/>
      <w:bookmarkEnd w:id="85"/>
      <w:bookmarkEnd w:id="86"/>
    </w:p>
    <w:p>
      <w:pPr>
        <w:pStyle w:val="210"/>
        <w:spacing w:line="360" w:lineRule="auto"/>
        <w:jc w:val="both"/>
        <w:rPr>
          <w:highlight w:val="none"/>
          <w:lang w:val="zh-CN"/>
        </w:rPr>
      </w:pPr>
      <w:bookmarkStart w:id="87" w:name="_Toc183582213"/>
      <w:bookmarkStart w:id="88" w:name="_Toc183682350"/>
      <w:bookmarkStart w:id="89" w:name="_Toc208848971"/>
      <w:bookmarkStart w:id="90" w:name="_Toc217446041"/>
      <w:r>
        <w:rPr>
          <w:rFonts w:hint="eastAsia"/>
          <w:highlight w:val="none"/>
          <w:lang w:val="zh-CN"/>
        </w:rPr>
        <w:t>6.1在投标截止时间前，招标采购单位无论出于何种原因，可以对招标文件进行澄清或者修改。</w:t>
      </w:r>
    </w:p>
    <w:p>
      <w:pPr>
        <w:pStyle w:val="210"/>
        <w:spacing w:line="360" w:lineRule="auto"/>
        <w:jc w:val="both"/>
        <w:rPr>
          <w:highlight w:val="none"/>
          <w:lang w:val="zh-CN"/>
        </w:rPr>
      </w:pPr>
      <w:r>
        <w:rPr>
          <w:rFonts w:hint="eastAsia"/>
          <w:highlight w:val="none"/>
          <w:lang w:val="zh-CN"/>
        </w:rPr>
        <w:t>6.2招标采购单位对已发出的招标文件进行澄清或者修改的内容可能影响投标文件编制的，应当在招标文件要求的投标文件递交截止时间至少</w:t>
      </w:r>
      <w:r>
        <w:rPr>
          <w:rFonts w:hint="eastAsia"/>
          <w:highlight w:val="none"/>
        </w:rPr>
        <w:t>15</w:t>
      </w:r>
      <w:r>
        <w:rPr>
          <w:rFonts w:hint="eastAsia"/>
          <w:highlight w:val="none"/>
          <w:lang w:val="zh-CN"/>
        </w:rPr>
        <w:t>日前，通知所有获取招标文件的潜在投标人。不足15日的，招标采购单位应当顺延投标文件递交截止时间。同时在甘肃经济信息网上发布更正公告，并对其具有约束力。投标人应立即以信函、传真形式确认已收到修改文件，该澄清或者修改的内容为招标文件的组成部分。</w:t>
      </w:r>
    </w:p>
    <w:p>
      <w:pPr>
        <w:pStyle w:val="210"/>
        <w:spacing w:line="360" w:lineRule="auto"/>
        <w:jc w:val="both"/>
        <w:rPr>
          <w:highlight w:val="none"/>
          <w:lang w:val="zh-CN"/>
        </w:rPr>
      </w:pPr>
      <w:r>
        <w:rPr>
          <w:rFonts w:hint="eastAsia"/>
          <w:highlight w:val="none"/>
          <w:lang w:val="zh-CN"/>
        </w:rPr>
        <w:t>6.3任何要求对招标文件进行澄清的投标人，均应以书面形式通知代理机构，代理机构对按要求递交的任何澄清将以书面或网上公告的形式通知所有购买招标文件的投标人，并对其具有约束力。投标人在被告知、收到上述公告、通知或答疑书后，应立即向代理机构回函确认。未确认情况应当视为对招标文件修改的知晓，也将视为对修改内容接受的默认。对于未在投标文件中对修改内容作实质性响应的，对其产生的不利因素由未确认者自行承担。</w:t>
      </w:r>
    </w:p>
    <w:p>
      <w:pPr>
        <w:pStyle w:val="210"/>
        <w:spacing w:line="360" w:lineRule="auto"/>
        <w:jc w:val="both"/>
        <w:rPr>
          <w:highlight w:val="none"/>
          <w:lang w:val="zh-CN"/>
        </w:rPr>
      </w:pPr>
      <w:r>
        <w:rPr>
          <w:rFonts w:hint="eastAsia"/>
          <w:highlight w:val="none"/>
          <w:lang w:val="zh-CN"/>
        </w:rPr>
        <w:t>6.4在投标截止时间前，招标采购单位可以视采购具体情况，延长投标截止时间和开标时间。并将变更时间以书面形式通知所有获取了招标文件的投标人，同时在甘肃经济信息网上发布更正公告。</w:t>
      </w:r>
    </w:p>
    <w:p>
      <w:pPr>
        <w:pStyle w:val="210"/>
        <w:spacing w:line="360" w:lineRule="auto"/>
        <w:jc w:val="both"/>
        <w:rPr>
          <w:highlight w:val="none"/>
        </w:rPr>
      </w:pPr>
      <w:r>
        <w:rPr>
          <w:rFonts w:hint="eastAsia"/>
          <w:highlight w:val="none"/>
        </w:rPr>
        <w:t>6.5投标人在投标文件递交截止时间前应主动登录甘肃经济信息网以便及时了解相关招标信息和补充信息。如因未主动登录网站而未获取相关信息，对其产生不利因素由投标人自行承担。</w:t>
      </w:r>
    </w:p>
    <w:p>
      <w:pPr>
        <w:pStyle w:val="210"/>
        <w:spacing w:line="360" w:lineRule="auto"/>
        <w:jc w:val="both"/>
        <w:rPr>
          <w:highlight w:val="none"/>
          <w:lang w:val="zh-CN"/>
        </w:rPr>
      </w:pPr>
      <w:r>
        <w:rPr>
          <w:rFonts w:hint="eastAsia"/>
          <w:highlight w:val="none"/>
          <w:lang w:val="zh-CN"/>
        </w:rPr>
        <w:t>6.</w:t>
      </w:r>
      <w:r>
        <w:rPr>
          <w:rFonts w:hint="eastAsia"/>
          <w:highlight w:val="none"/>
        </w:rPr>
        <w:t>6</w:t>
      </w:r>
      <w:r>
        <w:rPr>
          <w:rFonts w:hint="eastAsia"/>
          <w:highlight w:val="none"/>
          <w:lang w:val="zh-CN"/>
        </w:rPr>
        <w:t>投标人应在其获取招标文件之日起7个工作日内对招标文件的内容提出质疑，招标采购单位按规定时间答复，超过时间的质疑将不予接受。</w:t>
      </w:r>
    </w:p>
    <w:p>
      <w:pPr>
        <w:pStyle w:val="210"/>
        <w:spacing w:line="360" w:lineRule="auto"/>
        <w:jc w:val="both"/>
        <w:rPr>
          <w:highlight w:val="none"/>
          <w:lang w:val="zh-CN"/>
        </w:rPr>
      </w:pPr>
      <w:r>
        <w:rPr>
          <w:rFonts w:hint="eastAsia"/>
          <w:highlight w:val="none"/>
          <w:lang w:val="zh-CN"/>
        </w:rPr>
        <w:t>6.</w:t>
      </w:r>
      <w:r>
        <w:rPr>
          <w:rFonts w:hint="eastAsia"/>
          <w:highlight w:val="none"/>
        </w:rPr>
        <w:t>7</w:t>
      </w:r>
      <w:r>
        <w:rPr>
          <w:rFonts w:hint="eastAsia"/>
          <w:highlight w:val="none"/>
          <w:lang w:val="zh-CN"/>
        </w:rPr>
        <w:t>更正公告或变更公告的内容为招标文件的必要组成部分，对所有投标人均具有约束作用。</w:t>
      </w:r>
    </w:p>
    <w:bookmarkEnd w:id="87"/>
    <w:bookmarkEnd w:id="88"/>
    <w:bookmarkEnd w:id="89"/>
    <w:bookmarkEnd w:id="90"/>
    <w:p>
      <w:pPr>
        <w:pStyle w:val="7"/>
        <w:numPr>
          <w:ilvl w:val="0"/>
          <w:numId w:val="4"/>
        </w:numPr>
        <w:jc w:val="both"/>
        <w:rPr>
          <w:rFonts w:ascii="宋体" w:hAnsi="宋体" w:cs="宋体"/>
          <w:sz w:val="24"/>
          <w:highlight w:val="none"/>
          <w:lang w:val="zh-CN"/>
        </w:rPr>
      </w:pPr>
      <w:bookmarkStart w:id="91" w:name="_Toc27972"/>
      <w:bookmarkStart w:id="92" w:name="_Toc14435"/>
      <w:bookmarkStart w:id="93" w:name="_Toc30906"/>
      <w:bookmarkStart w:id="94" w:name="_Toc3000"/>
      <w:bookmarkStart w:id="95" w:name="_Toc24673"/>
      <w:bookmarkStart w:id="96" w:name="_Toc30909"/>
      <w:r>
        <w:rPr>
          <w:rFonts w:hint="eastAsia" w:ascii="宋体" w:hAnsi="宋体" w:cs="宋体"/>
          <w:sz w:val="24"/>
          <w:highlight w:val="none"/>
          <w:lang w:val="zh-CN"/>
        </w:rPr>
        <w:t>现场踏勘</w:t>
      </w:r>
      <w:bookmarkEnd w:id="91"/>
      <w:bookmarkEnd w:id="92"/>
      <w:bookmarkEnd w:id="93"/>
      <w:bookmarkEnd w:id="94"/>
      <w:bookmarkEnd w:id="95"/>
      <w:bookmarkEnd w:id="96"/>
    </w:p>
    <w:p>
      <w:pPr>
        <w:pStyle w:val="16"/>
        <w:ind w:firstLine="0"/>
        <w:rPr>
          <w:highlight w:val="none"/>
          <w:lang w:val="zh-CN"/>
        </w:rPr>
      </w:pPr>
      <w:r>
        <w:rPr>
          <w:rFonts w:hint="eastAsia" w:ascii="宋体" w:hAnsi="宋体" w:cs="宋体"/>
          <w:highlight w:val="none"/>
        </w:rPr>
        <w:t>7.1</w:t>
      </w:r>
      <w:r>
        <w:rPr>
          <w:rFonts w:hint="eastAsia" w:ascii="宋体" w:hAnsi="宋体" w:cs="宋体"/>
          <w:highlight w:val="none"/>
          <w:lang w:val="zh-CN"/>
        </w:rPr>
        <w:t>本项目不组织现场踏勘。</w:t>
      </w:r>
    </w:p>
    <w:p>
      <w:pPr>
        <w:pStyle w:val="6"/>
        <w:jc w:val="both"/>
        <w:rPr>
          <w:rFonts w:ascii="宋体" w:hAnsi="宋体" w:cs="宋体"/>
          <w:sz w:val="32"/>
          <w:szCs w:val="32"/>
          <w:highlight w:val="none"/>
        </w:rPr>
      </w:pPr>
      <w:bookmarkStart w:id="97" w:name="_Toc183682351"/>
      <w:bookmarkStart w:id="98" w:name="_Toc183582214"/>
      <w:bookmarkStart w:id="99" w:name="_Toc89075876"/>
      <w:bookmarkStart w:id="100" w:name="_Toc77400780"/>
      <w:bookmarkStart w:id="101" w:name="_Toc217446042"/>
      <w:bookmarkStart w:id="102" w:name="_Toc14268"/>
      <w:bookmarkStart w:id="103" w:name="_Toc20193"/>
      <w:bookmarkStart w:id="104" w:name="_Toc8282"/>
    </w:p>
    <w:p>
      <w:pPr>
        <w:pStyle w:val="6"/>
        <w:rPr>
          <w:rFonts w:ascii="宋体" w:hAnsi="宋体" w:cs="宋体"/>
          <w:sz w:val="32"/>
          <w:szCs w:val="32"/>
          <w:highlight w:val="none"/>
        </w:rPr>
      </w:pPr>
      <w:bookmarkStart w:id="105" w:name="_Toc23919"/>
      <w:bookmarkStart w:id="106" w:name="_Toc24876"/>
      <w:r>
        <w:rPr>
          <w:rFonts w:hint="eastAsia" w:ascii="宋体" w:hAnsi="宋体" w:cs="宋体"/>
          <w:sz w:val="32"/>
          <w:szCs w:val="32"/>
          <w:highlight w:val="none"/>
        </w:rPr>
        <w:t>三、投标文件</w:t>
      </w:r>
      <w:bookmarkEnd w:id="97"/>
      <w:bookmarkEnd w:id="98"/>
      <w:bookmarkEnd w:id="99"/>
      <w:bookmarkEnd w:id="100"/>
      <w:bookmarkEnd w:id="101"/>
      <w:bookmarkStart w:id="107" w:name="_Toc183582215"/>
      <w:bookmarkStart w:id="108" w:name="_Toc217446043"/>
      <w:bookmarkStart w:id="109" w:name="_Toc183682352"/>
      <w:r>
        <w:rPr>
          <w:rFonts w:hint="eastAsia" w:ascii="宋体" w:hAnsi="宋体" w:cs="宋体"/>
          <w:sz w:val="32"/>
          <w:szCs w:val="32"/>
          <w:highlight w:val="none"/>
        </w:rPr>
        <w:t>的编制</w:t>
      </w:r>
      <w:bookmarkEnd w:id="102"/>
      <w:bookmarkEnd w:id="103"/>
      <w:bookmarkEnd w:id="104"/>
      <w:bookmarkEnd w:id="105"/>
      <w:bookmarkEnd w:id="106"/>
    </w:p>
    <w:p>
      <w:pPr>
        <w:pStyle w:val="7"/>
        <w:jc w:val="both"/>
        <w:rPr>
          <w:rFonts w:ascii="宋体" w:hAnsi="宋体" w:cs="宋体"/>
          <w:sz w:val="24"/>
          <w:highlight w:val="none"/>
          <w:lang w:val="zh-CN"/>
        </w:rPr>
      </w:pPr>
      <w:bookmarkStart w:id="110" w:name="_Toc21742"/>
      <w:bookmarkStart w:id="111" w:name="_Toc16022"/>
      <w:bookmarkStart w:id="112" w:name="_Toc30487"/>
      <w:bookmarkStart w:id="113" w:name="_Toc15432"/>
      <w:bookmarkStart w:id="114" w:name="_Toc12265"/>
      <w:bookmarkStart w:id="115" w:name="_Toc21300"/>
      <w:r>
        <w:rPr>
          <w:rFonts w:hint="eastAsia" w:ascii="宋体" w:hAnsi="宋体" w:cs="宋体"/>
          <w:sz w:val="24"/>
          <w:highlight w:val="none"/>
          <w:lang w:val="zh-CN"/>
        </w:rPr>
        <w:t>8．要求</w:t>
      </w:r>
      <w:bookmarkEnd w:id="110"/>
      <w:bookmarkEnd w:id="111"/>
      <w:bookmarkEnd w:id="112"/>
      <w:bookmarkEnd w:id="113"/>
      <w:bookmarkEnd w:id="114"/>
      <w:bookmarkEnd w:id="115"/>
    </w:p>
    <w:p>
      <w:pPr>
        <w:pStyle w:val="210"/>
        <w:spacing w:line="360" w:lineRule="auto"/>
        <w:jc w:val="both"/>
        <w:rPr>
          <w:highlight w:val="none"/>
          <w:lang w:val="zh-CN"/>
        </w:rPr>
      </w:pPr>
      <w:r>
        <w:rPr>
          <w:rFonts w:hint="eastAsia"/>
          <w:highlight w:val="none"/>
        </w:rPr>
        <w:t>8.1</w:t>
      </w:r>
      <w:r>
        <w:rPr>
          <w:rFonts w:hint="eastAsia"/>
          <w:highlight w:val="none"/>
          <w:lang w:val="zh-CN"/>
        </w:rPr>
        <w:t>投标人应仔细阅读招标文件的所有内容，按招标文件要求编制投标文件，以使其投标对招标文件作出实质性响应。否则，其投标文件可能被拒绝，投标人须自行承担由此引起的风险和责任。</w:t>
      </w:r>
    </w:p>
    <w:p>
      <w:pPr>
        <w:pStyle w:val="210"/>
        <w:spacing w:line="360" w:lineRule="auto"/>
        <w:jc w:val="both"/>
        <w:rPr>
          <w:highlight w:val="none"/>
          <w:lang w:val="zh-CN"/>
        </w:rPr>
      </w:pPr>
      <w:r>
        <w:rPr>
          <w:rFonts w:hint="eastAsia"/>
          <w:highlight w:val="none"/>
          <w:lang w:val="zh-CN"/>
        </w:rPr>
        <w:t>8.2投标人应根据招标文件的规定和投标文件格式编制投标文件，保证其真实有效，并承担相应的法律责任。</w:t>
      </w:r>
    </w:p>
    <w:p>
      <w:pPr>
        <w:pStyle w:val="210"/>
        <w:spacing w:line="360" w:lineRule="auto"/>
        <w:jc w:val="both"/>
        <w:rPr>
          <w:highlight w:val="none"/>
          <w:lang w:val="zh-CN"/>
        </w:rPr>
      </w:pPr>
      <w:r>
        <w:rPr>
          <w:rFonts w:hint="eastAsia"/>
          <w:highlight w:val="none"/>
          <w:lang w:val="zh-CN"/>
        </w:rPr>
        <w:t>8.3投标人应对投标文件所提供的全部资料的真实性承担法律责任，并无条件接受采购人、代理机构对其中任何资料进行核实（核对原件）的要求。采购人、代理机构核对发现有不一致或投标人无正当理由不按时提供原件的，按有关规定执行。</w:t>
      </w:r>
    </w:p>
    <w:p>
      <w:pPr>
        <w:pStyle w:val="7"/>
        <w:jc w:val="both"/>
        <w:rPr>
          <w:rFonts w:ascii="宋体" w:hAnsi="宋体" w:cs="宋体"/>
          <w:sz w:val="24"/>
          <w:highlight w:val="none"/>
          <w:lang w:val="zh-CN"/>
        </w:rPr>
      </w:pPr>
      <w:bookmarkStart w:id="116" w:name="_Toc8319"/>
      <w:bookmarkStart w:id="117" w:name="_Toc9029"/>
      <w:bookmarkStart w:id="118" w:name="_Toc25069"/>
      <w:bookmarkStart w:id="119" w:name="_Toc18728"/>
      <w:bookmarkStart w:id="120" w:name="_Toc1665"/>
      <w:bookmarkStart w:id="121" w:name="_Toc21004"/>
      <w:r>
        <w:rPr>
          <w:rFonts w:hint="eastAsia" w:ascii="宋体" w:hAnsi="宋体" w:cs="宋体"/>
          <w:sz w:val="24"/>
          <w:highlight w:val="none"/>
        </w:rPr>
        <w:t>9.</w:t>
      </w:r>
      <w:r>
        <w:rPr>
          <w:rFonts w:hint="eastAsia" w:ascii="宋体" w:hAnsi="宋体" w:cs="宋体"/>
          <w:sz w:val="24"/>
          <w:highlight w:val="none"/>
          <w:lang w:val="zh-CN"/>
        </w:rPr>
        <w:t>投标文件的语言</w:t>
      </w:r>
      <w:bookmarkEnd w:id="107"/>
      <w:bookmarkEnd w:id="108"/>
      <w:bookmarkEnd w:id="109"/>
      <w:r>
        <w:rPr>
          <w:rFonts w:hint="eastAsia" w:ascii="宋体" w:hAnsi="宋体" w:cs="宋体"/>
          <w:sz w:val="24"/>
          <w:highlight w:val="none"/>
          <w:lang w:val="zh-CN"/>
        </w:rPr>
        <w:t>及计量单位</w:t>
      </w:r>
      <w:bookmarkEnd w:id="116"/>
      <w:bookmarkEnd w:id="117"/>
      <w:bookmarkEnd w:id="118"/>
      <w:bookmarkEnd w:id="119"/>
      <w:bookmarkEnd w:id="120"/>
      <w:bookmarkEnd w:id="121"/>
    </w:p>
    <w:p>
      <w:pPr>
        <w:pStyle w:val="210"/>
        <w:spacing w:line="360" w:lineRule="auto"/>
        <w:jc w:val="both"/>
        <w:rPr>
          <w:highlight w:val="none"/>
          <w:lang w:val="zh-CN"/>
        </w:rPr>
      </w:pPr>
      <w:r>
        <w:rPr>
          <w:rFonts w:hint="eastAsia"/>
          <w:highlight w:val="none"/>
        </w:rPr>
        <w:t>9</w:t>
      </w:r>
      <w:r>
        <w:rPr>
          <w:rFonts w:hint="eastAsia"/>
          <w:highlight w:val="none"/>
          <w:lang w:val="zh-CN"/>
        </w:rPr>
        <w:t>.1投标人提交的投标文件以及投标人与招标采购单位就有关投标的所有来往书面文件均须使用中文。投标文件中如附有外文资料，必须逐一对应翻译成中文并加盖投标人公章后附在相关外文资料后面，否则，投标人的投标文件将作为无效投标处理。</w:t>
      </w:r>
    </w:p>
    <w:p>
      <w:pPr>
        <w:pStyle w:val="210"/>
        <w:spacing w:line="360" w:lineRule="auto"/>
        <w:jc w:val="both"/>
        <w:rPr>
          <w:highlight w:val="none"/>
          <w:lang w:val="zh-CN"/>
        </w:rPr>
      </w:pPr>
      <w:r>
        <w:rPr>
          <w:rFonts w:hint="eastAsia"/>
          <w:highlight w:val="none"/>
        </w:rPr>
        <w:t>9</w:t>
      </w:r>
      <w:r>
        <w:rPr>
          <w:rFonts w:hint="eastAsia"/>
          <w:highlight w:val="none"/>
          <w:lang w:val="zh-CN"/>
        </w:rPr>
        <w:t>.2翻译的中文资料与外文资料如果出现差异和矛盾时，以中文为准。但不能故意错误翻译，否则，投标人的投标文件将作为无效投标处理。</w:t>
      </w:r>
      <w:bookmarkStart w:id="122" w:name="_Toc183582216"/>
      <w:bookmarkStart w:id="123" w:name="_Toc217446044"/>
      <w:bookmarkStart w:id="124" w:name="_Toc183682353"/>
      <w:r>
        <w:rPr>
          <w:rFonts w:hint="eastAsia"/>
          <w:highlight w:val="none"/>
          <w:lang w:val="zh-CN"/>
        </w:rPr>
        <w:t>除签名、盖章、专用名称等特殊情形外，以中文以外的文字表述的投标文件，评标委员会有权拒绝其投标。</w:t>
      </w:r>
    </w:p>
    <w:bookmarkEnd w:id="122"/>
    <w:bookmarkEnd w:id="123"/>
    <w:bookmarkEnd w:id="124"/>
    <w:p>
      <w:pPr>
        <w:pStyle w:val="210"/>
        <w:spacing w:line="360" w:lineRule="auto"/>
        <w:jc w:val="both"/>
        <w:rPr>
          <w:highlight w:val="none"/>
          <w:lang w:val="zh-CN"/>
        </w:rPr>
      </w:pPr>
      <w:r>
        <w:rPr>
          <w:rFonts w:hint="eastAsia"/>
          <w:highlight w:val="none"/>
        </w:rPr>
        <w:t>9.3</w:t>
      </w:r>
      <w:r>
        <w:rPr>
          <w:rFonts w:hint="eastAsia"/>
          <w:highlight w:val="none"/>
          <w:lang w:val="zh-CN"/>
        </w:rPr>
        <w:t>除技术规格及要求中另有规定外，本采购项目下的投标均采用国家法定的计量单位。</w:t>
      </w:r>
      <w:bookmarkStart w:id="125" w:name="_Toc217446045"/>
    </w:p>
    <w:p>
      <w:pPr>
        <w:pStyle w:val="7"/>
        <w:jc w:val="both"/>
        <w:rPr>
          <w:rFonts w:ascii="宋体" w:hAnsi="宋体" w:cs="宋体"/>
          <w:sz w:val="24"/>
          <w:highlight w:val="none"/>
          <w:lang w:val="zh-CN"/>
        </w:rPr>
      </w:pPr>
      <w:bookmarkStart w:id="126" w:name="_Toc14511"/>
      <w:bookmarkStart w:id="127" w:name="_Toc12251"/>
      <w:bookmarkStart w:id="128" w:name="_Toc15633"/>
      <w:bookmarkStart w:id="129" w:name="_Toc14963"/>
      <w:bookmarkStart w:id="130" w:name="_Toc6560"/>
      <w:bookmarkStart w:id="131" w:name="_Toc28136"/>
      <w:r>
        <w:rPr>
          <w:rFonts w:hint="eastAsia" w:ascii="宋体" w:hAnsi="宋体" w:cs="宋体"/>
          <w:sz w:val="24"/>
          <w:highlight w:val="none"/>
          <w:lang w:val="zh-CN"/>
        </w:rPr>
        <w:t>10.投标货币</w:t>
      </w:r>
      <w:bookmarkEnd w:id="125"/>
      <w:bookmarkEnd w:id="126"/>
      <w:bookmarkEnd w:id="127"/>
      <w:bookmarkEnd w:id="128"/>
      <w:bookmarkEnd w:id="129"/>
      <w:bookmarkEnd w:id="130"/>
      <w:bookmarkEnd w:id="131"/>
    </w:p>
    <w:p>
      <w:pPr>
        <w:pStyle w:val="210"/>
        <w:spacing w:line="360" w:lineRule="auto"/>
        <w:jc w:val="both"/>
        <w:rPr>
          <w:highlight w:val="none"/>
          <w:lang w:val="zh-CN"/>
        </w:rPr>
      </w:pPr>
      <w:r>
        <w:rPr>
          <w:rFonts w:hint="eastAsia"/>
          <w:highlight w:val="none"/>
        </w:rPr>
        <w:t>10.1</w:t>
      </w:r>
      <w:r>
        <w:rPr>
          <w:rFonts w:hint="eastAsia"/>
          <w:highlight w:val="none"/>
          <w:lang w:val="zh-CN"/>
        </w:rPr>
        <w:t>本次招标项目的投标均以人民币报价。</w:t>
      </w:r>
      <w:bookmarkStart w:id="132" w:name="_Toc217446046"/>
    </w:p>
    <w:p>
      <w:pPr>
        <w:pStyle w:val="7"/>
        <w:jc w:val="both"/>
        <w:rPr>
          <w:rFonts w:ascii="宋体" w:hAnsi="宋体" w:cs="宋体"/>
          <w:sz w:val="24"/>
          <w:highlight w:val="none"/>
          <w:lang w:val="zh-CN"/>
        </w:rPr>
      </w:pPr>
      <w:bookmarkStart w:id="133" w:name="_Toc1217"/>
      <w:bookmarkStart w:id="134" w:name="_Toc24706"/>
      <w:bookmarkStart w:id="135" w:name="_Toc4857"/>
      <w:bookmarkStart w:id="136" w:name="_Toc18411"/>
      <w:bookmarkStart w:id="137" w:name="_Toc1855"/>
      <w:bookmarkStart w:id="138" w:name="_Toc25690"/>
      <w:r>
        <w:rPr>
          <w:rFonts w:hint="eastAsia" w:ascii="宋体" w:hAnsi="宋体" w:cs="宋体"/>
          <w:sz w:val="24"/>
          <w:highlight w:val="none"/>
          <w:lang w:val="zh-CN"/>
        </w:rPr>
        <w:t>11.联合投标</w:t>
      </w:r>
      <w:bookmarkEnd w:id="132"/>
      <w:bookmarkEnd w:id="133"/>
      <w:bookmarkEnd w:id="134"/>
      <w:bookmarkEnd w:id="135"/>
      <w:bookmarkEnd w:id="136"/>
      <w:bookmarkEnd w:id="137"/>
      <w:bookmarkEnd w:id="138"/>
    </w:p>
    <w:p>
      <w:pPr>
        <w:pStyle w:val="210"/>
        <w:spacing w:line="360" w:lineRule="auto"/>
        <w:jc w:val="both"/>
        <w:rPr>
          <w:highlight w:val="none"/>
          <w:lang w:val="zh-CN"/>
        </w:rPr>
      </w:pPr>
      <w:r>
        <w:rPr>
          <w:rFonts w:hint="eastAsia"/>
          <w:highlight w:val="none"/>
          <w:lang w:val="zh-CN"/>
        </w:rPr>
        <w:t>11.1本项目不接受联合体投标。</w:t>
      </w:r>
      <w:bookmarkStart w:id="139" w:name="_Toc217446047"/>
    </w:p>
    <w:p>
      <w:pPr>
        <w:pStyle w:val="7"/>
        <w:jc w:val="both"/>
        <w:rPr>
          <w:rFonts w:ascii="宋体" w:hAnsi="宋体" w:cs="宋体"/>
          <w:sz w:val="24"/>
          <w:highlight w:val="none"/>
          <w:lang w:val="zh-CN"/>
        </w:rPr>
      </w:pPr>
      <w:bookmarkStart w:id="140" w:name="_Toc23105"/>
      <w:bookmarkStart w:id="141" w:name="_Toc18211"/>
      <w:bookmarkStart w:id="142" w:name="_Toc13413"/>
      <w:bookmarkStart w:id="143" w:name="_Toc20228"/>
      <w:bookmarkStart w:id="144" w:name="_Toc966"/>
      <w:bookmarkStart w:id="145" w:name="_Toc32480"/>
      <w:r>
        <w:rPr>
          <w:rFonts w:hint="eastAsia" w:ascii="宋体" w:hAnsi="宋体" w:cs="宋体"/>
          <w:sz w:val="24"/>
          <w:highlight w:val="none"/>
          <w:lang w:val="zh-CN"/>
        </w:rPr>
        <w:t>12.知识产权</w:t>
      </w:r>
      <w:bookmarkEnd w:id="139"/>
      <w:bookmarkEnd w:id="140"/>
      <w:bookmarkEnd w:id="141"/>
      <w:bookmarkEnd w:id="142"/>
      <w:bookmarkEnd w:id="143"/>
      <w:bookmarkEnd w:id="144"/>
      <w:bookmarkEnd w:id="145"/>
    </w:p>
    <w:p>
      <w:pPr>
        <w:pStyle w:val="210"/>
        <w:spacing w:line="360" w:lineRule="auto"/>
        <w:jc w:val="both"/>
        <w:rPr>
          <w:highlight w:val="none"/>
          <w:lang w:val="zh-CN"/>
        </w:rPr>
      </w:pPr>
      <w:r>
        <w:rPr>
          <w:rFonts w:hint="eastAsia"/>
          <w:highlight w:val="none"/>
          <w:lang w:val="zh-CN"/>
        </w:rPr>
        <w:t>12.1投标人应保证在本项目使用的任何产品和服务（包括部分使用）时，不会产生因第三方提出侵犯其专利权、商标权或其它知识产权而引起的法律和经济纠纷，如因专利权、商标权或其它知识产权而引起法律和经济纠纷，由投标人承担所有相关责任。</w:t>
      </w:r>
    </w:p>
    <w:p>
      <w:pPr>
        <w:pStyle w:val="210"/>
        <w:spacing w:line="360" w:lineRule="auto"/>
        <w:jc w:val="both"/>
        <w:rPr>
          <w:highlight w:val="none"/>
          <w:lang w:val="zh-CN"/>
        </w:rPr>
      </w:pPr>
      <w:r>
        <w:rPr>
          <w:rFonts w:hint="eastAsia"/>
          <w:highlight w:val="none"/>
          <w:lang w:val="zh-CN"/>
        </w:rPr>
        <w:t>12.2采购人享有本项目实施过程中产生的知识成果及知识产权。</w:t>
      </w:r>
    </w:p>
    <w:p>
      <w:pPr>
        <w:pStyle w:val="210"/>
        <w:spacing w:line="360" w:lineRule="auto"/>
        <w:jc w:val="both"/>
        <w:rPr>
          <w:highlight w:val="none"/>
          <w:lang w:val="zh-CN"/>
        </w:rPr>
      </w:pPr>
      <w:r>
        <w:rPr>
          <w:rFonts w:hint="eastAsia"/>
          <w:highlight w:val="none"/>
          <w:lang w:val="zh-CN"/>
        </w:rPr>
        <w:t>12.3投标人如欲在项目实施过程中采用自有知识成果，须在投标文件中声明，并提供相关知识产权证明文件。使用该知识成果后，投标人需提供开发接口和开发手册等技术文档，并承诺提供无限期技术支持，采购人享有永久使用权。</w:t>
      </w:r>
    </w:p>
    <w:p>
      <w:pPr>
        <w:pStyle w:val="210"/>
        <w:spacing w:line="360" w:lineRule="auto"/>
        <w:jc w:val="both"/>
        <w:rPr>
          <w:highlight w:val="none"/>
          <w:lang w:val="zh-CN"/>
        </w:rPr>
      </w:pPr>
      <w:r>
        <w:rPr>
          <w:rFonts w:hint="eastAsia"/>
          <w:highlight w:val="none"/>
          <w:lang w:val="zh-CN"/>
        </w:rPr>
        <w:t>12.4如采用投标人所不拥有的知识产权，则在投标报价中必须包括合法获取该知识产权的相关费用。</w:t>
      </w:r>
      <w:bookmarkStart w:id="146" w:name="_Toc183582217"/>
      <w:bookmarkStart w:id="147" w:name="_Toc217446048"/>
      <w:bookmarkStart w:id="148" w:name="_Toc183682354"/>
    </w:p>
    <w:p>
      <w:pPr>
        <w:pStyle w:val="7"/>
        <w:jc w:val="both"/>
        <w:rPr>
          <w:rFonts w:ascii="宋体" w:hAnsi="宋体" w:cs="宋体"/>
          <w:sz w:val="24"/>
          <w:highlight w:val="none"/>
          <w:lang w:val="zh-CN"/>
        </w:rPr>
      </w:pPr>
      <w:bookmarkStart w:id="149" w:name="_Toc22176"/>
      <w:bookmarkStart w:id="150" w:name="_Toc14077"/>
      <w:bookmarkStart w:id="151" w:name="_Toc3718"/>
      <w:bookmarkStart w:id="152" w:name="_Toc30454"/>
      <w:bookmarkStart w:id="153" w:name="_Toc1478"/>
      <w:bookmarkStart w:id="154" w:name="_Toc8134"/>
      <w:r>
        <w:rPr>
          <w:rFonts w:hint="eastAsia" w:ascii="宋体" w:hAnsi="宋体" w:cs="宋体"/>
          <w:sz w:val="24"/>
          <w:highlight w:val="none"/>
          <w:lang w:val="zh-CN"/>
        </w:rPr>
        <w:t>13．投标文件的组成</w:t>
      </w:r>
      <w:bookmarkEnd w:id="146"/>
      <w:bookmarkEnd w:id="147"/>
      <w:bookmarkEnd w:id="148"/>
      <w:bookmarkEnd w:id="149"/>
      <w:bookmarkEnd w:id="150"/>
      <w:bookmarkEnd w:id="151"/>
      <w:bookmarkEnd w:id="152"/>
      <w:bookmarkEnd w:id="153"/>
      <w:bookmarkEnd w:id="154"/>
    </w:p>
    <w:p>
      <w:pPr>
        <w:pStyle w:val="210"/>
        <w:spacing w:line="360" w:lineRule="auto"/>
        <w:ind w:firstLine="480" w:firstLineChars="200"/>
        <w:jc w:val="both"/>
        <w:rPr>
          <w:highlight w:val="none"/>
          <w:lang w:val="zh-CN"/>
        </w:rPr>
      </w:pPr>
      <w:r>
        <w:rPr>
          <w:rFonts w:hint="eastAsia"/>
          <w:highlight w:val="none"/>
          <w:lang w:val="zh-CN"/>
        </w:rPr>
        <w:t>投标人应按照招标文件的规定和要求编制投标文件。投标人拟在中标后将中标项目的非主体、非关键性工作交由他人完成的，应当在投标文件中载明。投标人编写的投标文件应包括下列部分：</w:t>
      </w:r>
    </w:p>
    <w:p>
      <w:pPr>
        <w:pStyle w:val="210"/>
        <w:spacing w:line="360" w:lineRule="auto"/>
        <w:jc w:val="both"/>
        <w:rPr>
          <w:highlight w:val="none"/>
          <w:lang w:val="zh-CN"/>
        </w:rPr>
      </w:pPr>
      <w:r>
        <w:rPr>
          <w:rFonts w:hint="eastAsia"/>
          <w:b/>
          <w:bCs/>
          <w:highlight w:val="none"/>
          <w:lang w:val="zh-CN"/>
        </w:rPr>
        <w:t>13.1报价部分：</w:t>
      </w:r>
      <w:r>
        <w:rPr>
          <w:rFonts w:hint="eastAsia"/>
          <w:highlight w:val="none"/>
          <w:lang w:val="zh-CN"/>
        </w:rPr>
        <w:t>投标人按照招标文件要求填写的“开标一览表”及“分项报价表”。本次招标报价要求：</w:t>
      </w:r>
    </w:p>
    <w:p>
      <w:pPr>
        <w:pStyle w:val="210"/>
        <w:spacing w:line="360" w:lineRule="auto"/>
        <w:ind w:firstLine="480" w:firstLineChars="200"/>
        <w:jc w:val="both"/>
        <w:rPr>
          <w:highlight w:val="none"/>
          <w:lang w:val="zh-CN"/>
        </w:rPr>
      </w:pPr>
      <w:r>
        <w:rPr>
          <w:rFonts w:hint="eastAsia"/>
          <w:highlight w:val="none"/>
          <w:lang w:val="zh-CN"/>
        </w:rPr>
        <w:t>（1）开标一览表、报价明细表等各表中的报价，若无特殊说明应采用人民币填报。</w:t>
      </w:r>
    </w:p>
    <w:p>
      <w:pPr>
        <w:pStyle w:val="210"/>
        <w:spacing w:line="360" w:lineRule="auto"/>
        <w:ind w:firstLine="480" w:firstLineChars="200"/>
        <w:jc w:val="both"/>
        <w:rPr>
          <w:highlight w:val="none"/>
          <w:lang w:val="zh-CN"/>
        </w:rPr>
      </w:pPr>
      <w:r>
        <w:rPr>
          <w:rFonts w:hint="eastAsia"/>
          <w:highlight w:val="none"/>
          <w:lang w:val="zh-CN"/>
        </w:rPr>
        <w:t>（2）投标报价是为完成招标文件规定的一切工作所需的全部费用的最终优惠价格。</w:t>
      </w:r>
    </w:p>
    <w:p>
      <w:pPr>
        <w:pStyle w:val="210"/>
        <w:spacing w:line="360" w:lineRule="auto"/>
        <w:ind w:firstLine="480" w:firstLineChars="200"/>
        <w:jc w:val="both"/>
        <w:rPr>
          <w:highlight w:val="none"/>
          <w:lang w:val="zh-CN"/>
        </w:rPr>
      </w:pPr>
      <w:r>
        <w:rPr>
          <w:rFonts w:hint="eastAsia"/>
          <w:highlight w:val="none"/>
          <w:lang w:val="zh-CN"/>
        </w:rPr>
        <w:t>（</w:t>
      </w:r>
      <w:r>
        <w:rPr>
          <w:rFonts w:hint="eastAsia"/>
          <w:highlight w:val="none"/>
        </w:rPr>
        <w:t>3</w:t>
      </w:r>
      <w:r>
        <w:rPr>
          <w:rFonts w:hint="eastAsia"/>
          <w:highlight w:val="none"/>
          <w:lang w:val="zh-CN"/>
        </w:rPr>
        <w:t>）除《采购需求》中说明并允许外，投标服务的单项报价以及采购项目的投标总价均只允许有一个报价，任何有选择的报价，招标采购单位均将予以拒绝。</w:t>
      </w:r>
    </w:p>
    <w:p>
      <w:pPr>
        <w:pStyle w:val="210"/>
        <w:spacing w:line="360" w:lineRule="auto"/>
        <w:ind w:firstLine="480" w:firstLineChars="200"/>
        <w:jc w:val="both"/>
        <w:rPr>
          <w:b/>
          <w:bCs/>
          <w:highlight w:val="none"/>
          <w:lang w:val="zh-CN"/>
        </w:rPr>
      </w:pPr>
      <w:r>
        <w:rPr>
          <w:rFonts w:hint="eastAsia"/>
          <w:highlight w:val="none"/>
          <w:lang w:val="zh-CN"/>
        </w:rPr>
        <w:t>（</w:t>
      </w:r>
      <w:r>
        <w:rPr>
          <w:rFonts w:hint="eastAsia"/>
          <w:highlight w:val="none"/>
        </w:rPr>
        <w:t>4</w:t>
      </w:r>
      <w:r>
        <w:rPr>
          <w:rFonts w:hint="eastAsia"/>
          <w:highlight w:val="none"/>
          <w:lang w:val="zh-CN"/>
        </w:rPr>
        <w:t>）投标人不得零报价；在评标过程中评标委员会认为报价不合理或低于成本，有可能影响诚信履约的，应当要求投标人在规定的时间提供书面文件予以解释说明，并提交相关证明，否则，评标委员会可以取消该投标人的资格。</w:t>
      </w:r>
    </w:p>
    <w:p>
      <w:pPr>
        <w:pStyle w:val="210"/>
        <w:spacing w:line="360" w:lineRule="auto"/>
        <w:jc w:val="both"/>
        <w:rPr>
          <w:highlight w:val="none"/>
          <w:lang w:val="zh-CN"/>
        </w:rPr>
      </w:pPr>
      <w:r>
        <w:rPr>
          <w:rFonts w:hint="eastAsia"/>
          <w:b/>
          <w:highlight w:val="none"/>
          <w:lang w:val="zh-CN"/>
        </w:rPr>
        <w:t>1</w:t>
      </w:r>
      <w:r>
        <w:rPr>
          <w:rFonts w:hint="eastAsia"/>
          <w:b/>
          <w:bCs/>
          <w:highlight w:val="none"/>
          <w:lang w:val="zh-CN"/>
        </w:rPr>
        <w:t>3.2技术部分:</w:t>
      </w:r>
      <w:r>
        <w:rPr>
          <w:rFonts w:hint="eastAsia"/>
          <w:highlight w:val="none"/>
          <w:lang w:val="zh-CN"/>
        </w:rPr>
        <w:t>投标人按照招标文件要求做出的技术应答，主要是针对招标项目的技术指标、参数和技术要求做出的实质性响应和满足。投标人的技术应答应包括下列内容：</w:t>
      </w:r>
    </w:p>
    <w:p>
      <w:pPr>
        <w:pStyle w:val="210"/>
        <w:spacing w:line="360" w:lineRule="auto"/>
        <w:ind w:firstLine="480" w:firstLineChars="200"/>
        <w:jc w:val="both"/>
        <w:rPr>
          <w:highlight w:val="none"/>
          <w:lang w:val="zh-CN"/>
        </w:rPr>
      </w:pPr>
      <w:r>
        <w:rPr>
          <w:rFonts w:hint="eastAsia"/>
          <w:highlight w:val="none"/>
          <w:lang w:val="zh-CN"/>
        </w:rPr>
        <w:t>（1）投标产品的品牌、型号、配置；</w:t>
      </w:r>
    </w:p>
    <w:p>
      <w:pPr>
        <w:pStyle w:val="210"/>
        <w:spacing w:line="360" w:lineRule="auto"/>
        <w:ind w:firstLine="480" w:firstLineChars="200"/>
        <w:jc w:val="both"/>
        <w:rPr>
          <w:highlight w:val="none"/>
          <w:lang w:val="zh-CN"/>
        </w:rPr>
      </w:pPr>
      <w:r>
        <w:rPr>
          <w:rFonts w:hint="eastAsia"/>
          <w:highlight w:val="none"/>
          <w:lang w:val="zh-CN"/>
        </w:rPr>
        <w:t>（2）详细的技术指标和参数；</w:t>
      </w:r>
    </w:p>
    <w:p>
      <w:pPr>
        <w:pStyle w:val="210"/>
        <w:spacing w:line="360" w:lineRule="auto"/>
        <w:ind w:firstLine="480" w:firstLineChars="200"/>
        <w:jc w:val="both"/>
        <w:rPr>
          <w:highlight w:val="none"/>
          <w:lang w:val="zh-CN"/>
        </w:rPr>
      </w:pPr>
      <w:r>
        <w:rPr>
          <w:rFonts w:hint="eastAsia"/>
          <w:highlight w:val="none"/>
          <w:lang w:val="zh-CN"/>
        </w:rPr>
        <w:t>（</w:t>
      </w:r>
      <w:r>
        <w:rPr>
          <w:rFonts w:hint="eastAsia"/>
          <w:highlight w:val="none"/>
        </w:rPr>
        <w:t>3</w:t>
      </w:r>
      <w:r>
        <w:rPr>
          <w:rFonts w:hint="eastAsia"/>
          <w:highlight w:val="none"/>
          <w:lang w:val="zh-CN"/>
        </w:rPr>
        <w:t>）技术偏离表；</w:t>
      </w:r>
    </w:p>
    <w:p>
      <w:pPr>
        <w:pStyle w:val="210"/>
        <w:spacing w:line="360" w:lineRule="auto"/>
        <w:ind w:firstLine="480" w:firstLineChars="200"/>
        <w:jc w:val="both"/>
        <w:rPr>
          <w:highlight w:val="none"/>
          <w:lang w:val="zh-CN"/>
        </w:rPr>
      </w:pPr>
      <w:r>
        <w:rPr>
          <w:rFonts w:hint="eastAsia"/>
          <w:highlight w:val="none"/>
          <w:lang w:val="zh-CN"/>
        </w:rPr>
        <w:t>（</w:t>
      </w:r>
      <w:r>
        <w:rPr>
          <w:rFonts w:hint="eastAsia"/>
          <w:highlight w:val="none"/>
        </w:rPr>
        <w:t>4</w:t>
      </w:r>
      <w:r>
        <w:rPr>
          <w:rFonts w:hint="eastAsia"/>
          <w:highlight w:val="none"/>
          <w:lang w:val="zh-CN"/>
        </w:rPr>
        <w:t>）本项目管理、技术人员情况；</w:t>
      </w:r>
    </w:p>
    <w:p>
      <w:pPr>
        <w:pStyle w:val="210"/>
        <w:spacing w:line="360" w:lineRule="auto"/>
        <w:ind w:firstLine="480" w:firstLineChars="200"/>
        <w:jc w:val="both"/>
        <w:rPr>
          <w:highlight w:val="none"/>
          <w:lang w:val="zh-CN"/>
        </w:rPr>
      </w:pPr>
      <w:r>
        <w:rPr>
          <w:rFonts w:hint="eastAsia"/>
          <w:highlight w:val="none"/>
          <w:lang w:val="zh-CN"/>
        </w:rPr>
        <w:t>（</w:t>
      </w:r>
      <w:r>
        <w:rPr>
          <w:rFonts w:hint="eastAsia"/>
          <w:highlight w:val="none"/>
        </w:rPr>
        <w:t>5</w:t>
      </w:r>
      <w:r>
        <w:rPr>
          <w:rFonts w:hint="eastAsia"/>
          <w:highlight w:val="none"/>
          <w:lang w:val="zh-CN"/>
        </w:rPr>
        <w:t>）说明书或产品介绍或产品合格证等证明材料；</w:t>
      </w:r>
    </w:p>
    <w:p>
      <w:pPr>
        <w:pStyle w:val="210"/>
        <w:spacing w:line="360" w:lineRule="auto"/>
        <w:ind w:firstLine="480" w:firstLineChars="200"/>
        <w:jc w:val="both"/>
        <w:rPr>
          <w:highlight w:val="none"/>
          <w:lang w:val="zh-CN"/>
        </w:rPr>
      </w:pPr>
      <w:r>
        <w:rPr>
          <w:rFonts w:hint="eastAsia"/>
          <w:highlight w:val="none"/>
          <w:lang w:val="zh-CN"/>
        </w:rPr>
        <w:t>（</w:t>
      </w:r>
      <w:r>
        <w:rPr>
          <w:rFonts w:hint="eastAsia"/>
          <w:highlight w:val="none"/>
        </w:rPr>
        <w:t>6</w:t>
      </w:r>
      <w:r>
        <w:rPr>
          <w:rFonts w:hint="eastAsia"/>
          <w:highlight w:val="none"/>
          <w:lang w:val="zh-CN"/>
        </w:rPr>
        <w:t>）产品工作环境条件；</w:t>
      </w:r>
    </w:p>
    <w:p>
      <w:pPr>
        <w:pStyle w:val="210"/>
        <w:spacing w:line="360" w:lineRule="auto"/>
        <w:ind w:firstLine="480" w:firstLineChars="200"/>
        <w:jc w:val="both"/>
        <w:rPr>
          <w:highlight w:val="none"/>
          <w:lang w:val="zh-CN"/>
        </w:rPr>
      </w:pPr>
      <w:r>
        <w:rPr>
          <w:rFonts w:hint="eastAsia"/>
          <w:highlight w:val="none"/>
          <w:lang w:val="zh-CN"/>
        </w:rPr>
        <w:t>（</w:t>
      </w:r>
      <w:r>
        <w:rPr>
          <w:rFonts w:hint="eastAsia"/>
          <w:highlight w:val="none"/>
        </w:rPr>
        <w:t>7</w:t>
      </w:r>
      <w:r>
        <w:rPr>
          <w:rFonts w:hint="eastAsia"/>
          <w:highlight w:val="none"/>
          <w:lang w:val="zh-CN"/>
        </w:rPr>
        <w:t>）产品验收标准和验收方法；</w:t>
      </w:r>
    </w:p>
    <w:p>
      <w:pPr>
        <w:pStyle w:val="210"/>
        <w:spacing w:line="360" w:lineRule="auto"/>
        <w:ind w:firstLine="480" w:firstLineChars="200"/>
        <w:jc w:val="both"/>
        <w:rPr>
          <w:highlight w:val="none"/>
          <w:lang w:val="zh-CN"/>
        </w:rPr>
      </w:pPr>
      <w:r>
        <w:rPr>
          <w:rFonts w:hint="eastAsia"/>
          <w:highlight w:val="none"/>
          <w:lang w:val="zh-CN"/>
        </w:rPr>
        <w:t>（</w:t>
      </w:r>
      <w:r>
        <w:rPr>
          <w:rFonts w:hint="eastAsia"/>
          <w:highlight w:val="none"/>
        </w:rPr>
        <w:t>8</w:t>
      </w:r>
      <w:r>
        <w:rPr>
          <w:rFonts w:hint="eastAsia"/>
          <w:highlight w:val="none"/>
          <w:lang w:val="zh-CN"/>
        </w:rPr>
        <w:t>）产品验收清单（注明各部件的品名、数量、价格、规格型号和原产地或生产厂家）；</w:t>
      </w:r>
    </w:p>
    <w:p>
      <w:pPr>
        <w:pStyle w:val="210"/>
        <w:spacing w:line="360" w:lineRule="auto"/>
        <w:ind w:firstLine="480" w:firstLineChars="200"/>
        <w:jc w:val="both"/>
        <w:rPr>
          <w:highlight w:val="none"/>
          <w:lang w:val="zh-CN"/>
        </w:rPr>
      </w:pPr>
      <w:r>
        <w:rPr>
          <w:rFonts w:hint="eastAsia"/>
          <w:highlight w:val="none"/>
          <w:lang w:val="zh-CN"/>
        </w:rPr>
        <w:t>（</w:t>
      </w:r>
      <w:r>
        <w:rPr>
          <w:rFonts w:hint="eastAsia"/>
          <w:highlight w:val="none"/>
        </w:rPr>
        <w:t>9</w:t>
      </w:r>
      <w:r>
        <w:rPr>
          <w:rFonts w:hint="eastAsia"/>
          <w:highlight w:val="none"/>
          <w:lang w:val="zh-CN"/>
        </w:rPr>
        <w:t>）售后服务方案；</w:t>
      </w:r>
    </w:p>
    <w:p>
      <w:pPr>
        <w:pStyle w:val="210"/>
        <w:spacing w:line="360" w:lineRule="auto"/>
        <w:ind w:firstLine="480" w:firstLineChars="200"/>
        <w:jc w:val="both"/>
        <w:rPr>
          <w:highlight w:val="none"/>
          <w:lang w:val="zh-CN"/>
        </w:rPr>
      </w:pPr>
      <w:r>
        <w:rPr>
          <w:rFonts w:hint="eastAsia"/>
          <w:highlight w:val="none"/>
          <w:lang w:val="zh-CN"/>
        </w:rPr>
        <w:t>（</w:t>
      </w:r>
      <w:r>
        <w:rPr>
          <w:rFonts w:hint="eastAsia"/>
          <w:highlight w:val="none"/>
        </w:rPr>
        <w:t>10</w:t>
      </w:r>
      <w:r>
        <w:rPr>
          <w:rFonts w:hint="eastAsia"/>
          <w:highlight w:val="none"/>
          <w:lang w:val="zh-CN"/>
        </w:rPr>
        <w:t>）投标人认为需要提供的文件和资料。</w:t>
      </w:r>
    </w:p>
    <w:p>
      <w:pPr>
        <w:pStyle w:val="210"/>
        <w:spacing w:line="360" w:lineRule="auto"/>
        <w:jc w:val="both"/>
        <w:rPr>
          <w:highlight w:val="none"/>
          <w:lang w:val="zh-CN"/>
        </w:rPr>
      </w:pPr>
      <w:r>
        <w:rPr>
          <w:rFonts w:hint="eastAsia"/>
          <w:b/>
          <w:bCs/>
          <w:highlight w:val="none"/>
          <w:lang w:val="zh-CN"/>
        </w:rPr>
        <w:t>13.3商务部分:</w:t>
      </w:r>
      <w:r>
        <w:rPr>
          <w:rFonts w:hint="eastAsia"/>
          <w:highlight w:val="none"/>
          <w:lang w:val="zh-CN"/>
        </w:rPr>
        <w:t>投标人按照招标文件要求提供的有关资质证明文件及优惠承诺。包括以下内容：</w:t>
      </w:r>
    </w:p>
    <w:p>
      <w:pPr>
        <w:pStyle w:val="210"/>
        <w:spacing w:line="360" w:lineRule="auto"/>
        <w:jc w:val="both"/>
        <w:rPr>
          <w:highlight w:val="none"/>
        </w:rPr>
      </w:pPr>
      <w:r>
        <w:rPr>
          <w:rFonts w:hint="eastAsia"/>
          <w:highlight w:val="none"/>
        </w:rPr>
        <w:t>13.3.1投标人资格证明文件</w:t>
      </w:r>
    </w:p>
    <w:p>
      <w:pPr>
        <w:pStyle w:val="210"/>
        <w:spacing w:line="360" w:lineRule="auto"/>
        <w:ind w:firstLine="480" w:firstLineChars="200"/>
        <w:jc w:val="both"/>
        <w:rPr>
          <w:highlight w:val="none"/>
        </w:rPr>
      </w:pPr>
      <w:r>
        <w:rPr>
          <w:rFonts w:hint="eastAsia"/>
          <w:highlight w:val="none"/>
        </w:rPr>
        <w:t>投标人必须按照第四章投标人资格证明文件的要求提交证明其有资格进行投标和有能力履行合同的文件，提供不全或不符合要求的视为无效投标。</w:t>
      </w:r>
    </w:p>
    <w:p>
      <w:pPr>
        <w:pStyle w:val="210"/>
        <w:spacing w:line="360" w:lineRule="auto"/>
        <w:jc w:val="both"/>
        <w:rPr>
          <w:highlight w:val="none"/>
        </w:rPr>
      </w:pPr>
      <w:r>
        <w:rPr>
          <w:rFonts w:hint="eastAsia"/>
          <w:highlight w:val="none"/>
        </w:rPr>
        <w:t>13.3.2商务响应文件；投标人按照招标文件要求提供的有关证明文件及优惠承诺。包括但不限于以下内容：</w:t>
      </w:r>
    </w:p>
    <w:p>
      <w:pPr>
        <w:pStyle w:val="210"/>
        <w:spacing w:line="360" w:lineRule="auto"/>
        <w:ind w:firstLine="480" w:firstLineChars="200"/>
        <w:jc w:val="both"/>
        <w:rPr>
          <w:highlight w:val="none"/>
        </w:rPr>
      </w:pPr>
      <w:r>
        <w:rPr>
          <w:rFonts w:hint="eastAsia"/>
          <w:highlight w:val="none"/>
        </w:rPr>
        <w:t>（1）投标函</w:t>
      </w:r>
    </w:p>
    <w:p>
      <w:pPr>
        <w:pStyle w:val="210"/>
        <w:spacing w:line="360" w:lineRule="auto"/>
        <w:ind w:firstLine="480" w:firstLineChars="200"/>
        <w:jc w:val="both"/>
        <w:rPr>
          <w:highlight w:val="none"/>
        </w:rPr>
      </w:pPr>
      <w:r>
        <w:rPr>
          <w:rFonts w:hint="eastAsia"/>
          <w:highlight w:val="none"/>
        </w:rPr>
        <w:t>（2）投标人的相关资料和业绩证明材料</w:t>
      </w:r>
    </w:p>
    <w:p>
      <w:pPr>
        <w:pStyle w:val="210"/>
        <w:spacing w:line="360" w:lineRule="auto"/>
        <w:ind w:firstLine="480" w:firstLineChars="200"/>
        <w:jc w:val="both"/>
        <w:rPr>
          <w:highlight w:val="none"/>
        </w:rPr>
      </w:pPr>
      <w:r>
        <w:rPr>
          <w:rFonts w:hint="eastAsia"/>
          <w:highlight w:val="none"/>
        </w:rPr>
        <w:t>（3）商务偏离表</w:t>
      </w:r>
    </w:p>
    <w:p>
      <w:pPr>
        <w:pStyle w:val="210"/>
        <w:spacing w:line="360" w:lineRule="auto"/>
        <w:ind w:firstLine="480" w:firstLineChars="200"/>
        <w:jc w:val="both"/>
        <w:rPr>
          <w:highlight w:val="none"/>
          <w:lang w:val="zh-CN"/>
        </w:rPr>
      </w:pPr>
      <w:r>
        <w:rPr>
          <w:rFonts w:hint="eastAsia"/>
          <w:highlight w:val="none"/>
        </w:rPr>
        <w:t>（4）</w:t>
      </w:r>
      <w:r>
        <w:rPr>
          <w:rFonts w:hint="eastAsia"/>
          <w:highlight w:val="none"/>
          <w:lang w:val="zh-CN"/>
        </w:rPr>
        <w:t>售后服务方案及培训方案（如有）；</w:t>
      </w:r>
    </w:p>
    <w:p>
      <w:pPr>
        <w:pStyle w:val="210"/>
        <w:spacing w:line="360" w:lineRule="auto"/>
        <w:ind w:firstLine="960" w:firstLineChars="400"/>
        <w:jc w:val="both"/>
        <w:rPr>
          <w:highlight w:val="none"/>
          <w:lang w:val="zh-CN"/>
        </w:rPr>
      </w:pPr>
      <w:r>
        <w:rPr>
          <w:rFonts w:hint="eastAsia"/>
          <w:highlight w:val="none"/>
          <w:lang w:val="zh-CN"/>
        </w:rPr>
        <w:t>①服务机构、服务电话和维修人员名单（加盖公章）；</w:t>
      </w:r>
    </w:p>
    <w:p>
      <w:pPr>
        <w:pStyle w:val="210"/>
        <w:spacing w:line="360" w:lineRule="auto"/>
        <w:ind w:firstLine="960" w:firstLineChars="400"/>
        <w:jc w:val="both"/>
        <w:rPr>
          <w:highlight w:val="none"/>
          <w:lang w:val="zh-CN"/>
        </w:rPr>
      </w:pPr>
      <w:r>
        <w:rPr>
          <w:rFonts w:hint="eastAsia"/>
          <w:highlight w:val="none"/>
          <w:lang w:val="zh-CN"/>
        </w:rPr>
        <w:t>②说明投标产品及软件服务系统的保修时间、保修期内的保修内容与范围、维修响应时间等；提供投标人的服务承诺和保障措施；</w:t>
      </w:r>
    </w:p>
    <w:p>
      <w:pPr>
        <w:pStyle w:val="210"/>
        <w:spacing w:line="360" w:lineRule="auto"/>
        <w:ind w:firstLine="960" w:firstLineChars="400"/>
        <w:jc w:val="both"/>
        <w:rPr>
          <w:highlight w:val="none"/>
        </w:rPr>
      </w:pPr>
      <w:r>
        <w:rPr>
          <w:rFonts w:hint="eastAsia"/>
          <w:highlight w:val="none"/>
          <w:lang w:val="zh-CN"/>
        </w:rPr>
        <w:t>③培训方案：说明培训内容及时间、地点、目标、培训人数、收费标准和办法；</w:t>
      </w:r>
    </w:p>
    <w:p>
      <w:pPr>
        <w:pStyle w:val="210"/>
        <w:spacing w:line="360" w:lineRule="auto"/>
        <w:ind w:firstLine="480" w:firstLineChars="200"/>
        <w:jc w:val="both"/>
        <w:rPr>
          <w:highlight w:val="none"/>
        </w:rPr>
      </w:pPr>
      <w:r>
        <w:rPr>
          <w:rFonts w:hint="eastAsia"/>
          <w:highlight w:val="none"/>
        </w:rPr>
        <w:t>（5）</w:t>
      </w:r>
      <w:r>
        <w:rPr>
          <w:rFonts w:hint="eastAsia"/>
          <w:highlight w:val="none"/>
          <w:lang w:eastAsia="zh-CN"/>
        </w:rPr>
        <w:t>采购</w:t>
      </w:r>
      <w:r>
        <w:rPr>
          <w:rFonts w:hint="eastAsia"/>
          <w:highlight w:val="none"/>
        </w:rPr>
        <w:t>政策产品等证明材料</w:t>
      </w:r>
    </w:p>
    <w:p>
      <w:pPr>
        <w:pStyle w:val="210"/>
        <w:spacing w:line="360" w:lineRule="auto"/>
        <w:ind w:firstLine="480" w:firstLineChars="200"/>
        <w:jc w:val="both"/>
        <w:rPr>
          <w:highlight w:val="none"/>
        </w:rPr>
      </w:pPr>
      <w:r>
        <w:rPr>
          <w:rFonts w:hint="eastAsia"/>
          <w:highlight w:val="none"/>
        </w:rPr>
        <w:t>（6）投标人承诺给予采购人的各种优惠条件（优惠条件事项不能包括采购项目本身所包括涉及的采购事项。投标人不能以“赠送、赠予”等任何名义提供货物和服务以规避招标文件的约束。否则，投标人提供的投标文件将作为无效投标处理，投标人的投标行为将作为以不正当手段排挤其他投标人认定）；</w:t>
      </w:r>
    </w:p>
    <w:p>
      <w:pPr>
        <w:pStyle w:val="210"/>
        <w:spacing w:line="360" w:lineRule="auto"/>
        <w:ind w:firstLine="480" w:firstLineChars="200"/>
        <w:jc w:val="both"/>
        <w:rPr>
          <w:highlight w:val="none"/>
        </w:rPr>
      </w:pPr>
      <w:r>
        <w:rPr>
          <w:rFonts w:hint="eastAsia"/>
          <w:highlight w:val="none"/>
        </w:rPr>
        <w:t>（7）具备法律、行政法规规定的其他条件的证明材料。</w:t>
      </w:r>
    </w:p>
    <w:p>
      <w:pPr>
        <w:pStyle w:val="210"/>
        <w:spacing w:line="360" w:lineRule="auto"/>
        <w:jc w:val="both"/>
        <w:rPr>
          <w:b/>
          <w:bCs/>
          <w:highlight w:val="none"/>
          <w:lang w:val="zh-CN"/>
        </w:rPr>
      </w:pPr>
      <w:r>
        <w:rPr>
          <w:rFonts w:hint="eastAsia"/>
          <w:b/>
          <w:bCs/>
          <w:highlight w:val="none"/>
        </w:rPr>
        <w:t>13.4</w:t>
      </w:r>
      <w:r>
        <w:rPr>
          <w:rFonts w:hint="eastAsia"/>
          <w:b/>
          <w:bCs/>
          <w:highlight w:val="none"/>
          <w:lang w:val="zh-CN"/>
        </w:rPr>
        <w:t>其他部分</w:t>
      </w:r>
    </w:p>
    <w:p>
      <w:pPr>
        <w:pStyle w:val="210"/>
        <w:spacing w:line="360" w:lineRule="auto"/>
        <w:ind w:firstLine="480" w:firstLineChars="200"/>
        <w:jc w:val="both"/>
        <w:rPr>
          <w:highlight w:val="none"/>
        </w:rPr>
      </w:pPr>
      <w:r>
        <w:rPr>
          <w:rFonts w:hint="eastAsia"/>
          <w:highlight w:val="none"/>
        </w:rPr>
        <w:t>（1）投标保证金交付凭证复印件；</w:t>
      </w:r>
    </w:p>
    <w:p>
      <w:pPr>
        <w:pStyle w:val="210"/>
        <w:spacing w:line="360" w:lineRule="auto"/>
        <w:ind w:firstLine="480" w:firstLineChars="200"/>
        <w:jc w:val="both"/>
        <w:rPr>
          <w:highlight w:val="none"/>
        </w:rPr>
      </w:pPr>
      <w:r>
        <w:rPr>
          <w:rFonts w:hint="eastAsia"/>
          <w:highlight w:val="none"/>
        </w:rPr>
        <w:t>（2）同意招标文件条款声明；</w:t>
      </w:r>
    </w:p>
    <w:p>
      <w:pPr>
        <w:pStyle w:val="210"/>
        <w:spacing w:line="360" w:lineRule="auto"/>
        <w:ind w:firstLine="480" w:firstLineChars="200"/>
        <w:jc w:val="both"/>
        <w:rPr>
          <w:highlight w:val="none"/>
        </w:rPr>
      </w:pPr>
      <w:r>
        <w:rPr>
          <w:rFonts w:hint="eastAsia"/>
          <w:highlight w:val="none"/>
        </w:rPr>
        <w:t>（3）虚假应标承担责任声明；</w:t>
      </w:r>
    </w:p>
    <w:p>
      <w:pPr>
        <w:pStyle w:val="210"/>
        <w:spacing w:line="360" w:lineRule="auto"/>
        <w:ind w:firstLine="480" w:firstLineChars="200"/>
        <w:jc w:val="both"/>
        <w:rPr>
          <w:highlight w:val="none"/>
        </w:rPr>
      </w:pPr>
      <w:r>
        <w:rPr>
          <w:rFonts w:hint="eastAsia"/>
          <w:highlight w:val="none"/>
        </w:rPr>
        <w:t>（4）投标人可在满足“招标要求及技术参数要求”中对项目的整体要求的前提下，对项目实施提出合理化建议。</w:t>
      </w:r>
    </w:p>
    <w:p>
      <w:pPr>
        <w:pStyle w:val="7"/>
        <w:jc w:val="both"/>
        <w:rPr>
          <w:rFonts w:ascii="宋体" w:hAnsi="宋体" w:cs="宋体"/>
          <w:sz w:val="24"/>
          <w:highlight w:val="none"/>
          <w:lang w:val="zh-CN"/>
        </w:rPr>
      </w:pPr>
      <w:bookmarkStart w:id="155" w:name="_Toc217446049"/>
      <w:bookmarkStart w:id="156" w:name="_Toc28852"/>
      <w:bookmarkStart w:id="157" w:name="_Toc29764"/>
      <w:bookmarkStart w:id="158" w:name="_Toc183582218"/>
      <w:bookmarkStart w:id="159" w:name="_Toc12820"/>
      <w:bookmarkStart w:id="160" w:name="_Toc27701"/>
      <w:bookmarkStart w:id="161" w:name="_Toc28976"/>
      <w:bookmarkStart w:id="162" w:name="_Toc183682355"/>
      <w:bookmarkStart w:id="163" w:name="_Toc27935"/>
      <w:r>
        <w:rPr>
          <w:rFonts w:hint="eastAsia" w:ascii="宋体" w:hAnsi="宋体" w:cs="宋体"/>
          <w:sz w:val="24"/>
          <w:highlight w:val="none"/>
          <w:lang w:val="zh-CN"/>
        </w:rPr>
        <w:t>14．投标文件格式</w:t>
      </w:r>
      <w:bookmarkEnd w:id="155"/>
      <w:bookmarkEnd w:id="156"/>
      <w:bookmarkEnd w:id="157"/>
      <w:bookmarkEnd w:id="158"/>
      <w:bookmarkEnd w:id="159"/>
      <w:bookmarkEnd w:id="160"/>
      <w:bookmarkEnd w:id="161"/>
      <w:bookmarkEnd w:id="162"/>
      <w:bookmarkEnd w:id="163"/>
    </w:p>
    <w:p>
      <w:pPr>
        <w:pStyle w:val="210"/>
        <w:spacing w:line="360" w:lineRule="auto"/>
        <w:jc w:val="both"/>
        <w:rPr>
          <w:highlight w:val="none"/>
          <w:lang w:val="zh-CN"/>
        </w:rPr>
      </w:pPr>
      <w:r>
        <w:rPr>
          <w:rFonts w:hint="eastAsia"/>
          <w:highlight w:val="none"/>
          <w:lang w:val="zh-CN"/>
        </w:rPr>
        <w:t>14.1投标人应严格按照招标文件第六章中提供的“投标文件格式”填写相关内容。除明确允许投标人可以自行编写的外，投标人不得以“投标文件格式”规定之外的方式填写相关内容。</w:t>
      </w:r>
    </w:p>
    <w:p>
      <w:pPr>
        <w:pStyle w:val="210"/>
        <w:spacing w:line="360" w:lineRule="auto"/>
        <w:jc w:val="both"/>
        <w:rPr>
          <w:highlight w:val="none"/>
          <w:lang w:val="zh-CN"/>
        </w:rPr>
      </w:pPr>
      <w:r>
        <w:rPr>
          <w:rFonts w:hint="eastAsia"/>
          <w:highlight w:val="none"/>
          <w:lang w:val="zh-CN"/>
        </w:rPr>
        <w:t>14.2对于没有格式要求的投标文件由投标人自行编写。</w:t>
      </w:r>
      <w:bookmarkStart w:id="164" w:name="_Toc217446050"/>
      <w:bookmarkStart w:id="165" w:name="_Toc183682360"/>
      <w:bookmarkStart w:id="166" w:name="_Toc183582223"/>
    </w:p>
    <w:p>
      <w:pPr>
        <w:pStyle w:val="7"/>
        <w:jc w:val="both"/>
        <w:rPr>
          <w:rFonts w:hint="eastAsia" w:ascii="宋体" w:hAnsi="宋体" w:eastAsia="宋体" w:cs="宋体"/>
          <w:sz w:val="24"/>
          <w:highlight w:val="none"/>
          <w:lang w:val="en-US" w:eastAsia="zh-CN"/>
        </w:rPr>
      </w:pPr>
      <w:bookmarkStart w:id="167" w:name="_Toc28556"/>
      <w:bookmarkStart w:id="168" w:name="_Toc2296"/>
      <w:bookmarkStart w:id="169" w:name="_Toc23893"/>
      <w:bookmarkStart w:id="170" w:name="_Toc28339"/>
      <w:bookmarkStart w:id="171" w:name="_Toc28112"/>
      <w:bookmarkStart w:id="172" w:name="_Toc25301"/>
      <w:r>
        <w:rPr>
          <w:rFonts w:hint="eastAsia" w:ascii="宋体" w:hAnsi="宋体" w:cs="宋体"/>
          <w:sz w:val="24"/>
          <w:highlight w:val="none"/>
          <w:lang w:val="zh-CN"/>
        </w:rPr>
        <w:t>15．投标保证金</w:t>
      </w:r>
      <w:bookmarkEnd w:id="164"/>
      <w:bookmarkEnd w:id="165"/>
      <w:bookmarkEnd w:id="166"/>
      <w:bookmarkEnd w:id="167"/>
      <w:bookmarkEnd w:id="168"/>
      <w:bookmarkEnd w:id="169"/>
      <w:bookmarkEnd w:id="170"/>
      <w:bookmarkEnd w:id="171"/>
      <w:bookmarkEnd w:id="172"/>
      <w:r>
        <w:rPr>
          <w:rFonts w:hint="eastAsia" w:ascii="宋体" w:hAnsi="宋体" w:cs="宋体"/>
          <w:sz w:val="24"/>
          <w:highlight w:val="none"/>
          <w:lang w:val="zh-CN"/>
        </w:rPr>
        <w:t>：</w:t>
      </w:r>
      <w:r>
        <w:rPr>
          <w:rFonts w:hint="eastAsia" w:ascii="宋体" w:hAnsi="宋体" w:cs="宋体"/>
          <w:sz w:val="24"/>
          <w:highlight w:val="none"/>
          <w:lang w:val="en-US" w:eastAsia="zh-CN"/>
        </w:rPr>
        <w:t>无</w:t>
      </w:r>
    </w:p>
    <w:p>
      <w:pPr>
        <w:pStyle w:val="7"/>
        <w:jc w:val="both"/>
        <w:rPr>
          <w:rFonts w:ascii="宋体" w:hAnsi="宋体" w:cs="宋体"/>
          <w:sz w:val="24"/>
          <w:highlight w:val="none"/>
          <w:lang w:val="zh-CN"/>
        </w:rPr>
      </w:pPr>
      <w:bookmarkStart w:id="173" w:name="_Toc31286"/>
      <w:bookmarkStart w:id="174" w:name="_Toc7243"/>
      <w:bookmarkStart w:id="175" w:name="_Toc183682361"/>
      <w:bookmarkStart w:id="176" w:name="_Toc183582224"/>
      <w:bookmarkStart w:id="177" w:name="_Toc4168"/>
      <w:bookmarkStart w:id="178" w:name="_Toc6620"/>
      <w:bookmarkStart w:id="179" w:name="_Toc28500"/>
      <w:bookmarkStart w:id="180" w:name="_Toc217446051"/>
      <w:bookmarkStart w:id="181" w:name="_Toc29587"/>
      <w:r>
        <w:rPr>
          <w:rFonts w:hint="eastAsia" w:ascii="宋体" w:hAnsi="宋体" w:cs="宋体"/>
          <w:sz w:val="24"/>
          <w:highlight w:val="none"/>
          <w:lang w:val="zh-CN"/>
        </w:rPr>
        <w:t>16．投标有效期</w:t>
      </w:r>
      <w:bookmarkEnd w:id="173"/>
      <w:bookmarkEnd w:id="174"/>
      <w:bookmarkEnd w:id="175"/>
      <w:bookmarkEnd w:id="176"/>
      <w:bookmarkEnd w:id="177"/>
      <w:bookmarkEnd w:id="178"/>
      <w:bookmarkEnd w:id="179"/>
      <w:bookmarkEnd w:id="180"/>
      <w:bookmarkEnd w:id="181"/>
    </w:p>
    <w:p>
      <w:pPr>
        <w:pStyle w:val="210"/>
        <w:spacing w:line="360" w:lineRule="auto"/>
        <w:jc w:val="both"/>
        <w:rPr>
          <w:highlight w:val="none"/>
          <w:lang w:val="zh-CN"/>
        </w:rPr>
      </w:pPr>
      <w:r>
        <w:rPr>
          <w:rFonts w:hint="eastAsia"/>
          <w:highlight w:val="none"/>
          <w:lang w:val="zh-CN"/>
        </w:rPr>
        <w:t>16.1投标有效期见投标人须知前附表。投标有效期短于此规定期限的投标，将被拒绝。</w:t>
      </w:r>
    </w:p>
    <w:p>
      <w:pPr>
        <w:pStyle w:val="210"/>
        <w:spacing w:line="360" w:lineRule="auto"/>
        <w:jc w:val="both"/>
        <w:rPr>
          <w:highlight w:val="none"/>
          <w:lang w:val="zh-CN"/>
        </w:rPr>
      </w:pPr>
      <w:r>
        <w:rPr>
          <w:rFonts w:hint="eastAsia"/>
          <w:highlight w:val="none"/>
          <w:lang w:val="zh-CN"/>
        </w:rPr>
        <w:t>16.2特殊情况下，采购人可于投标有效期满之前要求投标人同意延长有效期，要求与答复均应为书面形式。投标人可以拒绝上述要求，其投标保证金不被没收。拒绝延长投标有效期的投标人不得再参与该项目后续采购活动。同意延长投标有效期的投标人不能修改其投标文件，关于投标保证金的有关规定在延长的投标有效期内继续有效。</w:t>
      </w:r>
      <w:bookmarkStart w:id="182" w:name="_Toc183582225"/>
      <w:bookmarkStart w:id="183" w:name="_Toc217446052"/>
      <w:bookmarkStart w:id="184" w:name="_Toc183682362"/>
    </w:p>
    <w:p>
      <w:pPr>
        <w:pStyle w:val="7"/>
        <w:jc w:val="both"/>
        <w:rPr>
          <w:rFonts w:ascii="宋体" w:hAnsi="宋体" w:cs="宋体"/>
          <w:sz w:val="24"/>
          <w:highlight w:val="none"/>
          <w:lang w:val="zh-CN"/>
        </w:rPr>
      </w:pPr>
      <w:bookmarkStart w:id="185" w:name="_Toc8619"/>
      <w:bookmarkStart w:id="186" w:name="_Toc596"/>
      <w:bookmarkStart w:id="187" w:name="_Toc32076"/>
      <w:bookmarkStart w:id="188" w:name="_Toc23523"/>
      <w:bookmarkStart w:id="189" w:name="_Toc16741"/>
      <w:bookmarkStart w:id="190" w:name="_Toc8468"/>
      <w:r>
        <w:rPr>
          <w:rFonts w:hint="eastAsia" w:ascii="宋体" w:hAnsi="宋体" w:cs="宋体"/>
          <w:sz w:val="24"/>
          <w:highlight w:val="none"/>
          <w:lang w:val="zh-CN"/>
        </w:rPr>
        <w:t>17．投标文件的印制和签署</w:t>
      </w:r>
      <w:bookmarkEnd w:id="182"/>
      <w:bookmarkEnd w:id="183"/>
      <w:bookmarkEnd w:id="184"/>
      <w:bookmarkEnd w:id="185"/>
      <w:bookmarkEnd w:id="186"/>
      <w:bookmarkEnd w:id="187"/>
      <w:bookmarkEnd w:id="188"/>
      <w:bookmarkEnd w:id="189"/>
      <w:bookmarkEnd w:id="190"/>
    </w:p>
    <w:p>
      <w:pPr>
        <w:pStyle w:val="210"/>
        <w:spacing w:line="360" w:lineRule="auto"/>
        <w:jc w:val="both"/>
        <w:rPr>
          <w:highlight w:val="none"/>
          <w:lang w:val="zh-CN"/>
        </w:rPr>
      </w:pPr>
      <w:r>
        <w:rPr>
          <w:rFonts w:hint="eastAsia"/>
          <w:highlight w:val="none"/>
          <w:lang w:val="zh-CN"/>
        </w:rPr>
        <w:t>17.1投标人应按“投标须知前附表”准备投标文件正本、副本、电子版、开标一览表。投标文件的正本、副本、电子版、开标一览表应在其封面右上角清楚地标明“正本”、“副本”和“电子版（U盘）”“开标一览表”字样。若正本和副本有不一致的内容，以正本书面投标文件为准。若正本文件和电子文档不一致按无效投标处理。正本文件和电子文档中有任意一项提供虚假材料均按提供虚假材料处理。</w:t>
      </w:r>
    </w:p>
    <w:p>
      <w:pPr>
        <w:pStyle w:val="210"/>
        <w:spacing w:line="360" w:lineRule="auto"/>
        <w:jc w:val="both"/>
        <w:rPr>
          <w:highlight w:val="none"/>
          <w:lang w:val="zh-CN"/>
        </w:rPr>
      </w:pPr>
      <w:r>
        <w:rPr>
          <w:rFonts w:hint="eastAsia"/>
          <w:highlight w:val="none"/>
          <w:lang w:val="zh-CN"/>
        </w:rPr>
        <w:t>17.2投标文件的正本和副本均需打印或用不褪色、不变质的墨水书写，并由投标人的法定代表人或其授权代表在规定签章处签字和盖章。投标文件副本可采用正本的复印件。</w:t>
      </w:r>
    </w:p>
    <w:p>
      <w:pPr>
        <w:pStyle w:val="210"/>
        <w:spacing w:line="360" w:lineRule="auto"/>
        <w:jc w:val="both"/>
        <w:rPr>
          <w:highlight w:val="none"/>
          <w:lang w:val="zh-CN"/>
        </w:rPr>
      </w:pPr>
      <w:r>
        <w:rPr>
          <w:rFonts w:hint="eastAsia"/>
          <w:highlight w:val="none"/>
          <w:lang w:val="zh-CN"/>
        </w:rPr>
        <w:t>17.3投标文件的打印和书写应清楚工整，任何行间插字、涂改或增删，必须由投标人的法定代表人或其授权代表签字或盖个人印鉴。字迹潦草、表达不清或可能导致非唯一理解的投标文件可能视为无效投标。</w:t>
      </w:r>
    </w:p>
    <w:p>
      <w:pPr>
        <w:pStyle w:val="210"/>
        <w:spacing w:line="360" w:lineRule="auto"/>
        <w:jc w:val="both"/>
        <w:rPr>
          <w:highlight w:val="none"/>
          <w:lang w:val="zh-CN"/>
        </w:rPr>
      </w:pPr>
      <w:r>
        <w:rPr>
          <w:rFonts w:hint="eastAsia"/>
          <w:highlight w:val="none"/>
          <w:lang w:val="zh-CN"/>
        </w:rPr>
        <w:t>17.4投标文件正本和副本必须装订成册并逐页编目编码且使用无线胶装。</w:t>
      </w:r>
    </w:p>
    <w:p>
      <w:pPr>
        <w:pStyle w:val="210"/>
        <w:spacing w:line="360" w:lineRule="auto"/>
        <w:jc w:val="both"/>
        <w:rPr>
          <w:highlight w:val="none"/>
          <w:lang w:val="zh-CN"/>
        </w:rPr>
      </w:pPr>
      <w:r>
        <w:rPr>
          <w:rFonts w:hint="eastAsia"/>
          <w:highlight w:val="none"/>
          <w:lang w:val="zh-CN"/>
        </w:rPr>
        <w:t>17.5投标文件应根据招标文件的要求制作，签署、盖章和内容应完整，如有遗漏，将被视为无效投标。</w:t>
      </w:r>
    </w:p>
    <w:p>
      <w:pPr>
        <w:pStyle w:val="210"/>
        <w:spacing w:line="360" w:lineRule="auto"/>
        <w:jc w:val="both"/>
        <w:rPr>
          <w:highlight w:val="none"/>
          <w:lang w:val="zh-CN"/>
        </w:rPr>
      </w:pPr>
      <w:r>
        <w:rPr>
          <w:rFonts w:hint="eastAsia"/>
          <w:highlight w:val="none"/>
          <w:lang w:val="zh-CN"/>
        </w:rPr>
        <w:t>17.6投标文件统一用A4幅面纸印制。</w:t>
      </w:r>
    </w:p>
    <w:p>
      <w:pPr>
        <w:pStyle w:val="210"/>
        <w:spacing w:line="360" w:lineRule="auto"/>
        <w:jc w:val="both"/>
        <w:rPr>
          <w:highlight w:val="none"/>
          <w:lang w:val="zh-CN"/>
        </w:rPr>
      </w:pPr>
      <w:r>
        <w:rPr>
          <w:rFonts w:hint="eastAsia"/>
          <w:highlight w:val="none"/>
          <w:lang w:val="zh-CN"/>
        </w:rPr>
        <w:t>17.7投标人必须提供法定代表人和其正式授权代表的身份证复印件，其正式的授权代表如在评标现场进行必要的澄清或答疑时还必须出示身份证原件以确认其有效身份，否则将视为无效投标。</w:t>
      </w:r>
      <w:bookmarkStart w:id="191" w:name="_Toc183582226"/>
      <w:bookmarkStart w:id="192" w:name="_Toc89075877"/>
      <w:bookmarkStart w:id="193" w:name="_Toc77400781"/>
      <w:bookmarkStart w:id="194" w:name="_Toc183682363"/>
      <w:bookmarkStart w:id="195" w:name="_Toc217446053"/>
    </w:p>
    <w:p>
      <w:pPr>
        <w:pStyle w:val="7"/>
        <w:jc w:val="both"/>
        <w:rPr>
          <w:rFonts w:ascii="宋体" w:hAnsi="宋体" w:cs="宋体"/>
          <w:sz w:val="24"/>
          <w:highlight w:val="none"/>
          <w:lang w:val="zh-CN"/>
        </w:rPr>
      </w:pPr>
      <w:bookmarkStart w:id="196" w:name="_Toc22005"/>
      <w:bookmarkStart w:id="197" w:name="_Toc17395"/>
      <w:bookmarkStart w:id="198" w:name="_Toc2237"/>
      <w:bookmarkStart w:id="199" w:name="_Toc14241"/>
      <w:bookmarkStart w:id="200" w:name="_Toc22719"/>
      <w:bookmarkStart w:id="201" w:name="_Toc6692"/>
      <w:r>
        <w:rPr>
          <w:rFonts w:hint="eastAsia" w:ascii="宋体" w:hAnsi="宋体" w:cs="宋体"/>
          <w:sz w:val="24"/>
          <w:highlight w:val="none"/>
          <w:lang w:val="zh-CN"/>
        </w:rPr>
        <w:t>18.投标文件的密封和标</w:t>
      </w:r>
      <w:bookmarkEnd w:id="191"/>
      <w:bookmarkEnd w:id="192"/>
      <w:bookmarkEnd w:id="193"/>
      <w:bookmarkEnd w:id="194"/>
      <w:r>
        <w:rPr>
          <w:rFonts w:hint="eastAsia" w:ascii="宋体" w:hAnsi="宋体" w:cs="宋体"/>
          <w:sz w:val="24"/>
          <w:highlight w:val="none"/>
          <w:lang w:val="zh-CN"/>
        </w:rPr>
        <w:t>注</w:t>
      </w:r>
      <w:bookmarkEnd w:id="195"/>
      <w:bookmarkEnd w:id="196"/>
      <w:bookmarkEnd w:id="197"/>
      <w:bookmarkEnd w:id="198"/>
      <w:bookmarkEnd w:id="199"/>
      <w:bookmarkEnd w:id="200"/>
      <w:bookmarkEnd w:id="201"/>
      <w:bookmarkStart w:id="202" w:name="_Toc183682364"/>
      <w:bookmarkStart w:id="203" w:name="_Toc183582227"/>
      <w:bookmarkStart w:id="204" w:name="_Toc217446054"/>
    </w:p>
    <w:p>
      <w:pPr>
        <w:pStyle w:val="210"/>
        <w:spacing w:line="360" w:lineRule="auto"/>
        <w:jc w:val="both"/>
        <w:rPr>
          <w:highlight w:val="none"/>
          <w:lang w:val="zh-CN"/>
        </w:rPr>
      </w:pPr>
      <w:r>
        <w:rPr>
          <w:rFonts w:hint="eastAsia"/>
          <w:highlight w:val="none"/>
          <w:lang w:val="zh-CN"/>
        </w:rPr>
        <w:t>18.</w:t>
      </w:r>
      <w:r>
        <w:rPr>
          <w:rFonts w:hint="eastAsia"/>
          <w:highlight w:val="none"/>
        </w:rPr>
        <w:t>1</w:t>
      </w:r>
      <w:r>
        <w:rPr>
          <w:rFonts w:hint="eastAsia"/>
          <w:highlight w:val="none"/>
          <w:lang w:val="zh-CN"/>
        </w:rPr>
        <w:t>投标人应将投标文件密封包装以保证自己的投标信息在开标前不被泄露。</w:t>
      </w:r>
      <w:r>
        <w:rPr>
          <w:rFonts w:hint="eastAsia"/>
          <w:b/>
          <w:bCs/>
          <w:highlight w:val="none"/>
          <w:lang w:val="zh-CN"/>
        </w:rPr>
        <w:t>开标一览表除在投标文件中提交外，还需单独密封递交一份。并在该信封上标明“开标一览表”字样。未单独递交开标一览表的视为无效投标。</w:t>
      </w:r>
      <w:r>
        <w:rPr>
          <w:rFonts w:hint="eastAsia"/>
          <w:highlight w:val="none"/>
          <w:lang w:val="zh-CN"/>
        </w:rPr>
        <w:t>以上资料须在封口处加盖投标人公章或密封章。</w:t>
      </w:r>
    </w:p>
    <w:p>
      <w:pPr>
        <w:pStyle w:val="210"/>
        <w:spacing w:line="360" w:lineRule="auto"/>
        <w:jc w:val="both"/>
        <w:rPr>
          <w:highlight w:val="none"/>
          <w:lang w:val="zh-CN"/>
        </w:rPr>
      </w:pPr>
      <w:r>
        <w:rPr>
          <w:rFonts w:hint="eastAsia"/>
          <w:highlight w:val="none"/>
          <w:lang w:val="zh-CN"/>
        </w:rPr>
        <w:t>18.2投标文件、电子文档外层封套和单独提交的开标一览表封面应标明以下内容：</w:t>
      </w:r>
    </w:p>
    <w:p>
      <w:pPr>
        <w:pStyle w:val="210"/>
        <w:spacing w:line="360" w:lineRule="auto"/>
        <w:jc w:val="both"/>
        <w:rPr>
          <w:highlight w:val="none"/>
          <w:lang w:val="zh-CN"/>
        </w:rPr>
      </w:pPr>
      <w:r>
        <w:rPr>
          <w:rFonts w:hint="eastAsia"/>
          <w:highlight w:val="none"/>
          <w:lang w:val="zh-CN"/>
        </w:rPr>
        <w:t>采购人：</w:t>
      </w:r>
      <w:r>
        <w:rPr>
          <w:rFonts w:hint="eastAsia"/>
          <w:highlight w:val="none"/>
          <w:lang w:val="zh-CN"/>
        </w:rPr>
        <w:tab/>
      </w:r>
    </w:p>
    <w:p>
      <w:pPr>
        <w:pStyle w:val="210"/>
        <w:spacing w:line="360" w:lineRule="auto"/>
        <w:jc w:val="both"/>
        <w:rPr>
          <w:highlight w:val="none"/>
          <w:lang w:val="zh-CN"/>
        </w:rPr>
      </w:pPr>
      <w:r>
        <w:rPr>
          <w:rFonts w:hint="eastAsia"/>
          <w:highlight w:val="none"/>
          <w:lang w:val="zh-CN"/>
        </w:rPr>
        <w:t>项目名称：</w:t>
      </w:r>
      <w:r>
        <w:rPr>
          <w:rFonts w:hint="eastAsia"/>
          <w:highlight w:val="none"/>
          <w:lang w:val="zh-CN"/>
        </w:rPr>
        <w:tab/>
      </w:r>
      <w:r>
        <w:rPr>
          <w:rFonts w:hint="eastAsia"/>
          <w:highlight w:val="none"/>
          <w:lang w:val="zh-CN"/>
        </w:rPr>
        <w:tab/>
      </w:r>
    </w:p>
    <w:p>
      <w:pPr>
        <w:pStyle w:val="210"/>
        <w:spacing w:line="360" w:lineRule="auto"/>
        <w:jc w:val="both"/>
        <w:rPr>
          <w:rFonts w:hint="eastAsia"/>
          <w:highlight w:val="none"/>
          <w:lang w:val="zh-CN"/>
        </w:rPr>
      </w:pPr>
      <w:r>
        <w:rPr>
          <w:rFonts w:hint="eastAsia"/>
          <w:highlight w:val="none"/>
          <w:lang w:val="zh-CN"/>
        </w:rPr>
        <w:t>招标文件编号：</w:t>
      </w:r>
    </w:p>
    <w:p>
      <w:pPr>
        <w:pStyle w:val="210"/>
        <w:spacing w:line="360" w:lineRule="auto"/>
        <w:jc w:val="both"/>
        <w:rPr>
          <w:highlight w:val="none"/>
          <w:lang w:val="zh-CN"/>
        </w:rPr>
      </w:pPr>
      <w:r>
        <w:rPr>
          <w:rFonts w:hint="eastAsia"/>
          <w:highlight w:val="none"/>
          <w:lang w:val="zh-CN"/>
        </w:rPr>
        <w:t>投标人名称：</w:t>
      </w:r>
      <w:r>
        <w:rPr>
          <w:rFonts w:hint="eastAsia"/>
          <w:highlight w:val="none"/>
          <w:lang w:val="zh-CN"/>
        </w:rPr>
        <w:tab/>
      </w:r>
      <w:r>
        <w:rPr>
          <w:rFonts w:hint="eastAsia"/>
          <w:highlight w:val="none"/>
          <w:lang w:val="zh-CN"/>
        </w:rPr>
        <w:tab/>
      </w:r>
    </w:p>
    <w:p>
      <w:pPr>
        <w:pStyle w:val="210"/>
        <w:spacing w:line="360" w:lineRule="auto"/>
        <w:jc w:val="both"/>
        <w:rPr>
          <w:highlight w:val="none"/>
          <w:lang w:val="zh-CN"/>
        </w:rPr>
      </w:pPr>
      <w:r>
        <w:rPr>
          <w:rFonts w:hint="eastAsia"/>
          <w:highlight w:val="none"/>
          <w:lang w:val="zh-CN"/>
        </w:rPr>
        <w:t>详细地址：</w:t>
      </w:r>
      <w:r>
        <w:rPr>
          <w:rFonts w:hint="eastAsia"/>
          <w:highlight w:val="none"/>
          <w:lang w:val="zh-CN"/>
        </w:rPr>
        <w:tab/>
      </w:r>
    </w:p>
    <w:p>
      <w:pPr>
        <w:pStyle w:val="210"/>
        <w:spacing w:line="360" w:lineRule="auto"/>
        <w:jc w:val="both"/>
        <w:rPr>
          <w:highlight w:val="none"/>
          <w:lang w:val="zh-CN"/>
        </w:rPr>
      </w:pPr>
      <w:bookmarkStart w:id="205" w:name="_Toc24373"/>
      <w:bookmarkStart w:id="206" w:name="_Toc25881"/>
      <w:r>
        <w:rPr>
          <w:rFonts w:hint="eastAsia"/>
          <w:highlight w:val="none"/>
          <w:lang w:val="zh-CN"/>
        </w:rPr>
        <w:t>日期：</w:t>
      </w:r>
      <w:r>
        <w:rPr>
          <w:rFonts w:hint="eastAsia"/>
          <w:highlight w:val="none"/>
          <w:lang w:val="zh-CN"/>
        </w:rPr>
        <w:tab/>
      </w:r>
    </w:p>
    <w:p>
      <w:pPr>
        <w:pStyle w:val="210"/>
        <w:spacing w:line="360" w:lineRule="auto"/>
        <w:jc w:val="both"/>
        <w:rPr>
          <w:highlight w:val="none"/>
          <w:lang w:val="zh-CN"/>
        </w:rPr>
      </w:pPr>
      <w:r>
        <w:rPr>
          <w:rFonts w:hint="eastAsia"/>
          <w:highlight w:val="none"/>
          <w:lang w:val="zh-CN"/>
        </w:rPr>
        <w:t>此文件在</w:t>
      </w:r>
      <w:r>
        <w:rPr>
          <w:rFonts w:hint="eastAsia"/>
          <w:highlight w:val="none"/>
          <w:lang w:val="zh-CN"/>
        </w:rPr>
        <w:tab/>
      </w:r>
      <w:r>
        <w:rPr>
          <w:rFonts w:hint="eastAsia"/>
          <w:highlight w:val="none"/>
          <w:lang w:val="zh-CN"/>
        </w:rPr>
        <w:t>年</w:t>
      </w:r>
      <w:r>
        <w:rPr>
          <w:rFonts w:hint="eastAsia"/>
          <w:highlight w:val="none"/>
          <w:lang w:val="zh-CN"/>
        </w:rPr>
        <w:tab/>
      </w:r>
      <w:r>
        <w:rPr>
          <w:rFonts w:hint="eastAsia"/>
          <w:highlight w:val="none"/>
          <w:lang w:val="zh-CN"/>
        </w:rPr>
        <w:t>月</w:t>
      </w:r>
      <w:r>
        <w:rPr>
          <w:rFonts w:hint="eastAsia"/>
          <w:highlight w:val="none"/>
          <w:lang w:val="zh-CN"/>
        </w:rPr>
        <w:tab/>
      </w:r>
      <w:r>
        <w:rPr>
          <w:rFonts w:hint="eastAsia"/>
          <w:highlight w:val="none"/>
          <w:lang w:val="zh-CN"/>
        </w:rPr>
        <w:t>日</w:t>
      </w:r>
      <w:r>
        <w:rPr>
          <w:rFonts w:hint="eastAsia"/>
          <w:highlight w:val="none"/>
          <w:lang w:val="zh-CN"/>
        </w:rPr>
        <w:tab/>
      </w:r>
      <w:r>
        <w:rPr>
          <w:rFonts w:hint="eastAsia"/>
          <w:highlight w:val="none"/>
          <w:lang w:val="zh-CN"/>
        </w:rPr>
        <w:t>时</w:t>
      </w:r>
      <w:r>
        <w:rPr>
          <w:rFonts w:hint="eastAsia"/>
          <w:highlight w:val="none"/>
          <w:lang w:val="zh-CN"/>
        </w:rPr>
        <w:tab/>
      </w:r>
      <w:r>
        <w:rPr>
          <w:rFonts w:hint="eastAsia"/>
          <w:highlight w:val="none"/>
          <w:lang w:val="zh-CN"/>
        </w:rPr>
        <w:t>分前不得开启</w:t>
      </w:r>
    </w:p>
    <w:p>
      <w:pPr>
        <w:pStyle w:val="7"/>
        <w:jc w:val="both"/>
        <w:rPr>
          <w:rFonts w:ascii="宋体" w:hAnsi="宋体" w:cs="宋体"/>
          <w:sz w:val="24"/>
          <w:highlight w:val="none"/>
          <w:lang w:val="zh-CN"/>
        </w:rPr>
      </w:pPr>
      <w:bookmarkStart w:id="207" w:name="_Toc26794"/>
      <w:bookmarkStart w:id="208" w:name="_Toc30272"/>
      <w:bookmarkStart w:id="209" w:name="_Toc10599"/>
      <w:bookmarkStart w:id="210" w:name="_Toc19557"/>
      <w:r>
        <w:rPr>
          <w:rFonts w:hint="eastAsia" w:ascii="宋体" w:hAnsi="宋体" w:cs="宋体"/>
          <w:sz w:val="24"/>
          <w:highlight w:val="none"/>
          <w:lang w:val="zh-CN"/>
        </w:rPr>
        <w:t>19．投标文件的</w:t>
      </w:r>
      <w:bookmarkEnd w:id="202"/>
      <w:bookmarkEnd w:id="203"/>
      <w:r>
        <w:rPr>
          <w:rFonts w:hint="eastAsia" w:ascii="宋体" w:hAnsi="宋体" w:cs="宋体"/>
          <w:sz w:val="24"/>
          <w:highlight w:val="none"/>
          <w:lang w:val="zh-CN"/>
        </w:rPr>
        <w:t>递交</w:t>
      </w:r>
      <w:bookmarkEnd w:id="204"/>
      <w:bookmarkEnd w:id="205"/>
      <w:bookmarkEnd w:id="206"/>
      <w:bookmarkEnd w:id="207"/>
      <w:bookmarkEnd w:id="208"/>
      <w:bookmarkEnd w:id="209"/>
      <w:bookmarkEnd w:id="210"/>
    </w:p>
    <w:p>
      <w:pPr>
        <w:pStyle w:val="210"/>
        <w:spacing w:line="360" w:lineRule="auto"/>
        <w:jc w:val="both"/>
        <w:rPr>
          <w:highlight w:val="none"/>
          <w:lang w:val="zh-CN"/>
        </w:rPr>
      </w:pPr>
      <w:r>
        <w:rPr>
          <w:rFonts w:hint="eastAsia"/>
          <w:highlight w:val="none"/>
          <w:lang w:val="zh-CN"/>
        </w:rPr>
        <w:t>19.1投标人应在招标文件规定的投标截止时间前，将投标文件按投标须知第18条规定密封后送达开标地点。投标截止时间以后送达的投标文件将被拒绝。</w:t>
      </w:r>
    </w:p>
    <w:p>
      <w:pPr>
        <w:pStyle w:val="210"/>
        <w:spacing w:line="360" w:lineRule="auto"/>
        <w:jc w:val="both"/>
        <w:rPr>
          <w:highlight w:val="none"/>
          <w:lang w:val="zh-CN"/>
        </w:rPr>
      </w:pPr>
      <w:r>
        <w:rPr>
          <w:rFonts w:hint="eastAsia"/>
          <w:highlight w:val="none"/>
          <w:lang w:val="zh-CN"/>
        </w:rPr>
        <w:t>19.2本次招标不接受邮寄的投标文件。</w:t>
      </w:r>
      <w:bookmarkStart w:id="211" w:name="_Toc183682365"/>
      <w:bookmarkStart w:id="212" w:name="_Toc183582228"/>
      <w:bookmarkStart w:id="213" w:name="_Toc217446055"/>
    </w:p>
    <w:p>
      <w:pPr>
        <w:pStyle w:val="210"/>
        <w:spacing w:line="360" w:lineRule="auto"/>
        <w:jc w:val="both"/>
        <w:rPr>
          <w:highlight w:val="none"/>
        </w:rPr>
      </w:pPr>
      <w:r>
        <w:rPr>
          <w:rFonts w:hint="eastAsia"/>
          <w:highlight w:val="none"/>
        </w:rPr>
        <w:t>19.3根据《中华人民共和国</w:t>
      </w:r>
      <w:r>
        <w:rPr>
          <w:rFonts w:hint="eastAsia"/>
          <w:highlight w:val="none"/>
          <w:lang w:eastAsia="zh-CN"/>
        </w:rPr>
        <w:t>采购</w:t>
      </w:r>
      <w:r>
        <w:rPr>
          <w:rFonts w:hint="eastAsia"/>
          <w:highlight w:val="none"/>
        </w:rPr>
        <w:t>法》第四十二条的规定，投标人无论中标与否，其投标文件不予退还。</w:t>
      </w:r>
    </w:p>
    <w:p>
      <w:pPr>
        <w:pStyle w:val="7"/>
        <w:jc w:val="both"/>
        <w:rPr>
          <w:rFonts w:ascii="宋体" w:hAnsi="宋体" w:cs="宋体"/>
          <w:sz w:val="24"/>
          <w:highlight w:val="none"/>
          <w:lang w:val="zh-CN"/>
        </w:rPr>
      </w:pPr>
      <w:bookmarkStart w:id="214" w:name="_Toc3396"/>
      <w:bookmarkStart w:id="215" w:name="_Toc13791"/>
      <w:bookmarkStart w:id="216" w:name="_Toc8501"/>
      <w:bookmarkStart w:id="217" w:name="_Toc15716"/>
      <w:bookmarkStart w:id="218" w:name="_Toc15863"/>
      <w:bookmarkStart w:id="219" w:name="_Toc15644"/>
      <w:r>
        <w:rPr>
          <w:rFonts w:hint="eastAsia" w:ascii="宋体" w:hAnsi="宋体" w:cs="宋体"/>
          <w:sz w:val="24"/>
          <w:highlight w:val="none"/>
          <w:lang w:val="zh-CN"/>
        </w:rPr>
        <w:t>20．投标文件的修改和撤</w:t>
      </w:r>
      <w:bookmarkEnd w:id="211"/>
      <w:bookmarkEnd w:id="212"/>
      <w:r>
        <w:rPr>
          <w:rFonts w:hint="eastAsia" w:ascii="宋体" w:hAnsi="宋体" w:cs="宋体"/>
          <w:sz w:val="24"/>
          <w:highlight w:val="none"/>
          <w:lang w:val="zh-CN"/>
        </w:rPr>
        <w:t>回</w:t>
      </w:r>
      <w:bookmarkEnd w:id="213"/>
      <w:bookmarkEnd w:id="214"/>
      <w:bookmarkEnd w:id="215"/>
      <w:bookmarkEnd w:id="216"/>
      <w:bookmarkEnd w:id="217"/>
      <w:bookmarkEnd w:id="218"/>
      <w:bookmarkEnd w:id="219"/>
    </w:p>
    <w:p>
      <w:pPr>
        <w:pStyle w:val="210"/>
        <w:spacing w:line="360" w:lineRule="auto"/>
        <w:jc w:val="both"/>
        <w:rPr>
          <w:highlight w:val="none"/>
          <w:lang w:val="zh-CN"/>
        </w:rPr>
      </w:pPr>
      <w:r>
        <w:rPr>
          <w:rFonts w:hint="eastAsia"/>
          <w:highlight w:val="none"/>
          <w:lang w:val="zh-CN"/>
        </w:rPr>
        <w:t>20.1投标人在递交投标文件后，可以修改和撤回其投标文件，但采购人必须在规定的投标截止期之前收到该修改或撤回的书面通知。</w:t>
      </w:r>
    </w:p>
    <w:p>
      <w:pPr>
        <w:pStyle w:val="210"/>
        <w:spacing w:line="360" w:lineRule="auto"/>
        <w:jc w:val="both"/>
        <w:rPr>
          <w:highlight w:val="none"/>
          <w:lang w:val="zh-CN"/>
        </w:rPr>
      </w:pPr>
      <w:r>
        <w:rPr>
          <w:rFonts w:hint="eastAsia"/>
          <w:highlight w:val="none"/>
          <w:lang w:val="zh-CN"/>
        </w:rPr>
        <w:t>20.2投标人的修改书或撤回通知书，应由其法定代表人或授权代表签署并盖单位印章。修改书应按投标须知第18条规定进行密封和标注，并在密封袋上标注“修改”字样。</w:t>
      </w:r>
    </w:p>
    <w:p>
      <w:pPr>
        <w:pStyle w:val="210"/>
        <w:spacing w:line="360" w:lineRule="auto"/>
        <w:jc w:val="both"/>
        <w:rPr>
          <w:highlight w:val="none"/>
        </w:rPr>
      </w:pPr>
      <w:r>
        <w:rPr>
          <w:rFonts w:hint="eastAsia"/>
          <w:highlight w:val="none"/>
          <w:lang w:val="zh-CN"/>
        </w:rPr>
        <w:t>20.3在投标截止时间之后，投标人不得对其递交的投标文件作任何修改或撤回投标。</w:t>
      </w:r>
    </w:p>
    <w:p>
      <w:pPr>
        <w:pStyle w:val="6"/>
        <w:rPr>
          <w:rFonts w:ascii="宋体" w:hAnsi="宋体" w:cs="宋体"/>
          <w:sz w:val="32"/>
          <w:szCs w:val="32"/>
          <w:highlight w:val="none"/>
        </w:rPr>
      </w:pPr>
      <w:bookmarkStart w:id="220" w:name="_Toc1802"/>
      <w:bookmarkStart w:id="221" w:name="_Toc30700"/>
      <w:bookmarkStart w:id="222" w:name="_Toc7803"/>
      <w:bookmarkStart w:id="223" w:name="_Toc5832"/>
      <w:bookmarkStart w:id="224" w:name="_Toc10290"/>
      <w:r>
        <w:rPr>
          <w:rFonts w:hint="eastAsia" w:ascii="宋体" w:hAnsi="宋体" w:cs="宋体"/>
          <w:sz w:val="32"/>
          <w:szCs w:val="32"/>
          <w:highlight w:val="none"/>
        </w:rPr>
        <w:t>四、开标和评标</w:t>
      </w:r>
      <w:bookmarkEnd w:id="220"/>
      <w:bookmarkEnd w:id="221"/>
      <w:bookmarkEnd w:id="222"/>
      <w:bookmarkEnd w:id="223"/>
      <w:bookmarkEnd w:id="224"/>
      <w:bookmarkStart w:id="225" w:name="_Toc217446057"/>
      <w:bookmarkStart w:id="226" w:name="_Toc183682369"/>
      <w:bookmarkStart w:id="227" w:name="_Toc183582232"/>
    </w:p>
    <w:p>
      <w:pPr>
        <w:pStyle w:val="7"/>
        <w:jc w:val="both"/>
        <w:rPr>
          <w:rFonts w:ascii="宋体" w:hAnsi="宋体" w:cs="宋体"/>
          <w:sz w:val="24"/>
          <w:highlight w:val="none"/>
          <w:lang w:val="zh-CN"/>
        </w:rPr>
      </w:pPr>
      <w:bookmarkStart w:id="228" w:name="_Toc17974"/>
      <w:bookmarkStart w:id="229" w:name="_Toc30443"/>
      <w:bookmarkStart w:id="230" w:name="_Toc8171"/>
      <w:bookmarkStart w:id="231" w:name="_Toc25822"/>
      <w:bookmarkStart w:id="232" w:name="_Toc3020"/>
      <w:bookmarkStart w:id="233" w:name="_Toc24669"/>
      <w:r>
        <w:rPr>
          <w:rFonts w:hint="eastAsia" w:ascii="宋体" w:hAnsi="宋体" w:cs="宋体"/>
          <w:sz w:val="24"/>
          <w:highlight w:val="none"/>
          <w:lang w:val="zh-CN"/>
        </w:rPr>
        <w:t>21．开标</w:t>
      </w:r>
      <w:bookmarkEnd w:id="225"/>
      <w:bookmarkEnd w:id="226"/>
      <w:bookmarkEnd w:id="227"/>
      <w:bookmarkEnd w:id="228"/>
      <w:bookmarkEnd w:id="229"/>
      <w:bookmarkEnd w:id="230"/>
      <w:bookmarkEnd w:id="231"/>
      <w:bookmarkEnd w:id="232"/>
      <w:bookmarkEnd w:id="233"/>
    </w:p>
    <w:p>
      <w:pPr>
        <w:pStyle w:val="210"/>
        <w:spacing w:line="360" w:lineRule="auto"/>
        <w:jc w:val="both"/>
        <w:rPr>
          <w:highlight w:val="none"/>
          <w:lang w:val="zh-CN"/>
        </w:rPr>
      </w:pPr>
      <w:r>
        <w:rPr>
          <w:rFonts w:hint="eastAsia"/>
          <w:highlight w:val="none"/>
          <w:lang w:val="zh-CN"/>
        </w:rPr>
        <w:t>21.1</w:t>
      </w:r>
      <w:r>
        <w:rPr>
          <w:rFonts w:hint="eastAsia"/>
          <w:highlight w:val="none"/>
          <w:lang w:val="en-US" w:eastAsia="zh-CN"/>
        </w:rPr>
        <w:t>采购人</w:t>
      </w:r>
      <w:r>
        <w:rPr>
          <w:rFonts w:hint="eastAsia"/>
          <w:highlight w:val="none"/>
          <w:lang w:val="zh-CN"/>
        </w:rPr>
        <w:t>在招标文件规定的时间和地点组织公开开标仪式，采购人、投标人须派代表参加并签到以证明其出席。</w:t>
      </w:r>
    </w:p>
    <w:p>
      <w:pPr>
        <w:pStyle w:val="210"/>
        <w:spacing w:line="360" w:lineRule="auto"/>
        <w:jc w:val="both"/>
        <w:rPr>
          <w:highlight w:val="none"/>
          <w:lang w:val="zh-CN"/>
        </w:rPr>
      </w:pPr>
      <w:r>
        <w:rPr>
          <w:rFonts w:hint="eastAsia"/>
          <w:highlight w:val="none"/>
          <w:lang w:val="zh-CN"/>
        </w:rPr>
        <w:t>21.2开标时，由投标人或者其推选的代表检查投标文件的密封情况；经确认无误后，由各投标人授权代表签字确认。并由招标工作人员将投标人单独递交的“开标一览表”当众拆封，并由唱标人员进行唱标。投标人不足3家的，不得开标。</w:t>
      </w:r>
    </w:p>
    <w:p>
      <w:pPr>
        <w:pStyle w:val="210"/>
        <w:spacing w:line="360" w:lineRule="auto"/>
        <w:jc w:val="both"/>
        <w:rPr>
          <w:highlight w:val="none"/>
          <w:lang w:val="zh-CN"/>
        </w:rPr>
      </w:pPr>
      <w:r>
        <w:rPr>
          <w:rFonts w:hint="eastAsia"/>
          <w:highlight w:val="none"/>
          <w:lang w:val="zh-CN"/>
        </w:rPr>
        <w:t>21.4唱标时，“开标一览表”中的大写金额与小写金额不一致的，以大写金额为准；总价金额与按单价计算的汇总金额不一致的，以单价计算的汇总金额为准；单价金额有明显小数点错误的，以总价为准，并修改单价。</w:t>
      </w:r>
    </w:p>
    <w:p>
      <w:pPr>
        <w:pStyle w:val="210"/>
        <w:spacing w:line="360" w:lineRule="auto"/>
        <w:jc w:val="both"/>
        <w:rPr>
          <w:highlight w:val="none"/>
          <w:lang w:val="zh-CN"/>
        </w:rPr>
      </w:pPr>
      <w:r>
        <w:rPr>
          <w:rFonts w:hint="eastAsia"/>
          <w:highlight w:val="none"/>
          <w:lang w:val="zh-CN"/>
        </w:rPr>
        <w:t>21.5投标人代表对开标过程和开标记录有疑义，以及认为招标采购单位相关工作人员有需要回避的情形的，应当场提出询问或者回避申请。招标采购单位对投标人代表提出的询问或者回避申请应当及时处理。投标人未参加开标的，视同认可开标结果。</w:t>
      </w:r>
    </w:p>
    <w:p>
      <w:pPr>
        <w:pStyle w:val="7"/>
        <w:jc w:val="both"/>
        <w:rPr>
          <w:rFonts w:ascii="宋体" w:hAnsi="宋体" w:cs="宋体"/>
          <w:sz w:val="24"/>
          <w:highlight w:val="none"/>
          <w:lang w:val="zh-CN"/>
        </w:rPr>
      </w:pPr>
      <w:bookmarkStart w:id="234" w:name="_Toc217446059"/>
      <w:bookmarkStart w:id="235" w:name="_Toc20981"/>
      <w:bookmarkStart w:id="236" w:name="_Toc23944"/>
      <w:bookmarkStart w:id="237" w:name="_Toc21549"/>
      <w:bookmarkStart w:id="238" w:name="_Toc7344"/>
      <w:bookmarkStart w:id="239" w:name="_Toc5087"/>
      <w:bookmarkStart w:id="240" w:name="_Toc8031"/>
      <w:r>
        <w:rPr>
          <w:rFonts w:hint="eastAsia" w:ascii="宋体" w:hAnsi="宋体" w:cs="宋体"/>
          <w:sz w:val="24"/>
          <w:highlight w:val="none"/>
          <w:lang w:val="zh-CN"/>
        </w:rPr>
        <w:t>2</w:t>
      </w:r>
      <w:r>
        <w:rPr>
          <w:rFonts w:hint="eastAsia" w:ascii="宋体" w:hAnsi="宋体" w:cs="宋体"/>
          <w:sz w:val="24"/>
          <w:highlight w:val="none"/>
        </w:rPr>
        <w:t>2</w:t>
      </w:r>
      <w:r>
        <w:rPr>
          <w:rFonts w:hint="eastAsia" w:ascii="宋体" w:hAnsi="宋体" w:cs="宋体"/>
          <w:sz w:val="24"/>
          <w:highlight w:val="none"/>
          <w:lang w:val="zh-CN"/>
        </w:rPr>
        <w:t>.评标</w:t>
      </w:r>
      <w:bookmarkEnd w:id="234"/>
      <w:r>
        <w:rPr>
          <w:rFonts w:hint="eastAsia" w:ascii="宋体" w:hAnsi="宋体" w:cs="宋体"/>
          <w:sz w:val="24"/>
          <w:highlight w:val="none"/>
          <w:lang w:val="zh-CN"/>
        </w:rPr>
        <w:t>委员会</w:t>
      </w:r>
      <w:bookmarkEnd w:id="235"/>
      <w:bookmarkEnd w:id="236"/>
      <w:bookmarkEnd w:id="237"/>
      <w:bookmarkEnd w:id="238"/>
      <w:bookmarkEnd w:id="239"/>
      <w:bookmarkEnd w:id="240"/>
    </w:p>
    <w:p>
      <w:pPr>
        <w:pStyle w:val="210"/>
        <w:spacing w:line="360" w:lineRule="auto"/>
        <w:jc w:val="both"/>
        <w:rPr>
          <w:highlight w:val="none"/>
          <w:lang w:val="zh-CN"/>
        </w:rPr>
      </w:pPr>
      <w:r>
        <w:rPr>
          <w:rFonts w:hint="eastAsia"/>
          <w:highlight w:val="none"/>
          <w:lang w:val="zh-CN"/>
        </w:rPr>
        <w:t>2</w:t>
      </w:r>
      <w:r>
        <w:rPr>
          <w:rFonts w:hint="eastAsia"/>
          <w:highlight w:val="none"/>
        </w:rPr>
        <w:t>2</w:t>
      </w:r>
      <w:r>
        <w:rPr>
          <w:rFonts w:hint="eastAsia"/>
          <w:highlight w:val="none"/>
          <w:lang w:val="zh-CN"/>
        </w:rPr>
        <w:t>.1评标工作由招标采购单位依法组建的评标委员会（以下简称评委会）负责。评标委员会成员由采购人代表和评审专家组成，成员人数应当为5人以上单数，其中评审专家不得少于成员总数的三分之二。</w:t>
      </w:r>
    </w:p>
    <w:p>
      <w:pPr>
        <w:pStyle w:val="210"/>
        <w:spacing w:line="360" w:lineRule="auto"/>
        <w:jc w:val="both"/>
        <w:rPr>
          <w:highlight w:val="none"/>
        </w:rPr>
      </w:pPr>
      <w:r>
        <w:rPr>
          <w:rFonts w:hint="eastAsia"/>
          <w:highlight w:val="none"/>
          <w:lang w:val="zh-CN"/>
        </w:rPr>
        <w:t>2</w:t>
      </w:r>
      <w:r>
        <w:rPr>
          <w:rFonts w:hint="eastAsia"/>
          <w:highlight w:val="none"/>
        </w:rPr>
        <w:t>2</w:t>
      </w:r>
      <w:r>
        <w:rPr>
          <w:rFonts w:hint="eastAsia"/>
          <w:highlight w:val="none"/>
          <w:lang w:val="zh-CN"/>
        </w:rPr>
        <w:t>.2</w:t>
      </w:r>
      <w:r>
        <w:rPr>
          <w:rFonts w:hint="eastAsia"/>
          <w:highlight w:val="none"/>
        </w:rPr>
        <w:t>评标委员会负责审查投标文件是否符合招标文件的要求，并进行审查、询标、评估和比较。评标委员会认为必要时，可向投标人进行询标。</w:t>
      </w:r>
    </w:p>
    <w:p>
      <w:pPr>
        <w:pStyle w:val="210"/>
        <w:spacing w:line="360" w:lineRule="auto"/>
        <w:jc w:val="both"/>
        <w:rPr>
          <w:highlight w:val="none"/>
        </w:rPr>
      </w:pPr>
      <w:r>
        <w:rPr>
          <w:rFonts w:hint="eastAsia"/>
          <w:highlight w:val="none"/>
        </w:rPr>
        <w:t>22.3评标委员会负责完成全部评标工作，向采购人提出经评标委员会签字的书面评标报告。</w:t>
      </w:r>
    </w:p>
    <w:p>
      <w:pPr>
        <w:pStyle w:val="210"/>
        <w:spacing w:line="360" w:lineRule="auto"/>
        <w:jc w:val="both"/>
        <w:rPr>
          <w:highlight w:val="none"/>
          <w:lang w:val="zh-CN"/>
        </w:rPr>
      </w:pPr>
      <w:r>
        <w:rPr>
          <w:rFonts w:hint="eastAsia"/>
          <w:highlight w:val="none"/>
        </w:rPr>
        <w:t>22.4</w:t>
      </w:r>
      <w:r>
        <w:rPr>
          <w:rFonts w:hint="eastAsia"/>
          <w:highlight w:val="none"/>
          <w:lang w:val="zh-CN"/>
        </w:rPr>
        <w:t>评委会严格按照法律规定的程序和招标文件规定的评分办法及标准对投标文件进行评审打分。</w:t>
      </w:r>
    </w:p>
    <w:p>
      <w:pPr>
        <w:pStyle w:val="210"/>
        <w:spacing w:line="360" w:lineRule="auto"/>
        <w:jc w:val="both"/>
        <w:rPr>
          <w:highlight w:val="none"/>
          <w:lang w:val="zh-CN"/>
        </w:rPr>
      </w:pPr>
      <w:r>
        <w:rPr>
          <w:rFonts w:hint="eastAsia"/>
          <w:highlight w:val="none"/>
          <w:lang w:val="zh-CN"/>
        </w:rPr>
        <w:t>2</w:t>
      </w:r>
      <w:r>
        <w:rPr>
          <w:rFonts w:hint="eastAsia"/>
          <w:highlight w:val="none"/>
        </w:rPr>
        <w:t>2</w:t>
      </w:r>
      <w:r>
        <w:rPr>
          <w:rFonts w:hint="eastAsia"/>
          <w:highlight w:val="none"/>
          <w:lang w:val="zh-CN"/>
        </w:rPr>
        <w:t>.</w:t>
      </w:r>
      <w:r>
        <w:rPr>
          <w:rFonts w:hint="eastAsia"/>
          <w:highlight w:val="none"/>
        </w:rPr>
        <w:t>5</w:t>
      </w:r>
      <w:r>
        <w:rPr>
          <w:rFonts w:hint="eastAsia"/>
          <w:highlight w:val="none"/>
          <w:lang w:val="zh-CN"/>
        </w:rPr>
        <w:t>评标过程严格保密。投标人对评委会的评标过程或合同授予决定施加影响的任何行为都可能导致其投标被拒绝。</w:t>
      </w:r>
    </w:p>
    <w:p>
      <w:pPr>
        <w:pStyle w:val="210"/>
        <w:spacing w:line="360" w:lineRule="auto"/>
        <w:jc w:val="both"/>
        <w:rPr>
          <w:highlight w:val="none"/>
          <w:lang w:val="zh-CN"/>
        </w:rPr>
      </w:pPr>
      <w:r>
        <w:rPr>
          <w:rFonts w:hint="eastAsia"/>
          <w:highlight w:val="none"/>
          <w:lang w:val="zh-CN"/>
        </w:rPr>
        <w:t>2</w:t>
      </w:r>
      <w:r>
        <w:rPr>
          <w:rFonts w:hint="eastAsia"/>
          <w:highlight w:val="none"/>
        </w:rPr>
        <w:t>2</w:t>
      </w:r>
      <w:r>
        <w:rPr>
          <w:rFonts w:hint="eastAsia"/>
          <w:highlight w:val="none"/>
          <w:lang w:val="zh-CN"/>
        </w:rPr>
        <w:t>.6如果投标文件没有实质性响应招标文件的要求，评委会将予以拒绝。投标人不得通过修正或撤销不合要求的偏离或保留从而使其投标成为实质性响应的投标。</w:t>
      </w:r>
    </w:p>
    <w:p>
      <w:pPr>
        <w:pStyle w:val="210"/>
        <w:spacing w:line="360" w:lineRule="auto"/>
        <w:jc w:val="both"/>
        <w:rPr>
          <w:highlight w:val="none"/>
          <w:lang w:val="zh-CN"/>
        </w:rPr>
      </w:pPr>
      <w:r>
        <w:rPr>
          <w:rFonts w:hint="eastAsia"/>
          <w:highlight w:val="none"/>
          <w:lang w:val="zh-CN"/>
        </w:rPr>
        <w:t>2</w:t>
      </w:r>
      <w:r>
        <w:rPr>
          <w:rFonts w:hint="eastAsia"/>
          <w:highlight w:val="none"/>
        </w:rPr>
        <w:t>2</w:t>
      </w:r>
      <w:r>
        <w:rPr>
          <w:rFonts w:hint="eastAsia"/>
          <w:highlight w:val="none"/>
          <w:lang w:val="zh-CN"/>
        </w:rPr>
        <w:t>.7评委会只对确定为实质性响应招标文件要求的投标文件，根据招标文件的要求采用相同的评标程序、评分办法及标准进行评价和比较。</w:t>
      </w:r>
    </w:p>
    <w:p>
      <w:pPr>
        <w:pStyle w:val="210"/>
        <w:numPr>
          <w:ilvl w:val="0"/>
          <w:numId w:val="5"/>
        </w:numPr>
        <w:spacing w:line="360" w:lineRule="auto"/>
        <w:jc w:val="both"/>
        <w:rPr>
          <w:b/>
          <w:bCs/>
          <w:highlight w:val="none"/>
        </w:rPr>
      </w:pPr>
      <w:r>
        <w:rPr>
          <w:rFonts w:hint="eastAsia"/>
          <w:b/>
          <w:bCs/>
          <w:highlight w:val="none"/>
        </w:rPr>
        <w:t>对投标文件的审查和响应性的确定</w:t>
      </w:r>
    </w:p>
    <w:p>
      <w:pPr>
        <w:pStyle w:val="210"/>
        <w:spacing w:line="360" w:lineRule="auto"/>
        <w:jc w:val="both"/>
        <w:rPr>
          <w:highlight w:val="none"/>
        </w:rPr>
      </w:pPr>
      <w:r>
        <w:rPr>
          <w:rFonts w:hint="eastAsia"/>
          <w:highlight w:val="none"/>
        </w:rPr>
        <w:t>23.1资格审查</w:t>
      </w:r>
    </w:p>
    <w:p>
      <w:pPr>
        <w:pStyle w:val="210"/>
        <w:spacing w:line="360" w:lineRule="auto"/>
        <w:jc w:val="both"/>
        <w:rPr>
          <w:highlight w:val="none"/>
        </w:rPr>
      </w:pPr>
      <w:r>
        <w:rPr>
          <w:rFonts w:hint="eastAsia"/>
          <w:highlight w:val="none"/>
        </w:rPr>
        <w:t>23.1.1本项目投标人的资格条件在开标后进行审查。投标人应在投标文件中按招标文件的规定和要求附上所有的资格证明文件，要求提供的复印件必须加盖单位鲜章。若提供的资格证明文件不全或不实，将导致其投标或中标资格被取消。</w:t>
      </w:r>
    </w:p>
    <w:p>
      <w:pPr>
        <w:pStyle w:val="210"/>
        <w:spacing w:line="360" w:lineRule="auto"/>
        <w:ind w:firstLine="480" w:firstLineChars="200"/>
        <w:jc w:val="both"/>
        <w:rPr>
          <w:highlight w:val="none"/>
        </w:rPr>
      </w:pPr>
      <w:r>
        <w:rPr>
          <w:rFonts w:hint="eastAsia"/>
          <w:highlight w:val="none"/>
        </w:rPr>
        <w:t>资格审查后合格的</w:t>
      </w:r>
      <w:r>
        <w:rPr>
          <w:rFonts w:hint="eastAsia"/>
          <w:highlight w:val="none"/>
          <w:lang w:eastAsia="zh-CN"/>
        </w:rPr>
        <w:t>投标人</w:t>
      </w:r>
      <w:r>
        <w:rPr>
          <w:rFonts w:hint="eastAsia"/>
          <w:highlight w:val="none"/>
        </w:rPr>
        <w:t>不足三家时，不得进入评审环节。</w:t>
      </w:r>
    </w:p>
    <w:p>
      <w:pPr>
        <w:pStyle w:val="210"/>
        <w:spacing w:line="360" w:lineRule="auto"/>
        <w:ind w:firstLine="480" w:firstLineChars="200"/>
        <w:jc w:val="both"/>
        <w:rPr>
          <w:highlight w:val="none"/>
        </w:rPr>
      </w:pPr>
      <w:r>
        <w:rPr>
          <w:rFonts w:hint="eastAsia"/>
          <w:highlight w:val="none"/>
        </w:rPr>
        <w:t>无论基于何种原因，各项本应作拒绝投标和无效投标处理的情形，即便未被及时发现</w:t>
      </w:r>
    </w:p>
    <w:p>
      <w:pPr>
        <w:pStyle w:val="210"/>
        <w:spacing w:line="360" w:lineRule="auto"/>
        <w:jc w:val="both"/>
        <w:rPr>
          <w:highlight w:val="none"/>
        </w:rPr>
      </w:pPr>
      <w:r>
        <w:rPr>
          <w:rFonts w:hint="eastAsia"/>
          <w:highlight w:val="none"/>
        </w:rPr>
        <w:t>而使该投标人进入初审、详细评审或其它后续程序，包括已经签约的情形，一旦被发现存</w:t>
      </w:r>
    </w:p>
    <w:p>
      <w:pPr>
        <w:pStyle w:val="210"/>
        <w:spacing w:line="360" w:lineRule="auto"/>
        <w:jc w:val="both"/>
        <w:rPr>
          <w:b/>
          <w:bCs/>
          <w:highlight w:val="none"/>
        </w:rPr>
      </w:pPr>
      <w:r>
        <w:rPr>
          <w:rFonts w:hint="eastAsia"/>
          <w:highlight w:val="none"/>
        </w:rPr>
        <w:t>在上述情形，导致此前评议结果被取消，其相关的一切损失均由该投标人承担。</w:t>
      </w:r>
    </w:p>
    <w:p>
      <w:pPr>
        <w:pStyle w:val="210"/>
        <w:spacing w:line="360" w:lineRule="auto"/>
        <w:jc w:val="both"/>
        <w:rPr>
          <w:highlight w:val="none"/>
        </w:rPr>
      </w:pPr>
      <w:r>
        <w:rPr>
          <w:rFonts w:hint="eastAsia"/>
          <w:highlight w:val="none"/>
        </w:rPr>
        <w:t>23.2投标文件属于下列情况的，在符合性审查时按照无效投标处理：</w:t>
      </w:r>
    </w:p>
    <w:p>
      <w:pPr>
        <w:pStyle w:val="210"/>
        <w:numPr>
          <w:ilvl w:val="0"/>
          <w:numId w:val="6"/>
        </w:numPr>
        <w:spacing w:line="360" w:lineRule="auto"/>
        <w:ind w:firstLine="480" w:firstLineChars="200"/>
        <w:jc w:val="both"/>
        <w:rPr>
          <w:highlight w:val="none"/>
        </w:rPr>
      </w:pPr>
      <w:r>
        <w:rPr>
          <w:rFonts w:hint="eastAsia"/>
          <w:highlight w:val="none"/>
          <w:lang w:val="en-US" w:eastAsia="zh-CN"/>
        </w:rPr>
        <w:t>未</w:t>
      </w:r>
      <w:r>
        <w:rPr>
          <w:rFonts w:hint="eastAsia"/>
          <w:highlight w:val="none"/>
        </w:rPr>
        <w:t>按照招标文件规定缴纳投标保证金；</w:t>
      </w:r>
    </w:p>
    <w:p>
      <w:pPr>
        <w:pStyle w:val="210"/>
        <w:numPr>
          <w:ilvl w:val="0"/>
          <w:numId w:val="6"/>
        </w:numPr>
        <w:spacing w:line="360" w:lineRule="auto"/>
        <w:ind w:firstLine="480" w:firstLineChars="200"/>
        <w:jc w:val="both"/>
        <w:rPr>
          <w:highlight w:val="none"/>
        </w:rPr>
      </w:pPr>
      <w:r>
        <w:rPr>
          <w:rFonts w:hint="eastAsia"/>
          <w:color w:val="auto"/>
          <w:sz w:val="24"/>
          <w:highlight w:val="none"/>
        </w:rPr>
        <w:t>报价不得超过招标文件中规定的预算金额或者最高限价的</w:t>
      </w:r>
      <w:r>
        <w:rPr>
          <w:rFonts w:hint="eastAsia"/>
          <w:highlight w:val="none"/>
        </w:rPr>
        <w:t>；</w:t>
      </w:r>
    </w:p>
    <w:p>
      <w:pPr>
        <w:pStyle w:val="210"/>
        <w:numPr>
          <w:ilvl w:val="0"/>
          <w:numId w:val="6"/>
        </w:numPr>
        <w:spacing w:line="360" w:lineRule="auto"/>
        <w:ind w:firstLine="480" w:firstLineChars="200"/>
        <w:jc w:val="both"/>
        <w:rPr>
          <w:highlight w:val="none"/>
        </w:rPr>
      </w:pPr>
      <w:r>
        <w:rPr>
          <w:rFonts w:hint="eastAsia"/>
          <w:color w:val="auto"/>
          <w:sz w:val="24"/>
          <w:highlight w:val="none"/>
        </w:rPr>
        <w:t>投标文件</w:t>
      </w:r>
      <w:r>
        <w:rPr>
          <w:rFonts w:hint="eastAsia"/>
          <w:color w:val="auto"/>
          <w:sz w:val="24"/>
          <w:highlight w:val="none"/>
          <w:lang w:val="en-US" w:eastAsia="zh-CN"/>
        </w:rPr>
        <w:t>未</w:t>
      </w:r>
      <w:r>
        <w:rPr>
          <w:rFonts w:hint="eastAsia"/>
          <w:color w:val="auto"/>
          <w:sz w:val="24"/>
          <w:highlight w:val="none"/>
        </w:rPr>
        <w:t>严格按照招标文件要求签署、盖章</w:t>
      </w:r>
      <w:r>
        <w:rPr>
          <w:rFonts w:hint="eastAsia"/>
          <w:highlight w:val="none"/>
        </w:rPr>
        <w:t>；</w:t>
      </w:r>
    </w:p>
    <w:p>
      <w:pPr>
        <w:pStyle w:val="210"/>
        <w:numPr>
          <w:ilvl w:val="0"/>
          <w:numId w:val="6"/>
        </w:numPr>
        <w:spacing w:line="360" w:lineRule="auto"/>
        <w:ind w:firstLine="480" w:firstLineChars="200"/>
        <w:jc w:val="both"/>
        <w:rPr>
          <w:highlight w:val="none"/>
        </w:rPr>
      </w:pPr>
      <w:r>
        <w:rPr>
          <w:rFonts w:hint="eastAsia"/>
          <w:color w:val="auto"/>
          <w:sz w:val="24"/>
          <w:highlight w:val="none"/>
        </w:rPr>
        <w:t>投标有效期</w:t>
      </w:r>
      <w:r>
        <w:rPr>
          <w:rFonts w:hint="eastAsia"/>
          <w:color w:val="auto"/>
          <w:sz w:val="24"/>
          <w:highlight w:val="none"/>
          <w:lang w:val="en-US" w:eastAsia="zh-CN"/>
        </w:rPr>
        <w:t>未</w:t>
      </w:r>
      <w:r>
        <w:rPr>
          <w:rFonts w:hint="eastAsia"/>
          <w:color w:val="auto"/>
          <w:sz w:val="24"/>
          <w:highlight w:val="none"/>
        </w:rPr>
        <w:t>响应招标文件的要求</w:t>
      </w:r>
      <w:r>
        <w:rPr>
          <w:rFonts w:hint="eastAsia"/>
          <w:highlight w:val="none"/>
        </w:rPr>
        <w:t>；</w:t>
      </w:r>
    </w:p>
    <w:p>
      <w:pPr>
        <w:pStyle w:val="210"/>
        <w:numPr>
          <w:ilvl w:val="0"/>
          <w:numId w:val="6"/>
        </w:numPr>
        <w:spacing w:line="360" w:lineRule="auto"/>
        <w:ind w:firstLine="480" w:firstLineChars="200"/>
        <w:jc w:val="both"/>
        <w:rPr>
          <w:highlight w:val="none"/>
        </w:rPr>
      </w:pPr>
      <w:r>
        <w:rPr>
          <w:rFonts w:hint="eastAsia"/>
          <w:color w:val="auto"/>
          <w:sz w:val="24"/>
          <w:highlight w:val="none"/>
        </w:rPr>
        <w:t>交货期</w:t>
      </w:r>
      <w:r>
        <w:rPr>
          <w:rFonts w:hint="eastAsia"/>
          <w:color w:val="auto"/>
          <w:sz w:val="24"/>
          <w:highlight w:val="none"/>
          <w:lang w:val="en-US" w:eastAsia="zh-CN"/>
        </w:rPr>
        <w:t>未</w:t>
      </w:r>
      <w:r>
        <w:rPr>
          <w:rFonts w:hint="eastAsia"/>
          <w:color w:val="auto"/>
          <w:sz w:val="24"/>
          <w:highlight w:val="none"/>
        </w:rPr>
        <w:t>响应招标文件的要求</w:t>
      </w:r>
      <w:r>
        <w:rPr>
          <w:rFonts w:hint="eastAsia"/>
          <w:highlight w:val="none"/>
        </w:rPr>
        <w:t>；</w:t>
      </w:r>
    </w:p>
    <w:p>
      <w:pPr>
        <w:pStyle w:val="210"/>
        <w:numPr>
          <w:ilvl w:val="0"/>
          <w:numId w:val="6"/>
        </w:numPr>
        <w:spacing w:line="360" w:lineRule="auto"/>
        <w:ind w:firstLine="480" w:firstLineChars="200"/>
        <w:jc w:val="both"/>
        <w:rPr>
          <w:highlight w:val="none"/>
        </w:rPr>
      </w:pPr>
      <w:r>
        <w:rPr>
          <w:rFonts w:hint="eastAsia" w:cs="宋体"/>
          <w:color w:val="auto"/>
          <w:sz w:val="24"/>
          <w:highlight w:val="none"/>
          <w:lang w:eastAsia="zh-CN"/>
        </w:rPr>
        <w:t>付款方式</w:t>
      </w:r>
      <w:r>
        <w:rPr>
          <w:rFonts w:hint="eastAsia" w:cs="宋体"/>
          <w:color w:val="auto"/>
          <w:sz w:val="24"/>
          <w:highlight w:val="none"/>
          <w:lang w:val="en-US" w:eastAsia="zh-CN"/>
        </w:rPr>
        <w:t>未</w:t>
      </w:r>
      <w:r>
        <w:rPr>
          <w:rFonts w:hint="eastAsia" w:ascii="宋体" w:hAnsi="宋体" w:eastAsia="宋体" w:cs="宋体"/>
          <w:color w:val="auto"/>
          <w:sz w:val="24"/>
          <w:highlight w:val="none"/>
        </w:rPr>
        <w:t>响应招标文件的要求</w:t>
      </w:r>
      <w:r>
        <w:rPr>
          <w:rFonts w:hint="eastAsia"/>
          <w:highlight w:val="none"/>
        </w:rPr>
        <w:t>；</w:t>
      </w:r>
    </w:p>
    <w:p>
      <w:pPr>
        <w:pStyle w:val="210"/>
        <w:spacing w:line="360" w:lineRule="auto"/>
        <w:ind w:firstLine="480" w:firstLineChars="200"/>
        <w:jc w:val="both"/>
        <w:rPr>
          <w:highlight w:val="none"/>
        </w:rPr>
      </w:pPr>
      <w:r>
        <w:rPr>
          <w:rFonts w:hint="eastAsia"/>
          <w:highlight w:val="none"/>
        </w:rPr>
        <w:t>（7）</w:t>
      </w:r>
      <w:r>
        <w:rPr>
          <w:rFonts w:hint="eastAsia" w:cs="宋体"/>
          <w:color w:val="auto"/>
          <w:sz w:val="24"/>
          <w:highlight w:val="none"/>
          <w:lang w:val="en-US" w:eastAsia="zh-CN"/>
        </w:rPr>
        <w:t>质保期未</w:t>
      </w:r>
      <w:r>
        <w:rPr>
          <w:rFonts w:hint="eastAsia" w:ascii="宋体" w:hAnsi="宋体" w:eastAsia="宋体" w:cs="宋体"/>
          <w:color w:val="auto"/>
          <w:sz w:val="24"/>
          <w:highlight w:val="none"/>
        </w:rPr>
        <w:t>响应招标文件的要求</w:t>
      </w:r>
      <w:r>
        <w:rPr>
          <w:rFonts w:hint="eastAsia"/>
          <w:highlight w:val="none"/>
        </w:rPr>
        <w:t>；</w:t>
      </w:r>
    </w:p>
    <w:p>
      <w:pPr>
        <w:pStyle w:val="210"/>
        <w:spacing w:line="360" w:lineRule="auto"/>
        <w:jc w:val="both"/>
        <w:rPr>
          <w:highlight w:val="none"/>
        </w:rPr>
      </w:pPr>
      <w:r>
        <w:rPr>
          <w:rFonts w:hint="eastAsia"/>
          <w:highlight w:val="none"/>
        </w:rPr>
        <w:t>23.3投标截止时间后，除评标委员会要求提供外，不接受投标人及与投标人有关的任何一方递交的材料。</w:t>
      </w:r>
    </w:p>
    <w:p>
      <w:pPr>
        <w:pStyle w:val="210"/>
        <w:spacing w:line="360" w:lineRule="auto"/>
        <w:jc w:val="both"/>
        <w:rPr>
          <w:highlight w:val="none"/>
        </w:rPr>
      </w:pPr>
      <w:r>
        <w:rPr>
          <w:rFonts w:hint="eastAsia"/>
          <w:highlight w:val="none"/>
        </w:rPr>
        <w:t>23.4评标委员会对确定为实质上响应的投标进行审核，投标文件报价出现前后不一致的，修改错误的原则如下：</w:t>
      </w:r>
    </w:p>
    <w:p>
      <w:pPr>
        <w:pStyle w:val="210"/>
        <w:spacing w:line="360" w:lineRule="auto"/>
        <w:ind w:firstLine="480" w:firstLineChars="200"/>
        <w:jc w:val="both"/>
        <w:rPr>
          <w:highlight w:val="none"/>
        </w:rPr>
      </w:pPr>
      <w:r>
        <w:rPr>
          <w:rFonts w:hint="eastAsia"/>
          <w:highlight w:val="none"/>
        </w:rPr>
        <w:t>（1）投标文件中开标一览表（报价表）内容与投标文件中相应内容不一致的，以开标一览表（报价表）为准；</w:t>
      </w:r>
    </w:p>
    <w:p>
      <w:pPr>
        <w:pStyle w:val="210"/>
        <w:spacing w:line="360" w:lineRule="auto"/>
        <w:ind w:firstLine="480" w:firstLineChars="200"/>
        <w:jc w:val="both"/>
        <w:rPr>
          <w:highlight w:val="none"/>
        </w:rPr>
      </w:pPr>
      <w:r>
        <w:rPr>
          <w:rFonts w:hint="eastAsia"/>
          <w:highlight w:val="none"/>
        </w:rPr>
        <w:t>（2）大写金额和小写金额不一致的，以大写金额为准；</w:t>
      </w:r>
    </w:p>
    <w:p>
      <w:pPr>
        <w:pStyle w:val="210"/>
        <w:spacing w:line="360" w:lineRule="auto"/>
        <w:ind w:firstLine="480" w:firstLineChars="200"/>
        <w:jc w:val="both"/>
        <w:rPr>
          <w:highlight w:val="none"/>
        </w:rPr>
      </w:pPr>
      <w:r>
        <w:rPr>
          <w:rFonts w:hint="eastAsia"/>
          <w:highlight w:val="none"/>
        </w:rPr>
        <w:t>（3）单价金额小数点或者百分比有明显错位的，以开标一览表的总价为准，并修改单价；</w:t>
      </w:r>
    </w:p>
    <w:p>
      <w:pPr>
        <w:pStyle w:val="210"/>
        <w:spacing w:line="360" w:lineRule="auto"/>
        <w:ind w:firstLine="480" w:firstLineChars="200"/>
        <w:jc w:val="both"/>
        <w:rPr>
          <w:highlight w:val="none"/>
        </w:rPr>
      </w:pPr>
      <w:r>
        <w:rPr>
          <w:rFonts w:hint="eastAsia"/>
          <w:highlight w:val="none"/>
        </w:rPr>
        <w:t>（4）总价金额与按单价汇总金额不一致的，以单价金额计算结果为准。</w:t>
      </w:r>
    </w:p>
    <w:p>
      <w:pPr>
        <w:pStyle w:val="210"/>
        <w:spacing w:line="360" w:lineRule="auto"/>
        <w:ind w:firstLine="480" w:firstLineChars="200"/>
        <w:jc w:val="both"/>
        <w:rPr>
          <w:highlight w:val="none"/>
        </w:rPr>
      </w:pPr>
      <w:r>
        <w:rPr>
          <w:rFonts w:hint="eastAsia"/>
          <w:highlight w:val="none"/>
        </w:rPr>
        <w:t>（5）同时出现两种以上不一致的，按照前款规定的顺序修正。修正后的报价经投标人确认后产生约束力，投标人不确认的，其投标无效。</w:t>
      </w:r>
    </w:p>
    <w:p>
      <w:pPr>
        <w:pStyle w:val="210"/>
        <w:spacing w:line="360" w:lineRule="auto"/>
        <w:jc w:val="both"/>
        <w:rPr>
          <w:highlight w:val="none"/>
        </w:rPr>
      </w:pPr>
      <w:r>
        <w:rPr>
          <w:rFonts w:hint="eastAsia"/>
          <w:highlight w:val="none"/>
        </w:rPr>
        <w:t>23.5评标委员会将要求投标人按上述修改错误的方法调整投标报价，投标人同意后，调整后的报价对投标人起约束作用。如果投标人不接受修改后的报价，其投标将被拒绝。</w:t>
      </w:r>
    </w:p>
    <w:p>
      <w:pPr>
        <w:pStyle w:val="210"/>
        <w:spacing w:line="360" w:lineRule="auto"/>
        <w:jc w:val="both"/>
        <w:rPr>
          <w:b/>
          <w:bCs/>
          <w:highlight w:val="none"/>
        </w:rPr>
      </w:pPr>
      <w:r>
        <w:rPr>
          <w:rFonts w:hint="eastAsia"/>
          <w:b/>
          <w:bCs/>
          <w:highlight w:val="none"/>
        </w:rPr>
        <w:t>24.投标文件的澄清</w:t>
      </w:r>
    </w:p>
    <w:p>
      <w:pPr>
        <w:pStyle w:val="210"/>
        <w:spacing w:line="360" w:lineRule="auto"/>
        <w:jc w:val="both"/>
        <w:rPr>
          <w:highlight w:val="none"/>
        </w:rPr>
      </w:pPr>
      <w:r>
        <w:rPr>
          <w:rFonts w:hint="eastAsia"/>
          <w:highlight w:val="none"/>
        </w:rPr>
        <w:t>24.1澄清有关问题。为了有助于对投标文件进行审查、评估和比较，评标委员会有权要求投标人对投标文件中含义不明确、同类问题表述不一致或者有明显文字和计算错误的内容作出必要的澄清、说明或者纠正。投标人有义务按照评标委员会通知的时间、地点指派投标代表人就相关问题进行澄清。</w:t>
      </w:r>
    </w:p>
    <w:p>
      <w:pPr>
        <w:pStyle w:val="210"/>
        <w:spacing w:line="360" w:lineRule="auto"/>
        <w:jc w:val="both"/>
        <w:rPr>
          <w:highlight w:val="none"/>
        </w:rPr>
      </w:pPr>
      <w:r>
        <w:rPr>
          <w:rFonts w:hint="eastAsia"/>
          <w:highlight w:val="none"/>
        </w:rPr>
        <w:t>24.2投标人的澄清、说明、答复或者补充应在规定的时间内完成，有关澄清、说明或者补正的要求和答复应以书面形式提交，并不得超出投标文件的范围或对投标内容进行实质性的修改。</w:t>
      </w:r>
    </w:p>
    <w:p>
      <w:pPr>
        <w:pStyle w:val="210"/>
        <w:spacing w:line="360" w:lineRule="auto"/>
        <w:jc w:val="both"/>
        <w:rPr>
          <w:highlight w:val="none"/>
        </w:rPr>
      </w:pPr>
      <w:r>
        <w:rPr>
          <w:rFonts w:hint="eastAsia"/>
          <w:highlight w:val="none"/>
        </w:rPr>
        <w:t>24.3澄清文件将作为投标文件的一部分，与投标文件具有同等的法律效力。</w:t>
      </w:r>
    </w:p>
    <w:p>
      <w:pPr>
        <w:pStyle w:val="210"/>
        <w:spacing w:line="360" w:lineRule="auto"/>
        <w:jc w:val="both"/>
        <w:rPr>
          <w:b/>
          <w:bCs/>
          <w:highlight w:val="none"/>
        </w:rPr>
      </w:pPr>
      <w:r>
        <w:rPr>
          <w:rFonts w:hint="eastAsia"/>
          <w:b/>
          <w:bCs/>
          <w:highlight w:val="none"/>
        </w:rPr>
        <w:t>25.投标的评估和比较</w:t>
      </w:r>
    </w:p>
    <w:p>
      <w:pPr>
        <w:pStyle w:val="210"/>
        <w:spacing w:line="360" w:lineRule="auto"/>
        <w:jc w:val="both"/>
        <w:rPr>
          <w:highlight w:val="none"/>
        </w:rPr>
      </w:pPr>
      <w:r>
        <w:rPr>
          <w:rFonts w:hint="eastAsia"/>
          <w:highlight w:val="none"/>
        </w:rPr>
        <w:t>25.1评标委员会将根据招标文件确定的评标原则和评标方法对确定为实质上响应招标文件要求的投标进行评估和比较。</w:t>
      </w:r>
    </w:p>
    <w:p>
      <w:pPr>
        <w:pStyle w:val="210"/>
        <w:spacing w:line="360" w:lineRule="auto"/>
        <w:jc w:val="both"/>
        <w:rPr>
          <w:b/>
          <w:bCs/>
          <w:highlight w:val="none"/>
        </w:rPr>
      </w:pPr>
      <w:r>
        <w:rPr>
          <w:rFonts w:hint="eastAsia"/>
          <w:b/>
          <w:bCs/>
          <w:highlight w:val="none"/>
        </w:rPr>
        <w:t>26.评标原则和评标方法</w:t>
      </w:r>
    </w:p>
    <w:p>
      <w:pPr>
        <w:pStyle w:val="210"/>
        <w:spacing w:line="360" w:lineRule="auto"/>
        <w:jc w:val="both"/>
        <w:rPr>
          <w:highlight w:val="none"/>
        </w:rPr>
      </w:pPr>
      <w:r>
        <w:rPr>
          <w:rFonts w:hint="eastAsia"/>
          <w:highlight w:val="none"/>
        </w:rPr>
        <w:t>26.1评标原则</w:t>
      </w:r>
    </w:p>
    <w:p>
      <w:pPr>
        <w:pStyle w:val="210"/>
        <w:spacing w:line="360" w:lineRule="auto"/>
        <w:ind w:firstLine="480" w:firstLineChars="200"/>
        <w:jc w:val="both"/>
        <w:rPr>
          <w:highlight w:val="none"/>
        </w:rPr>
      </w:pPr>
      <w:r>
        <w:rPr>
          <w:rFonts w:hint="eastAsia"/>
          <w:highlight w:val="none"/>
        </w:rPr>
        <w:t>（1）评标委员会应当按照客观、公正、审慎的原则，根据招标文件规定的评审程序、评审方法和评审标准进行独立评审。</w:t>
      </w:r>
    </w:p>
    <w:p>
      <w:pPr>
        <w:pStyle w:val="210"/>
        <w:spacing w:line="360" w:lineRule="auto"/>
        <w:ind w:firstLine="480" w:firstLineChars="200"/>
        <w:jc w:val="both"/>
        <w:rPr>
          <w:highlight w:val="none"/>
        </w:rPr>
      </w:pPr>
      <w:r>
        <w:rPr>
          <w:rFonts w:hint="eastAsia"/>
          <w:highlight w:val="none"/>
        </w:rPr>
        <w:t>（2）评标委员会发现招标文件存在歧义、重大缺陷导致评标工作无法进行，或者招标文件内容违反国家有关强制性规定的，应当停止评标工作，与招标采购单位沟通并作书面记录。招标采购单位确认后，应当修改招标文件，重新组织采购活动。</w:t>
      </w:r>
    </w:p>
    <w:p>
      <w:pPr>
        <w:pStyle w:val="210"/>
        <w:spacing w:line="360" w:lineRule="auto"/>
        <w:ind w:firstLine="480" w:firstLineChars="200"/>
        <w:jc w:val="both"/>
        <w:rPr>
          <w:highlight w:val="none"/>
        </w:rPr>
      </w:pPr>
      <w:r>
        <w:rPr>
          <w:rFonts w:hint="eastAsia"/>
          <w:highlight w:val="none"/>
        </w:rPr>
        <w:t>（3）对招标文件中描述有歧义或前后不一致的地方，但不影响项目评审的，评标委员会有权进行评判，但对同一条款的评判应适用于每个投标人。</w:t>
      </w:r>
    </w:p>
    <w:p>
      <w:pPr>
        <w:pStyle w:val="210"/>
        <w:spacing w:line="360" w:lineRule="auto"/>
        <w:ind w:firstLine="480" w:firstLineChars="200"/>
        <w:jc w:val="both"/>
        <w:rPr>
          <w:highlight w:val="none"/>
        </w:rPr>
      </w:pPr>
      <w:r>
        <w:rPr>
          <w:rFonts w:hint="eastAsia"/>
          <w:highlight w:val="none"/>
        </w:rPr>
        <w:t>（4）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w:t>
      </w:r>
    </w:p>
    <w:p>
      <w:pPr>
        <w:pStyle w:val="210"/>
        <w:spacing w:line="360" w:lineRule="auto"/>
        <w:jc w:val="both"/>
        <w:rPr>
          <w:highlight w:val="none"/>
        </w:rPr>
      </w:pPr>
      <w:r>
        <w:rPr>
          <w:rFonts w:hint="eastAsia"/>
          <w:highlight w:val="none"/>
        </w:rPr>
        <w:t>26.2评标方法（本项目采用综合评分法）</w:t>
      </w:r>
    </w:p>
    <w:p>
      <w:pPr>
        <w:pStyle w:val="210"/>
        <w:spacing w:line="360" w:lineRule="auto"/>
        <w:jc w:val="both"/>
        <w:rPr>
          <w:highlight w:val="none"/>
        </w:rPr>
      </w:pPr>
      <w:r>
        <w:rPr>
          <w:rFonts w:hint="eastAsia"/>
          <w:highlight w:val="none"/>
        </w:rPr>
        <w:t>26.2.1综合评分法</w:t>
      </w:r>
    </w:p>
    <w:p>
      <w:pPr>
        <w:pStyle w:val="210"/>
        <w:spacing w:line="360" w:lineRule="auto"/>
        <w:ind w:firstLine="480" w:firstLineChars="200"/>
        <w:jc w:val="both"/>
        <w:rPr>
          <w:highlight w:val="none"/>
        </w:rPr>
      </w:pPr>
      <w:r>
        <w:rPr>
          <w:rFonts w:hint="eastAsia"/>
          <w:highlight w:val="none"/>
        </w:rPr>
        <w:t>（1）“综合评分法”的评标方法，具体评审因素详见第五章《评标办法》。评标采用百分制，各评委独立分别对实质上响应招标文件的投标进行逐项打分，对评标委员会各成员每一因素的打分汇总后取算术平均分，该平均分为投标人的得分。</w:t>
      </w:r>
    </w:p>
    <w:p>
      <w:pPr>
        <w:pStyle w:val="210"/>
        <w:spacing w:line="360" w:lineRule="auto"/>
        <w:ind w:firstLine="480" w:firstLineChars="200"/>
        <w:jc w:val="both"/>
        <w:rPr>
          <w:highlight w:val="none"/>
        </w:rPr>
      </w:pPr>
      <w:r>
        <w:rPr>
          <w:rFonts w:hint="eastAsia"/>
          <w:highlight w:val="none"/>
        </w:rPr>
        <w:t>（2）根据《中华人民共和国</w:t>
      </w:r>
      <w:r>
        <w:rPr>
          <w:rFonts w:hint="eastAsia"/>
          <w:highlight w:val="none"/>
          <w:lang w:eastAsia="zh-CN"/>
        </w:rPr>
        <w:t>采购</w:t>
      </w:r>
      <w:r>
        <w:rPr>
          <w:rFonts w:hint="eastAsia"/>
          <w:highlight w:val="none"/>
        </w:rPr>
        <w:t>法实施条例》和《关于进一步规范</w:t>
      </w:r>
      <w:r>
        <w:rPr>
          <w:rFonts w:hint="eastAsia"/>
          <w:highlight w:val="none"/>
          <w:lang w:eastAsia="zh-CN"/>
        </w:rPr>
        <w:t>采购</w:t>
      </w:r>
      <w:r>
        <w:rPr>
          <w:rFonts w:hint="eastAsia"/>
          <w:highlight w:val="none"/>
        </w:rPr>
        <w:t>评审工作有关问题的通知》（财库〔2012〕69号）的规定，评标委员会成员要依法独立评审，并对评审意见承担个人责任。评标委员会成员对需要共同认定的事项存在争议的，按照少数服从多数的原则做出结论。持不同意见的评标委员会成员应当在评审报告上签署不同意见并说明理由，否则视为同意。</w:t>
      </w:r>
    </w:p>
    <w:p>
      <w:pPr>
        <w:pStyle w:val="210"/>
        <w:spacing w:line="360" w:lineRule="auto"/>
        <w:ind w:firstLine="480" w:firstLineChars="200"/>
        <w:jc w:val="both"/>
        <w:rPr>
          <w:highlight w:val="none"/>
        </w:rPr>
      </w:pPr>
      <w:r>
        <w:rPr>
          <w:rFonts w:hint="eastAsia"/>
          <w:highlight w:val="none"/>
        </w:rPr>
        <w:t>（3）中标候选人产生办法：投标文件满足招标文件全部实质性要求，评标委员会按照评审因素的量化指标评审，按评标综合的得分由高到低依次排序后均推荐为中标候选人。得分相同的投标人，投标平均取费费率低者排名在前，得分相同且投标平均取费费率也相同的并列。</w:t>
      </w:r>
    </w:p>
    <w:p>
      <w:pPr>
        <w:pStyle w:val="210"/>
        <w:spacing w:line="360" w:lineRule="auto"/>
        <w:jc w:val="both"/>
        <w:rPr>
          <w:highlight w:val="none"/>
        </w:rPr>
      </w:pPr>
      <w:r>
        <w:rPr>
          <w:rFonts w:hint="eastAsia"/>
          <w:highlight w:val="none"/>
        </w:rPr>
        <w:t>26.2.2最低评标价法</w:t>
      </w:r>
    </w:p>
    <w:p>
      <w:pPr>
        <w:pStyle w:val="210"/>
        <w:spacing w:line="360" w:lineRule="auto"/>
        <w:ind w:firstLine="480" w:firstLineChars="200"/>
        <w:jc w:val="both"/>
        <w:rPr>
          <w:highlight w:val="none"/>
        </w:rPr>
      </w:pPr>
      <w:r>
        <w:rPr>
          <w:rFonts w:hint="eastAsia"/>
          <w:highlight w:val="none"/>
        </w:rPr>
        <w:t>（1）最低评标价法，是指投标文件满足招标文件全部实质性要求，且投标报价最低的投标人为中标候选人的评标方法。采用最低评标价法评标时，除了算术修正和落实</w:t>
      </w:r>
      <w:r>
        <w:rPr>
          <w:rFonts w:hint="eastAsia"/>
          <w:highlight w:val="none"/>
          <w:lang w:eastAsia="zh-CN"/>
        </w:rPr>
        <w:t>采购</w:t>
      </w:r>
      <w:r>
        <w:rPr>
          <w:rFonts w:hint="eastAsia"/>
          <w:highlight w:val="none"/>
        </w:rPr>
        <w:t>政策需进行的价格扣除外，不能对投标人的投标价格进行任何调整。</w:t>
      </w:r>
    </w:p>
    <w:p>
      <w:pPr>
        <w:pStyle w:val="210"/>
        <w:spacing w:line="360" w:lineRule="auto"/>
        <w:ind w:firstLine="480" w:firstLineChars="200"/>
        <w:jc w:val="both"/>
        <w:rPr>
          <w:highlight w:val="none"/>
        </w:rPr>
      </w:pPr>
      <w:r>
        <w:rPr>
          <w:rFonts w:hint="eastAsia"/>
          <w:highlight w:val="none"/>
        </w:rPr>
        <w:t>（2）中标候选人产生办法：评标结果按投标报价由低到高顺序排列。投标报价相同的并列。投标文件满足招标文件全部实质性要求且投标报价最低的投标人为排名第一的中标候选人。</w:t>
      </w:r>
    </w:p>
    <w:p>
      <w:pPr>
        <w:pStyle w:val="210"/>
        <w:spacing w:line="360" w:lineRule="auto"/>
        <w:jc w:val="both"/>
        <w:rPr>
          <w:b/>
          <w:bCs/>
          <w:highlight w:val="none"/>
        </w:rPr>
      </w:pPr>
      <w:r>
        <w:rPr>
          <w:rFonts w:hint="eastAsia"/>
          <w:b/>
          <w:bCs/>
          <w:highlight w:val="none"/>
        </w:rPr>
        <w:t>27.其他注意事项</w:t>
      </w:r>
    </w:p>
    <w:p>
      <w:pPr>
        <w:pStyle w:val="210"/>
        <w:spacing w:line="360" w:lineRule="auto"/>
        <w:jc w:val="both"/>
        <w:rPr>
          <w:highlight w:val="none"/>
        </w:rPr>
      </w:pPr>
      <w:r>
        <w:rPr>
          <w:rFonts w:hint="eastAsia"/>
          <w:highlight w:val="none"/>
        </w:rPr>
        <w:t>27.1在开标、投标期间，投标人不得向评标委员会成员或采购代理机构询问评标情况、施加任何影响，不得进行旨在影响评标结果的活动。</w:t>
      </w:r>
    </w:p>
    <w:p>
      <w:pPr>
        <w:pStyle w:val="210"/>
        <w:spacing w:line="360" w:lineRule="auto"/>
        <w:jc w:val="both"/>
        <w:rPr>
          <w:highlight w:val="none"/>
        </w:rPr>
      </w:pPr>
      <w:r>
        <w:rPr>
          <w:rFonts w:hint="eastAsia"/>
          <w:highlight w:val="none"/>
        </w:rPr>
        <w:t>27.2为保证定标的公正性，在评标过程中，评标委员会成员不得与投标人私下交换意见。在开、评标期间及招标工作结束后，凡与评标情况有接触的任何人不得透露审查、澄清、评价和比较等投标的有关资料以及授标建议等评标情况。</w:t>
      </w:r>
    </w:p>
    <w:p>
      <w:pPr>
        <w:pStyle w:val="210"/>
        <w:spacing w:line="360" w:lineRule="auto"/>
        <w:jc w:val="both"/>
        <w:rPr>
          <w:highlight w:val="none"/>
        </w:rPr>
      </w:pPr>
      <w:r>
        <w:rPr>
          <w:rFonts w:hint="eastAsia"/>
          <w:highlight w:val="none"/>
        </w:rPr>
        <w:t>27.3本项目不接受赠品、回扣或者与采购无关的其他商品、服务。</w:t>
      </w:r>
    </w:p>
    <w:p>
      <w:pPr>
        <w:pStyle w:val="6"/>
        <w:rPr>
          <w:rFonts w:ascii="宋体" w:hAnsi="宋体" w:cs="宋体"/>
          <w:sz w:val="32"/>
          <w:szCs w:val="32"/>
          <w:highlight w:val="none"/>
        </w:rPr>
      </w:pPr>
      <w:bookmarkStart w:id="241" w:name="_Toc32678"/>
      <w:bookmarkStart w:id="242" w:name="_Toc4089"/>
      <w:bookmarkStart w:id="243" w:name="_Toc10928"/>
      <w:bookmarkStart w:id="244" w:name="_Toc1818"/>
      <w:bookmarkStart w:id="245" w:name="_Toc15296"/>
      <w:r>
        <w:rPr>
          <w:rFonts w:hint="eastAsia" w:ascii="宋体" w:hAnsi="宋体" w:cs="宋体"/>
          <w:sz w:val="32"/>
          <w:szCs w:val="32"/>
          <w:highlight w:val="none"/>
        </w:rPr>
        <w:t>五、中标</w:t>
      </w:r>
      <w:bookmarkEnd w:id="241"/>
      <w:bookmarkEnd w:id="242"/>
      <w:bookmarkEnd w:id="243"/>
      <w:bookmarkEnd w:id="244"/>
      <w:bookmarkEnd w:id="245"/>
      <w:bookmarkStart w:id="246" w:name="_Toc217446061"/>
    </w:p>
    <w:p>
      <w:pPr>
        <w:pStyle w:val="7"/>
        <w:jc w:val="both"/>
        <w:rPr>
          <w:rFonts w:ascii="宋体" w:hAnsi="宋体" w:cs="宋体"/>
          <w:sz w:val="24"/>
          <w:highlight w:val="none"/>
          <w:lang w:val="zh-CN"/>
        </w:rPr>
      </w:pPr>
      <w:bookmarkStart w:id="247" w:name="_Toc4921"/>
      <w:bookmarkStart w:id="248" w:name="_Toc14742"/>
      <w:bookmarkStart w:id="249" w:name="_Toc17125"/>
      <w:bookmarkStart w:id="250" w:name="_Toc25683"/>
      <w:bookmarkStart w:id="251" w:name="_Toc1369"/>
      <w:bookmarkStart w:id="252" w:name="_Toc4701"/>
      <w:r>
        <w:rPr>
          <w:rFonts w:hint="eastAsia" w:ascii="宋体" w:hAnsi="宋体" w:cs="宋体"/>
          <w:sz w:val="24"/>
          <w:highlight w:val="none"/>
          <w:lang w:val="zh-CN"/>
        </w:rPr>
        <w:t>2</w:t>
      </w:r>
      <w:r>
        <w:rPr>
          <w:rFonts w:hint="eastAsia" w:ascii="宋体" w:hAnsi="宋体" w:cs="宋体"/>
          <w:sz w:val="24"/>
          <w:highlight w:val="none"/>
        </w:rPr>
        <w:t>8</w:t>
      </w:r>
      <w:r>
        <w:rPr>
          <w:rFonts w:hint="eastAsia" w:ascii="宋体" w:hAnsi="宋体" w:cs="宋体"/>
          <w:sz w:val="24"/>
          <w:highlight w:val="none"/>
          <w:lang w:val="zh-CN"/>
        </w:rPr>
        <w:t>.</w:t>
      </w:r>
      <w:bookmarkEnd w:id="246"/>
      <w:r>
        <w:rPr>
          <w:rFonts w:hint="eastAsia" w:ascii="宋体" w:hAnsi="宋体" w:cs="宋体"/>
          <w:sz w:val="24"/>
          <w:highlight w:val="none"/>
          <w:lang w:val="zh-CN"/>
        </w:rPr>
        <w:t>中标人的确定</w:t>
      </w:r>
      <w:bookmarkEnd w:id="247"/>
      <w:bookmarkEnd w:id="248"/>
      <w:bookmarkEnd w:id="249"/>
      <w:bookmarkEnd w:id="250"/>
      <w:bookmarkEnd w:id="251"/>
      <w:bookmarkEnd w:id="252"/>
    </w:p>
    <w:p>
      <w:pPr>
        <w:pStyle w:val="210"/>
        <w:spacing w:line="360" w:lineRule="auto"/>
        <w:jc w:val="both"/>
        <w:rPr>
          <w:highlight w:val="none"/>
          <w:lang w:val="zh-CN"/>
        </w:rPr>
      </w:pPr>
      <w:r>
        <w:rPr>
          <w:rFonts w:hint="eastAsia"/>
          <w:highlight w:val="none"/>
        </w:rPr>
        <w:t>28.1</w:t>
      </w:r>
      <w:bookmarkStart w:id="253" w:name="_Toc217446062"/>
      <w:r>
        <w:rPr>
          <w:rFonts w:hint="eastAsia"/>
          <w:highlight w:val="none"/>
          <w:lang w:val="zh-CN"/>
        </w:rPr>
        <w:t>评委会将评标情况写出书面报告，推荐中标候选人，并按照综合得分高低标明排列顺序。综合得分相同的，按投标报价由低到高顺序排列。得分且投标报价相同的，按技术指标优劣顺序排列。</w:t>
      </w:r>
      <w:bookmarkEnd w:id="253"/>
      <w:bookmarkStart w:id="254" w:name="_Toc183682375"/>
      <w:bookmarkStart w:id="255" w:name="_Toc183582238"/>
      <w:bookmarkStart w:id="256" w:name="_Toc217446063"/>
    </w:p>
    <w:p>
      <w:pPr>
        <w:pStyle w:val="210"/>
        <w:spacing w:line="360" w:lineRule="auto"/>
        <w:jc w:val="both"/>
        <w:rPr>
          <w:highlight w:val="none"/>
        </w:rPr>
      </w:pPr>
      <w:r>
        <w:rPr>
          <w:rFonts w:hint="eastAsia"/>
          <w:highlight w:val="none"/>
        </w:rPr>
        <w:t>28.</w:t>
      </w:r>
      <w:r>
        <w:rPr>
          <w:rFonts w:hint="eastAsia"/>
          <w:highlight w:val="none"/>
          <w:lang w:val="en-US" w:eastAsia="zh-CN"/>
        </w:rPr>
        <w:t>2</w:t>
      </w:r>
      <w:r>
        <w:rPr>
          <w:highlight w:val="none"/>
        </w:rPr>
        <w:t>采购人可以事先授权评标委员会直接确定</w:t>
      </w:r>
      <w:r>
        <w:rPr>
          <w:rFonts w:hint="eastAsia"/>
          <w:highlight w:val="none"/>
        </w:rPr>
        <w:t>中标供应商</w:t>
      </w:r>
      <w:r>
        <w:rPr>
          <w:highlight w:val="none"/>
        </w:rPr>
        <w:t>。</w:t>
      </w:r>
    </w:p>
    <w:p>
      <w:pPr>
        <w:pStyle w:val="210"/>
        <w:spacing w:line="360" w:lineRule="auto"/>
        <w:jc w:val="both"/>
        <w:rPr>
          <w:highlight w:val="none"/>
          <w:lang w:val="zh-CN"/>
        </w:rPr>
      </w:pPr>
      <w:r>
        <w:rPr>
          <w:rFonts w:hint="eastAsia"/>
          <w:highlight w:val="none"/>
          <w:lang w:val="zh-CN"/>
        </w:rPr>
        <w:t>2</w:t>
      </w:r>
      <w:r>
        <w:rPr>
          <w:rFonts w:hint="eastAsia"/>
          <w:highlight w:val="none"/>
        </w:rPr>
        <w:t>8</w:t>
      </w:r>
      <w:r>
        <w:rPr>
          <w:rFonts w:hint="eastAsia"/>
          <w:highlight w:val="none"/>
          <w:lang w:val="zh-CN"/>
        </w:rPr>
        <w:t>.</w:t>
      </w:r>
      <w:r>
        <w:rPr>
          <w:rFonts w:hint="eastAsia"/>
          <w:highlight w:val="none"/>
          <w:lang w:val="en-US" w:eastAsia="zh-CN"/>
        </w:rPr>
        <w:t>3</w:t>
      </w:r>
      <w:r>
        <w:rPr>
          <w:rFonts w:hint="eastAsia"/>
          <w:highlight w:val="none"/>
          <w:lang w:val="zh-CN"/>
        </w:rPr>
        <w:t>采购人在收到评标报告后5个工作日内，按照评标报告中推荐的中标候选人顺序确定中标人。中标候选人并列的，由采购人确定中标人。采购人在收到评标报告5个工作日内未按评标报告推荐的中标候选人顺序确定中标人，又不能说明合法理由的，视同按评标报告推荐的顺序确定中标人。</w:t>
      </w:r>
    </w:p>
    <w:p>
      <w:pPr>
        <w:pStyle w:val="210"/>
        <w:spacing w:line="360" w:lineRule="auto"/>
        <w:jc w:val="both"/>
        <w:rPr>
          <w:highlight w:val="none"/>
          <w:lang w:val="zh-CN"/>
        </w:rPr>
      </w:pPr>
      <w:r>
        <w:rPr>
          <w:rFonts w:hint="eastAsia"/>
          <w:highlight w:val="none"/>
          <w:lang w:val="zh-CN"/>
        </w:rPr>
        <w:t>2</w:t>
      </w:r>
      <w:r>
        <w:rPr>
          <w:rFonts w:hint="eastAsia"/>
          <w:highlight w:val="none"/>
        </w:rPr>
        <w:t>8</w:t>
      </w:r>
      <w:r>
        <w:rPr>
          <w:rFonts w:hint="eastAsia"/>
          <w:highlight w:val="none"/>
          <w:lang w:val="zh-CN"/>
        </w:rPr>
        <w:t>.</w:t>
      </w:r>
      <w:r>
        <w:rPr>
          <w:rFonts w:hint="eastAsia"/>
          <w:highlight w:val="none"/>
        </w:rPr>
        <w:t>5</w:t>
      </w:r>
      <w:r>
        <w:rPr>
          <w:rFonts w:hint="eastAsia"/>
          <w:highlight w:val="none"/>
          <w:lang w:val="zh-CN"/>
        </w:rPr>
        <w:t>根据采购人确定的中标人</w:t>
      </w:r>
      <w:r>
        <w:rPr>
          <w:rFonts w:hint="eastAsia"/>
          <w:highlight w:val="none"/>
          <w:lang w:val="en-US" w:eastAsia="zh-CN"/>
        </w:rPr>
        <w:t>后</w:t>
      </w:r>
      <w:r>
        <w:rPr>
          <w:rFonts w:hint="eastAsia"/>
          <w:highlight w:val="none"/>
          <w:lang w:val="zh-CN"/>
        </w:rPr>
        <w:t>应当在2个工作日内在采购信息发布媒体上发布中标公告，中标公告期限为一个工作日，同时向中标人发出中标通知书。</w:t>
      </w:r>
    </w:p>
    <w:p>
      <w:pPr>
        <w:pStyle w:val="210"/>
        <w:spacing w:line="360" w:lineRule="auto"/>
        <w:jc w:val="both"/>
        <w:rPr>
          <w:highlight w:val="none"/>
          <w:lang w:val="zh-CN"/>
        </w:rPr>
      </w:pPr>
      <w:r>
        <w:rPr>
          <w:rFonts w:hint="eastAsia"/>
          <w:highlight w:val="none"/>
          <w:lang w:val="zh-CN"/>
        </w:rPr>
        <w:t>2</w:t>
      </w:r>
      <w:r>
        <w:rPr>
          <w:rFonts w:hint="eastAsia"/>
          <w:highlight w:val="none"/>
        </w:rPr>
        <w:t>8</w:t>
      </w:r>
      <w:r>
        <w:rPr>
          <w:rFonts w:hint="eastAsia"/>
          <w:highlight w:val="none"/>
          <w:lang w:val="zh-CN"/>
        </w:rPr>
        <w:t>.</w:t>
      </w:r>
      <w:r>
        <w:rPr>
          <w:rFonts w:hint="eastAsia"/>
          <w:highlight w:val="none"/>
        </w:rPr>
        <w:t>6</w:t>
      </w:r>
      <w:r>
        <w:rPr>
          <w:rFonts w:hint="eastAsia"/>
          <w:highlight w:val="none"/>
          <w:lang w:val="zh-CN"/>
        </w:rPr>
        <w:t>招标采购单位不解释中标或落标原因，不退回投标文件和其他投标资料。</w:t>
      </w:r>
    </w:p>
    <w:p>
      <w:pPr>
        <w:pStyle w:val="7"/>
        <w:jc w:val="both"/>
        <w:rPr>
          <w:rFonts w:ascii="宋体" w:hAnsi="宋体" w:cs="宋体"/>
          <w:sz w:val="24"/>
          <w:highlight w:val="none"/>
          <w:lang w:val="zh-CN"/>
        </w:rPr>
      </w:pPr>
      <w:bookmarkStart w:id="257" w:name="_Toc12552"/>
      <w:bookmarkStart w:id="258" w:name="_Toc20810"/>
      <w:bookmarkStart w:id="259" w:name="_Toc13120"/>
      <w:bookmarkStart w:id="260" w:name="_Toc2943"/>
      <w:bookmarkStart w:id="261" w:name="_Toc241"/>
      <w:bookmarkStart w:id="262" w:name="_Toc25170"/>
      <w:r>
        <w:rPr>
          <w:rFonts w:hint="eastAsia" w:ascii="宋体" w:hAnsi="宋体" w:cs="宋体"/>
          <w:sz w:val="24"/>
          <w:highlight w:val="none"/>
          <w:lang w:val="zh-CN"/>
        </w:rPr>
        <w:t>2</w:t>
      </w:r>
      <w:r>
        <w:rPr>
          <w:rFonts w:hint="eastAsia" w:ascii="宋体" w:hAnsi="宋体" w:cs="宋体"/>
          <w:sz w:val="24"/>
          <w:highlight w:val="none"/>
        </w:rPr>
        <w:t>9</w:t>
      </w:r>
      <w:r>
        <w:rPr>
          <w:rFonts w:hint="eastAsia" w:ascii="宋体" w:hAnsi="宋体" w:cs="宋体"/>
          <w:sz w:val="24"/>
          <w:highlight w:val="none"/>
          <w:lang w:val="zh-CN"/>
        </w:rPr>
        <w:t>．中标通知</w:t>
      </w:r>
      <w:bookmarkEnd w:id="254"/>
      <w:bookmarkEnd w:id="255"/>
      <w:r>
        <w:rPr>
          <w:rFonts w:hint="eastAsia" w:ascii="宋体" w:hAnsi="宋体" w:cs="宋体"/>
          <w:sz w:val="24"/>
          <w:highlight w:val="none"/>
          <w:lang w:val="zh-CN"/>
        </w:rPr>
        <w:t>书</w:t>
      </w:r>
      <w:bookmarkEnd w:id="256"/>
      <w:bookmarkEnd w:id="257"/>
      <w:bookmarkEnd w:id="258"/>
      <w:bookmarkEnd w:id="259"/>
      <w:bookmarkEnd w:id="260"/>
      <w:bookmarkEnd w:id="261"/>
      <w:bookmarkEnd w:id="262"/>
    </w:p>
    <w:p>
      <w:pPr>
        <w:pStyle w:val="210"/>
        <w:spacing w:line="360" w:lineRule="auto"/>
        <w:jc w:val="both"/>
        <w:rPr>
          <w:highlight w:val="none"/>
          <w:lang w:val="zh-CN"/>
        </w:rPr>
      </w:pPr>
      <w:r>
        <w:rPr>
          <w:rFonts w:hint="eastAsia"/>
          <w:highlight w:val="none"/>
          <w:lang w:val="zh-CN"/>
        </w:rPr>
        <w:t>2</w:t>
      </w:r>
      <w:r>
        <w:rPr>
          <w:rFonts w:hint="eastAsia"/>
          <w:highlight w:val="none"/>
        </w:rPr>
        <w:t>9</w:t>
      </w:r>
      <w:r>
        <w:rPr>
          <w:rFonts w:hint="eastAsia"/>
          <w:highlight w:val="none"/>
          <w:lang w:val="zh-CN"/>
        </w:rPr>
        <w:t>.1中标供应商须向</w:t>
      </w:r>
      <w:r>
        <w:rPr>
          <w:rFonts w:hint="eastAsia"/>
          <w:highlight w:val="none"/>
          <w:lang w:val="en-US" w:eastAsia="zh-CN"/>
        </w:rPr>
        <w:t>采购人</w:t>
      </w:r>
      <w:r>
        <w:rPr>
          <w:rFonts w:hint="eastAsia"/>
          <w:highlight w:val="none"/>
          <w:lang w:val="zh-CN"/>
        </w:rPr>
        <w:t>领取中标通知书。</w:t>
      </w:r>
    </w:p>
    <w:p>
      <w:pPr>
        <w:pStyle w:val="210"/>
        <w:spacing w:line="360" w:lineRule="auto"/>
        <w:jc w:val="both"/>
        <w:rPr>
          <w:highlight w:val="none"/>
          <w:lang w:val="zh-CN"/>
        </w:rPr>
      </w:pPr>
      <w:r>
        <w:rPr>
          <w:rFonts w:hint="eastAsia"/>
          <w:highlight w:val="none"/>
        </w:rPr>
        <w:t>29.2</w:t>
      </w:r>
      <w:r>
        <w:rPr>
          <w:rFonts w:hint="eastAsia"/>
          <w:highlight w:val="none"/>
          <w:lang w:val="zh-CN"/>
        </w:rPr>
        <w:t>中标通知书为签订采购合同的依据，是合同的有效组成部分。</w:t>
      </w:r>
    </w:p>
    <w:p>
      <w:pPr>
        <w:pStyle w:val="210"/>
        <w:spacing w:line="360" w:lineRule="auto"/>
        <w:jc w:val="both"/>
        <w:rPr>
          <w:highlight w:val="none"/>
          <w:lang w:val="zh-CN"/>
        </w:rPr>
      </w:pPr>
      <w:r>
        <w:rPr>
          <w:rFonts w:hint="eastAsia"/>
          <w:highlight w:val="none"/>
          <w:lang w:val="zh-CN"/>
        </w:rPr>
        <w:t>2</w:t>
      </w:r>
      <w:r>
        <w:rPr>
          <w:rFonts w:hint="eastAsia"/>
          <w:highlight w:val="none"/>
        </w:rPr>
        <w:t>9</w:t>
      </w:r>
      <w:r>
        <w:rPr>
          <w:rFonts w:hint="eastAsia"/>
          <w:highlight w:val="none"/>
          <w:lang w:val="zh-CN"/>
        </w:rPr>
        <w:t>.</w:t>
      </w:r>
      <w:r>
        <w:rPr>
          <w:rFonts w:hint="eastAsia"/>
          <w:highlight w:val="none"/>
        </w:rPr>
        <w:t>3</w:t>
      </w:r>
      <w:r>
        <w:rPr>
          <w:rFonts w:hint="eastAsia"/>
          <w:highlight w:val="none"/>
          <w:lang w:val="zh-CN"/>
        </w:rPr>
        <w:t>中标通知书对采购人和中标人均具有法律效力。中标通知书发出后，采购人不得违法改变中标结果，中标人无正当理由不得放弃中标。</w:t>
      </w:r>
    </w:p>
    <w:p>
      <w:pPr>
        <w:pStyle w:val="210"/>
        <w:spacing w:line="360" w:lineRule="auto"/>
        <w:jc w:val="both"/>
        <w:rPr>
          <w:highlight w:val="none"/>
        </w:rPr>
      </w:pPr>
      <w:r>
        <w:rPr>
          <w:rFonts w:hint="eastAsia"/>
          <w:highlight w:val="none"/>
          <w:lang w:val="zh-CN"/>
        </w:rPr>
        <w:t>2</w:t>
      </w:r>
      <w:r>
        <w:rPr>
          <w:rFonts w:hint="eastAsia"/>
          <w:highlight w:val="none"/>
        </w:rPr>
        <w:t>9</w:t>
      </w:r>
      <w:r>
        <w:rPr>
          <w:rFonts w:hint="eastAsia"/>
          <w:highlight w:val="none"/>
          <w:lang w:val="zh-CN"/>
        </w:rPr>
        <w:t>.</w:t>
      </w:r>
      <w:r>
        <w:rPr>
          <w:rFonts w:hint="eastAsia"/>
          <w:highlight w:val="none"/>
        </w:rPr>
        <w:t>4采购人应当自中标通知书发出之日起 30 日内，按照招标文件和中标人投标文件的规定，与中标人签订书面合同。</w:t>
      </w:r>
    </w:p>
    <w:p>
      <w:pPr>
        <w:pStyle w:val="210"/>
        <w:spacing w:line="360" w:lineRule="auto"/>
        <w:jc w:val="both"/>
        <w:rPr>
          <w:highlight w:val="none"/>
          <w:lang w:val="zh-CN"/>
        </w:rPr>
      </w:pPr>
      <w:r>
        <w:rPr>
          <w:rFonts w:hint="eastAsia"/>
          <w:highlight w:val="none"/>
        </w:rPr>
        <w:t>29.5</w:t>
      </w:r>
      <w:r>
        <w:rPr>
          <w:rFonts w:hint="eastAsia"/>
          <w:highlight w:val="none"/>
          <w:lang w:val="zh-CN"/>
        </w:rPr>
        <w:t>中标人的投标文件本应作为无效投标处理或者有采购法律法规规章制度规定的中标无效情形的，采购人在取得有权主体的认定以后，应当宣布发出的中标通知书无效，并收回发出的中标通知书（中标人也应当缴回），依法重新确定中标人或者重新开展采购活动。</w:t>
      </w:r>
      <w:bookmarkStart w:id="263" w:name="_Toc217446064"/>
      <w:bookmarkStart w:id="264" w:name="_Toc183682377"/>
      <w:bookmarkStart w:id="265" w:name="_Toc183582240"/>
    </w:p>
    <w:p>
      <w:pPr>
        <w:pStyle w:val="6"/>
        <w:rPr>
          <w:rFonts w:ascii="宋体" w:hAnsi="宋体" w:cs="宋体"/>
          <w:sz w:val="32"/>
          <w:szCs w:val="32"/>
          <w:highlight w:val="none"/>
        </w:rPr>
      </w:pPr>
      <w:bookmarkStart w:id="266" w:name="_Toc2668"/>
      <w:bookmarkStart w:id="267" w:name="_Toc19953"/>
      <w:bookmarkStart w:id="268" w:name="_Toc30758"/>
      <w:bookmarkStart w:id="269" w:name="_Toc24879"/>
      <w:bookmarkStart w:id="270" w:name="_Toc9774"/>
      <w:r>
        <w:rPr>
          <w:rFonts w:hint="eastAsia" w:ascii="宋体" w:hAnsi="宋体" w:cs="宋体"/>
          <w:sz w:val="32"/>
          <w:szCs w:val="32"/>
          <w:highlight w:val="none"/>
        </w:rPr>
        <w:t>六、签订及履行合同</w:t>
      </w:r>
      <w:bookmarkEnd w:id="263"/>
      <w:bookmarkEnd w:id="266"/>
      <w:bookmarkEnd w:id="267"/>
      <w:bookmarkEnd w:id="268"/>
      <w:bookmarkEnd w:id="269"/>
      <w:bookmarkEnd w:id="270"/>
      <w:bookmarkStart w:id="271" w:name="_Toc217446065"/>
    </w:p>
    <w:p>
      <w:pPr>
        <w:pStyle w:val="7"/>
        <w:jc w:val="both"/>
        <w:rPr>
          <w:rFonts w:ascii="宋体" w:hAnsi="宋体" w:cs="宋体"/>
          <w:sz w:val="24"/>
          <w:highlight w:val="none"/>
          <w:lang w:val="zh-CN"/>
        </w:rPr>
      </w:pPr>
      <w:bookmarkStart w:id="272" w:name="_Toc6977"/>
      <w:bookmarkStart w:id="273" w:name="_Toc1883"/>
      <w:bookmarkStart w:id="274" w:name="_Toc26668"/>
      <w:bookmarkStart w:id="275" w:name="_Toc21150"/>
      <w:bookmarkStart w:id="276" w:name="_Toc3372"/>
      <w:bookmarkStart w:id="277" w:name="_Toc13545"/>
      <w:r>
        <w:rPr>
          <w:rFonts w:hint="eastAsia" w:ascii="宋体" w:hAnsi="宋体" w:cs="宋体"/>
          <w:sz w:val="24"/>
          <w:highlight w:val="none"/>
        </w:rPr>
        <w:t>30</w:t>
      </w:r>
      <w:r>
        <w:rPr>
          <w:rFonts w:hint="eastAsia" w:ascii="宋体" w:hAnsi="宋体" w:cs="宋体"/>
          <w:sz w:val="24"/>
          <w:highlight w:val="none"/>
          <w:lang w:val="zh-CN"/>
        </w:rPr>
        <w:t>.签订合同</w:t>
      </w:r>
      <w:bookmarkEnd w:id="271"/>
      <w:bookmarkEnd w:id="272"/>
      <w:bookmarkEnd w:id="273"/>
      <w:bookmarkEnd w:id="274"/>
      <w:bookmarkEnd w:id="275"/>
      <w:bookmarkEnd w:id="276"/>
      <w:bookmarkEnd w:id="277"/>
    </w:p>
    <w:p>
      <w:pPr>
        <w:pStyle w:val="210"/>
        <w:spacing w:line="360" w:lineRule="auto"/>
        <w:jc w:val="both"/>
        <w:rPr>
          <w:highlight w:val="none"/>
          <w:lang w:val="zh-CN"/>
        </w:rPr>
      </w:pPr>
      <w:r>
        <w:rPr>
          <w:rFonts w:hint="eastAsia"/>
          <w:highlight w:val="none"/>
        </w:rPr>
        <w:t>30</w:t>
      </w:r>
      <w:r>
        <w:rPr>
          <w:rFonts w:hint="eastAsia"/>
          <w:highlight w:val="none"/>
          <w:lang w:val="zh-CN"/>
        </w:rPr>
        <w:t>.1中标人在收到代理机构发出的《中标通知书》后，应在招标文件规定的时间内与采购人签订采购合同。由于中标人的原因拒绝与采购人签订采购合同的，将视为放弃中标，取消其中标资格并将按相关规定追究其法律责任。采购人可以按照评标报告推荐的中标候选人名单排序，确定下一候选人为中标人，也可以重新开展采购活动。</w:t>
      </w:r>
    </w:p>
    <w:p>
      <w:pPr>
        <w:pStyle w:val="210"/>
        <w:spacing w:line="360" w:lineRule="auto"/>
        <w:jc w:val="both"/>
        <w:rPr>
          <w:highlight w:val="none"/>
          <w:lang w:val="zh-CN"/>
        </w:rPr>
      </w:pPr>
      <w:r>
        <w:rPr>
          <w:rFonts w:hint="eastAsia"/>
          <w:highlight w:val="none"/>
        </w:rPr>
        <w:t>30</w:t>
      </w:r>
      <w:r>
        <w:rPr>
          <w:rFonts w:hint="eastAsia"/>
          <w:highlight w:val="none"/>
          <w:lang w:val="zh-CN"/>
        </w:rPr>
        <w:t>.2采购人不得向中标人提出任何不合理的要求，作为签订合同的条件，不得与中标人私下订立背离合同实质性内容的任何协议，所签订的合同不得对招标文件和中标人投标文件作实质性修改。</w:t>
      </w:r>
    </w:p>
    <w:p>
      <w:pPr>
        <w:pStyle w:val="210"/>
        <w:spacing w:line="360" w:lineRule="auto"/>
        <w:jc w:val="both"/>
        <w:rPr>
          <w:highlight w:val="none"/>
          <w:lang w:val="zh-CN"/>
        </w:rPr>
      </w:pPr>
      <w:r>
        <w:rPr>
          <w:rFonts w:hint="eastAsia"/>
          <w:highlight w:val="none"/>
        </w:rPr>
        <w:t>30</w:t>
      </w:r>
      <w:r>
        <w:rPr>
          <w:rFonts w:hint="eastAsia"/>
          <w:highlight w:val="none"/>
          <w:lang w:val="zh-CN"/>
        </w:rPr>
        <w:t>.3中标人因不可抗力原因不能履行采购合同或放弃中标的，采购人可以与排在中标人之后第一位的中标候选人签订采购合同，以此类推。</w:t>
      </w:r>
    </w:p>
    <w:p>
      <w:pPr>
        <w:pStyle w:val="210"/>
        <w:spacing w:line="360" w:lineRule="auto"/>
        <w:jc w:val="both"/>
        <w:rPr>
          <w:highlight w:val="none"/>
          <w:lang w:val="zh-CN"/>
        </w:rPr>
      </w:pPr>
      <w:r>
        <w:rPr>
          <w:rFonts w:hint="eastAsia"/>
          <w:highlight w:val="none"/>
        </w:rPr>
        <w:t>30</w:t>
      </w:r>
      <w:r>
        <w:rPr>
          <w:rFonts w:hint="eastAsia"/>
          <w:highlight w:val="none"/>
          <w:lang w:val="zh-CN"/>
        </w:rPr>
        <w:t>.4中标人在合同签订之后三个工作日内，将签订的合同（一式五份）送采购人审核。</w:t>
      </w:r>
      <w:bookmarkStart w:id="278" w:name="_Toc217446066"/>
    </w:p>
    <w:p>
      <w:pPr>
        <w:pStyle w:val="7"/>
        <w:jc w:val="both"/>
        <w:rPr>
          <w:rFonts w:ascii="宋体" w:hAnsi="宋体" w:cs="宋体"/>
          <w:sz w:val="24"/>
          <w:highlight w:val="none"/>
          <w:lang w:val="zh-CN"/>
        </w:rPr>
      </w:pPr>
      <w:bookmarkStart w:id="279" w:name="_Toc32157"/>
      <w:bookmarkStart w:id="280" w:name="_Toc19056"/>
      <w:bookmarkStart w:id="281" w:name="_Toc19334"/>
      <w:bookmarkStart w:id="282" w:name="_Toc21450"/>
      <w:bookmarkStart w:id="283" w:name="_Toc19335"/>
      <w:bookmarkStart w:id="284" w:name="_Toc9553"/>
      <w:r>
        <w:rPr>
          <w:rFonts w:hint="eastAsia" w:ascii="宋体" w:hAnsi="宋体" w:cs="宋体"/>
          <w:sz w:val="24"/>
          <w:highlight w:val="none"/>
        </w:rPr>
        <w:t>31</w:t>
      </w:r>
      <w:r>
        <w:rPr>
          <w:rFonts w:hint="eastAsia" w:ascii="宋体" w:hAnsi="宋体" w:cs="宋体"/>
          <w:sz w:val="24"/>
          <w:highlight w:val="none"/>
          <w:lang w:val="zh-CN"/>
        </w:rPr>
        <w:t>.合同分包</w:t>
      </w:r>
      <w:bookmarkEnd w:id="278"/>
      <w:bookmarkEnd w:id="279"/>
      <w:bookmarkEnd w:id="280"/>
      <w:bookmarkEnd w:id="281"/>
      <w:bookmarkEnd w:id="282"/>
      <w:bookmarkEnd w:id="283"/>
      <w:bookmarkEnd w:id="284"/>
    </w:p>
    <w:p>
      <w:pPr>
        <w:pStyle w:val="210"/>
        <w:spacing w:line="360" w:lineRule="auto"/>
        <w:jc w:val="both"/>
        <w:rPr>
          <w:highlight w:val="none"/>
        </w:rPr>
      </w:pPr>
      <w:r>
        <w:rPr>
          <w:rFonts w:hint="eastAsia"/>
          <w:highlight w:val="none"/>
        </w:rPr>
        <w:t>31</w:t>
      </w:r>
      <w:r>
        <w:rPr>
          <w:rFonts w:hint="eastAsia"/>
          <w:highlight w:val="none"/>
          <w:lang w:val="zh-CN"/>
        </w:rPr>
        <w:t>.1</w:t>
      </w:r>
      <w:r>
        <w:rPr>
          <w:rFonts w:hint="eastAsia"/>
          <w:highlight w:val="none"/>
        </w:rPr>
        <w:t>未经采购人同意，中标人不得分包合同。</w:t>
      </w:r>
    </w:p>
    <w:p>
      <w:pPr>
        <w:pStyle w:val="210"/>
        <w:spacing w:line="360" w:lineRule="auto"/>
        <w:jc w:val="both"/>
        <w:rPr>
          <w:highlight w:val="none"/>
          <w:lang w:val="zh-CN"/>
        </w:rPr>
      </w:pPr>
      <w:r>
        <w:rPr>
          <w:rFonts w:hint="eastAsia"/>
          <w:highlight w:val="none"/>
        </w:rPr>
        <w:t>31.2</w:t>
      </w:r>
      <w:r>
        <w:rPr>
          <w:rFonts w:hint="eastAsia"/>
          <w:highlight w:val="none"/>
          <w:lang w:val="zh-CN"/>
        </w:rPr>
        <w:t>经采购人同意，中标人可对中标项目的非主体部分采取分包方式履行合同。这种要求应当在合同签订之前征得采购人同意，并且分包投标人履行的分包项目的品牌、规格型号及技术要求等，必须与中标的一致。</w:t>
      </w:r>
    </w:p>
    <w:p>
      <w:pPr>
        <w:pStyle w:val="210"/>
        <w:spacing w:line="360" w:lineRule="auto"/>
        <w:jc w:val="both"/>
        <w:rPr>
          <w:sz w:val="21"/>
          <w:szCs w:val="21"/>
          <w:highlight w:val="none"/>
          <w:lang w:val="zh-CN"/>
        </w:rPr>
      </w:pPr>
      <w:r>
        <w:rPr>
          <w:rFonts w:hint="eastAsia"/>
          <w:highlight w:val="none"/>
        </w:rPr>
        <w:t>31</w:t>
      </w:r>
      <w:r>
        <w:rPr>
          <w:rFonts w:hint="eastAsia"/>
          <w:highlight w:val="none"/>
          <w:lang w:val="zh-CN"/>
        </w:rPr>
        <w:t>.</w:t>
      </w:r>
      <w:r>
        <w:rPr>
          <w:rFonts w:hint="eastAsia"/>
          <w:highlight w:val="none"/>
        </w:rPr>
        <w:t>3</w:t>
      </w:r>
      <w:r>
        <w:rPr>
          <w:rFonts w:hint="eastAsia"/>
          <w:highlight w:val="none"/>
          <w:lang w:val="zh-CN"/>
        </w:rPr>
        <w:t>采购合同实行分包履行的，中标人就采购项目和分包项目向采购人负责，分包投标人就分包项目承担责任。</w:t>
      </w:r>
      <w:bookmarkStart w:id="285" w:name="_Toc217446067"/>
    </w:p>
    <w:p>
      <w:pPr>
        <w:pStyle w:val="7"/>
        <w:jc w:val="both"/>
        <w:rPr>
          <w:rFonts w:ascii="宋体" w:hAnsi="宋体" w:cs="宋体"/>
          <w:sz w:val="24"/>
          <w:highlight w:val="none"/>
          <w:lang w:val="zh-CN"/>
        </w:rPr>
      </w:pPr>
      <w:bookmarkStart w:id="286" w:name="_Toc22507"/>
      <w:bookmarkStart w:id="287" w:name="_Toc27597"/>
      <w:bookmarkStart w:id="288" w:name="_Toc9183"/>
      <w:bookmarkStart w:id="289" w:name="_Toc8836"/>
      <w:bookmarkStart w:id="290" w:name="_Toc8108"/>
      <w:bookmarkStart w:id="291" w:name="_Toc13021"/>
      <w:r>
        <w:rPr>
          <w:rFonts w:hint="eastAsia" w:ascii="宋体" w:hAnsi="宋体" w:cs="宋体"/>
          <w:sz w:val="24"/>
          <w:highlight w:val="none"/>
        </w:rPr>
        <w:t>32</w:t>
      </w:r>
      <w:r>
        <w:rPr>
          <w:rFonts w:hint="eastAsia" w:ascii="宋体" w:hAnsi="宋体" w:cs="宋体"/>
          <w:sz w:val="24"/>
          <w:highlight w:val="none"/>
          <w:lang w:val="zh-CN"/>
        </w:rPr>
        <w:t>.采购人增加合同标的权</w:t>
      </w:r>
      <w:bookmarkEnd w:id="285"/>
      <w:r>
        <w:rPr>
          <w:rFonts w:hint="eastAsia" w:ascii="宋体" w:hAnsi="宋体" w:cs="宋体"/>
          <w:sz w:val="24"/>
          <w:highlight w:val="none"/>
          <w:lang w:val="zh-CN"/>
        </w:rPr>
        <w:t>利</w:t>
      </w:r>
      <w:bookmarkEnd w:id="286"/>
      <w:bookmarkEnd w:id="287"/>
      <w:bookmarkEnd w:id="288"/>
      <w:bookmarkEnd w:id="289"/>
      <w:bookmarkEnd w:id="290"/>
      <w:bookmarkEnd w:id="291"/>
    </w:p>
    <w:p>
      <w:pPr>
        <w:pStyle w:val="210"/>
        <w:spacing w:line="360" w:lineRule="auto"/>
        <w:jc w:val="both"/>
        <w:rPr>
          <w:highlight w:val="none"/>
          <w:lang w:val="zh-CN"/>
        </w:rPr>
      </w:pPr>
      <w:r>
        <w:rPr>
          <w:rFonts w:hint="eastAsia"/>
          <w:highlight w:val="none"/>
        </w:rPr>
        <w:t>32.1</w:t>
      </w:r>
      <w:r>
        <w:rPr>
          <w:rFonts w:hint="eastAsia"/>
          <w:highlight w:val="none"/>
          <w:lang w:val="zh-CN"/>
        </w:rPr>
        <w:t>采购合同履行过程中，采购人需要追加与合同标的相同的货物或者服务的，在不改变合同其他条款的前提下，可以与中标供应商协商签订补充合同，但所有补充合同的采购金额不得超过原合同采购金额的10%。</w:t>
      </w:r>
      <w:bookmarkStart w:id="292" w:name="_Toc217446068"/>
    </w:p>
    <w:bookmarkEnd w:id="292"/>
    <w:p>
      <w:pPr>
        <w:pStyle w:val="7"/>
        <w:jc w:val="both"/>
        <w:rPr>
          <w:rFonts w:ascii="宋体" w:hAnsi="宋体" w:cs="宋体"/>
          <w:sz w:val="24"/>
          <w:highlight w:val="none"/>
          <w:lang w:val="zh-CN"/>
        </w:rPr>
      </w:pPr>
      <w:bookmarkStart w:id="293" w:name="_Toc11603"/>
      <w:bookmarkStart w:id="294" w:name="_Toc14355"/>
      <w:bookmarkStart w:id="295" w:name="_Toc5335"/>
      <w:bookmarkStart w:id="296" w:name="_Toc7781"/>
      <w:bookmarkStart w:id="297" w:name="_Toc217446069"/>
      <w:bookmarkStart w:id="298" w:name="_Toc9696"/>
      <w:bookmarkStart w:id="299" w:name="_Toc17948"/>
      <w:r>
        <w:rPr>
          <w:rFonts w:hint="eastAsia" w:ascii="宋体" w:hAnsi="宋体" w:cs="宋体"/>
          <w:sz w:val="24"/>
          <w:highlight w:val="none"/>
        </w:rPr>
        <w:t>33</w:t>
      </w:r>
      <w:r>
        <w:rPr>
          <w:rFonts w:hint="eastAsia" w:ascii="宋体" w:hAnsi="宋体" w:cs="宋体"/>
          <w:sz w:val="24"/>
          <w:highlight w:val="none"/>
          <w:lang w:val="zh-CN"/>
        </w:rPr>
        <w:t>.履行合同</w:t>
      </w:r>
      <w:bookmarkEnd w:id="293"/>
      <w:bookmarkEnd w:id="294"/>
      <w:bookmarkEnd w:id="295"/>
      <w:bookmarkEnd w:id="296"/>
      <w:bookmarkEnd w:id="297"/>
      <w:bookmarkEnd w:id="298"/>
      <w:bookmarkEnd w:id="299"/>
    </w:p>
    <w:p>
      <w:pPr>
        <w:pStyle w:val="210"/>
        <w:spacing w:line="360" w:lineRule="auto"/>
        <w:jc w:val="both"/>
        <w:rPr>
          <w:highlight w:val="none"/>
          <w:lang w:val="zh-CN"/>
        </w:rPr>
      </w:pPr>
      <w:r>
        <w:rPr>
          <w:rFonts w:hint="eastAsia"/>
          <w:highlight w:val="none"/>
        </w:rPr>
        <w:t>33</w:t>
      </w:r>
      <w:r>
        <w:rPr>
          <w:rFonts w:hint="eastAsia"/>
          <w:highlight w:val="none"/>
          <w:lang w:val="zh-CN"/>
        </w:rPr>
        <w:t>.1中标人与采购人签订合同后，合同双方应严格执行合同条款，履行合同规定的义务，保证合同的顺利完成。</w:t>
      </w:r>
    </w:p>
    <w:p>
      <w:pPr>
        <w:pStyle w:val="210"/>
        <w:spacing w:line="360" w:lineRule="auto"/>
        <w:jc w:val="both"/>
        <w:rPr>
          <w:highlight w:val="none"/>
          <w:lang w:val="zh-CN"/>
        </w:rPr>
      </w:pPr>
      <w:r>
        <w:rPr>
          <w:rFonts w:hint="eastAsia"/>
          <w:highlight w:val="none"/>
        </w:rPr>
        <w:t>33</w:t>
      </w:r>
      <w:r>
        <w:rPr>
          <w:rFonts w:hint="eastAsia"/>
          <w:highlight w:val="none"/>
          <w:lang w:val="zh-CN"/>
        </w:rPr>
        <w:t>.2在合同履行过程中，如发生合同纠纷，合同双方应按照《合同法》的有关规定进行处理。</w:t>
      </w:r>
      <w:bookmarkStart w:id="300" w:name="_Toc217446071"/>
    </w:p>
    <w:p>
      <w:pPr>
        <w:pStyle w:val="6"/>
        <w:rPr>
          <w:rFonts w:ascii="宋体" w:hAnsi="宋体" w:cs="宋体"/>
          <w:sz w:val="32"/>
          <w:szCs w:val="32"/>
          <w:highlight w:val="none"/>
        </w:rPr>
      </w:pPr>
      <w:bookmarkStart w:id="301" w:name="_Toc5712"/>
      <w:bookmarkStart w:id="302" w:name="_Toc13101"/>
      <w:bookmarkStart w:id="303" w:name="_Toc4015"/>
      <w:bookmarkStart w:id="304" w:name="_Toc12481"/>
      <w:bookmarkStart w:id="305" w:name="_Toc10066"/>
      <w:r>
        <w:rPr>
          <w:rFonts w:hint="eastAsia" w:ascii="宋体" w:hAnsi="宋体" w:cs="宋体"/>
          <w:sz w:val="32"/>
          <w:szCs w:val="32"/>
          <w:highlight w:val="none"/>
        </w:rPr>
        <w:t>七、废标</w:t>
      </w:r>
      <w:bookmarkEnd w:id="264"/>
      <w:bookmarkEnd w:id="265"/>
      <w:bookmarkEnd w:id="300"/>
      <w:bookmarkStart w:id="306" w:name="_Toc217446072"/>
      <w:bookmarkStart w:id="307" w:name="_Toc183682380"/>
      <w:bookmarkStart w:id="308" w:name="_Toc183582243"/>
      <w:r>
        <w:rPr>
          <w:rFonts w:hint="eastAsia" w:ascii="宋体" w:hAnsi="宋体" w:cs="宋体"/>
          <w:sz w:val="32"/>
          <w:szCs w:val="32"/>
          <w:highlight w:val="none"/>
        </w:rPr>
        <w:t>和串通投标</w:t>
      </w:r>
      <w:bookmarkEnd w:id="301"/>
      <w:bookmarkEnd w:id="302"/>
      <w:bookmarkEnd w:id="303"/>
      <w:bookmarkEnd w:id="304"/>
      <w:bookmarkEnd w:id="305"/>
    </w:p>
    <w:p>
      <w:pPr>
        <w:pStyle w:val="7"/>
        <w:jc w:val="both"/>
        <w:rPr>
          <w:rFonts w:ascii="宋体" w:hAnsi="宋体" w:cs="宋体"/>
          <w:sz w:val="24"/>
          <w:highlight w:val="none"/>
          <w:lang w:val="zh-CN"/>
        </w:rPr>
      </w:pPr>
      <w:bookmarkStart w:id="309" w:name="_Toc17057"/>
      <w:bookmarkStart w:id="310" w:name="_Toc16307"/>
      <w:bookmarkStart w:id="311" w:name="_Toc30781"/>
      <w:bookmarkStart w:id="312" w:name="_Toc19778"/>
      <w:bookmarkStart w:id="313" w:name="_Toc14513"/>
      <w:bookmarkStart w:id="314" w:name="_Toc15464"/>
      <w:r>
        <w:rPr>
          <w:rFonts w:hint="eastAsia" w:ascii="宋体" w:hAnsi="宋体" w:cs="宋体"/>
          <w:sz w:val="24"/>
          <w:highlight w:val="none"/>
          <w:lang w:val="zh-CN"/>
        </w:rPr>
        <w:t>3</w:t>
      </w:r>
      <w:r>
        <w:rPr>
          <w:rFonts w:hint="eastAsia" w:ascii="宋体" w:hAnsi="宋体" w:cs="宋体"/>
          <w:sz w:val="24"/>
          <w:highlight w:val="none"/>
        </w:rPr>
        <w:t>4</w:t>
      </w:r>
      <w:r>
        <w:rPr>
          <w:rFonts w:hint="eastAsia" w:ascii="宋体" w:hAnsi="宋体" w:cs="宋体"/>
          <w:sz w:val="24"/>
          <w:highlight w:val="none"/>
          <w:lang w:val="zh-CN"/>
        </w:rPr>
        <w:t>.废标的情形</w:t>
      </w:r>
      <w:bookmarkEnd w:id="306"/>
      <w:bookmarkEnd w:id="309"/>
      <w:bookmarkEnd w:id="310"/>
      <w:bookmarkEnd w:id="311"/>
      <w:bookmarkEnd w:id="312"/>
      <w:bookmarkEnd w:id="313"/>
      <w:bookmarkEnd w:id="314"/>
    </w:p>
    <w:p>
      <w:pPr>
        <w:pStyle w:val="210"/>
        <w:spacing w:line="360" w:lineRule="auto"/>
        <w:jc w:val="both"/>
        <w:rPr>
          <w:highlight w:val="none"/>
          <w:lang w:val="zh-CN"/>
        </w:rPr>
      </w:pPr>
      <w:r>
        <w:rPr>
          <w:rFonts w:hint="eastAsia"/>
          <w:highlight w:val="none"/>
        </w:rPr>
        <w:t>34.1</w:t>
      </w:r>
      <w:r>
        <w:rPr>
          <w:rFonts w:hint="eastAsia"/>
          <w:highlight w:val="none"/>
          <w:lang w:val="zh-CN"/>
        </w:rPr>
        <w:t>招标采购中，出现下列情形之一的，予以废标：</w:t>
      </w:r>
    </w:p>
    <w:p>
      <w:pPr>
        <w:pStyle w:val="210"/>
        <w:spacing w:line="360" w:lineRule="auto"/>
        <w:ind w:firstLine="480" w:firstLineChars="200"/>
        <w:jc w:val="both"/>
        <w:rPr>
          <w:highlight w:val="none"/>
          <w:lang w:val="zh-CN"/>
        </w:rPr>
      </w:pPr>
      <w:r>
        <w:rPr>
          <w:rFonts w:hint="eastAsia"/>
          <w:highlight w:val="none"/>
          <w:lang w:val="zh-CN"/>
        </w:rPr>
        <w:t>（1）符合专业条件的投标人或者对招标文件作实质响应的投标人不足三家的；</w:t>
      </w:r>
    </w:p>
    <w:p>
      <w:pPr>
        <w:pStyle w:val="210"/>
        <w:spacing w:line="360" w:lineRule="auto"/>
        <w:ind w:firstLine="480" w:firstLineChars="200"/>
        <w:jc w:val="both"/>
        <w:rPr>
          <w:highlight w:val="none"/>
          <w:lang w:val="zh-CN"/>
        </w:rPr>
      </w:pPr>
      <w:r>
        <w:rPr>
          <w:rFonts w:hint="eastAsia"/>
          <w:highlight w:val="none"/>
          <w:lang w:val="zh-CN"/>
        </w:rPr>
        <w:t>（2）出现影响采购公正的违法、违规行为的；</w:t>
      </w:r>
    </w:p>
    <w:p>
      <w:pPr>
        <w:pStyle w:val="210"/>
        <w:spacing w:line="360" w:lineRule="auto"/>
        <w:ind w:firstLine="480" w:firstLineChars="200"/>
        <w:jc w:val="both"/>
        <w:rPr>
          <w:highlight w:val="none"/>
          <w:lang w:val="zh-CN"/>
        </w:rPr>
      </w:pPr>
      <w:r>
        <w:rPr>
          <w:rFonts w:hint="eastAsia"/>
          <w:highlight w:val="none"/>
          <w:lang w:val="zh-CN"/>
        </w:rPr>
        <w:t>（3）投标人的报价均超过了采购预算，采购人不能支付的；</w:t>
      </w:r>
    </w:p>
    <w:p>
      <w:pPr>
        <w:pStyle w:val="210"/>
        <w:spacing w:line="360" w:lineRule="auto"/>
        <w:ind w:firstLine="480" w:firstLineChars="200"/>
        <w:jc w:val="both"/>
        <w:rPr>
          <w:highlight w:val="none"/>
          <w:lang w:val="zh-CN"/>
        </w:rPr>
      </w:pPr>
      <w:r>
        <w:rPr>
          <w:rFonts w:hint="eastAsia"/>
          <w:highlight w:val="none"/>
          <w:lang w:val="zh-CN"/>
        </w:rPr>
        <w:t>（4）因重大变故，采购任务取消的。</w:t>
      </w:r>
    </w:p>
    <w:p>
      <w:pPr>
        <w:pStyle w:val="210"/>
        <w:spacing w:line="360" w:lineRule="auto"/>
        <w:jc w:val="both"/>
        <w:rPr>
          <w:highlight w:val="none"/>
          <w:lang w:val="zh-CN"/>
        </w:rPr>
      </w:pPr>
      <w:r>
        <w:rPr>
          <w:rFonts w:hint="eastAsia"/>
          <w:highlight w:val="none"/>
        </w:rPr>
        <w:t>34.2</w:t>
      </w:r>
      <w:r>
        <w:rPr>
          <w:rFonts w:hint="eastAsia"/>
          <w:highlight w:val="none"/>
          <w:lang w:val="zh-CN"/>
        </w:rPr>
        <w:t>废标后，采购人应在采购信息发布媒体上公告，并公告废标的详细理由。</w:t>
      </w:r>
      <w:bookmarkStart w:id="315" w:name="_Toc217446074"/>
    </w:p>
    <w:p>
      <w:pPr>
        <w:pStyle w:val="210"/>
        <w:spacing w:line="360" w:lineRule="auto"/>
        <w:jc w:val="both"/>
        <w:rPr>
          <w:b/>
          <w:bCs/>
          <w:highlight w:val="none"/>
        </w:rPr>
      </w:pPr>
      <w:r>
        <w:rPr>
          <w:rFonts w:hint="eastAsia"/>
          <w:b/>
          <w:bCs/>
          <w:highlight w:val="none"/>
        </w:rPr>
        <w:t>35.有下列情形之一的，视为投标人串通投标，其投标无效：</w:t>
      </w:r>
    </w:p>
    <w:p>
      <w:pPr>
        <w:pStyle w:val="210"/>
        <w:spacing w:line="360" w:lineRule="auto"/>
        <w:jc w:val="both"/>
        <w:rPr>
          <w:highlight w:val="none"/>
        </w:rPr>
      </w:pPr>
      <w:r>
        <w:rPr>
          <w:rFonts w:hint="eastAsia"/>
          <w:highlight w:val="none"/>
        </w:rPr>
        <w:t>（一）不同投标人的投标文件由同一单位或者个人编制；</w:t>
      </w:r>
    </w:p>
    <w:p>
      <w:pPr>
        <w:pStyle w:val="210"/>
        <w:spacing w:line="360" w:lineRule="auto"/>
        <w:jc w:val="both"/>
        <w:rPr>
          <w:highlight w:val="none"/>
        </w:rPr>
      </w:pPr>
      <w:r>
        <w:rPr>
          <w:rFonts w:hint="eastAsia"/>
          <w:highlight w:val="none"/>
        </w:rPr>
        <w:t>（二）不同投标人委托同一单位或者个人办理投标事宜；</w:t>
      </w:r>
    </w:p>
    <w:p>
      <w:pPr>
        <w:pStyle w:val="210"/>
        <w:spacing w:line="360" w:lineRule="auto"/>
        <w:jc w:val="both"/>
        <w:rPr>
          <w:highlight w:val="none"/>
        </w:rPr>
      </w:pPr>
      <w:r>
        <w:rPr>
          <w:rFonts w:hint="eastAsia"/>
          <w:highlight w:val="none"/>
        </w:rPr>
        <w:t>（三）不同投标人的投标文件载明的项目管理成员或者联系人员为同一人；</w:t>
      </w:r>
    </w:p>
    <w:p>
      <w:pPr>
        <w:pStyle w:val="210"/>
        <w:spacing w:line="360" w:lineRule="auto"/>
        <w:jc w:val="both"/>
        <w:rPr>
          <w:highlight w:val="none"/>
        </w:rPr>
      </w:pPr>
      <w:r>
        <w:rPr>
          <w:rFonts w:hint="eastAsia"/>
          <w:highlight w:val="none"/>
        </w:rPr>
        <w:t>（四）不同投标人的投标文件异常一致或者投标报价呈规律性差异；</w:t>
      </w:r>
    </w:p>
    <w:p>
      <w:pPr>
        <w:pStyle w:val="210"/>
        <w:spacing w:line="360" w:lineRule="auto"/>
        <w:jc w:val="both"/>
        <w:rPr>
          <w:highlight w:val="none"/>
        </w:rPr>
      </w:pPr>
      <w:r>
        <w:rPr>
          <w:rFonts w:hint="eastAsia"/>
          <w:highlight w:val="none"/>
        </w:rPr>
        <w:t>（五）不同投标人的投标文件相互混装；</w:t>
      </w:r>
    </w:p>
    <w:p>
      <w:pPr>
        <w:pStyle w:val="210"/>
        <w:spacing w:line="360" w:lineRule="auto"/>
        <w:jc w:val="both"/>
        <w:rPr>
          <w:highlight w:val="none"/>
        </w:rPr>
      </w:pPr>
      <w:r>
        <w:rPr>
          <w:rFonts w:hint="eastAsia"/>
          <w:highlight w:val="none"/>
        </w:rPr>
        <w:t>（六）不同投标人的投标保证金从同一单位或者个人的账户转出。</w:t>
      </w:r>
    </w:p>
    <w:p>
      <w:pPr>
        <w:pStyle w:val="210"/>
        <w:spacing w:line="360" w:lineRule="auto"/>
        <w:jc w:val="both"/>
        <w:rPr>
          <w:sz w:val="32"/>
          <w:szCs w:val="32"/>
          <w:highlight w:val="none"/>
        </w:rPr>
      </w:pPr>
      <w:r>
        <w:rPr>
          <w:rFonts w:hint="eastAsia"/>
          <w:highlight w:val="none"/>
        </w:rPr>
        <w:t>36.采购方式的变更根据《</w:t>
      </w:r>
      <w:r>
        <w:rPr>
          <w:rFonts w:hint="eastAsia"/>
          <w:highlight w:val="none"/>
          <w:lang w:eastAsia="zh-CN"/>
        </w:rPr>
        <w:t>采购</w:t>
      </w:r>
      <w:r>
        <w:rPr>
          <w:rFonts w:hint="eastAsia"/>
          <w:highlight w:val="none"/>
        </w:rPr>
        <w:t>货物和服务招标投标管理办法》（财政部令第87号）第43条规定，如评审现场经财政部门批准本项目转为其他采购方式的，按相应采购方式程序执行。</w:t>
      </w:r>
      <w:bookmarkStart w:id="316" w:name="_Toc6807"/>
      <w:bookmarkStart w:id="317" w:name="_Toc13450"/>
      <w:bookmarkStart w:id="318" w:name="_Toc3297"/>
    </w:p>
    <w:p>
      <w:pPr>
        <w:pStyle w:val="6"/>
        <w:rPr>
          <w:rFonts w:ascii="宋体" w:hAnsi="宋体" w:cs="宋体"/>
          <w:sz w:val="32"/>
          <w:szCs w:val="32"/>
          <w:highlight w:val="none"/>
        </w:rPr>
      </w:pPr>
    </w:p>
    <w:p>
      <w:pPr>
        <w:pStyle w:val="6"/>
        <w:rPr>
          <w:rFonts w:ascii="宋体" w:hAnsi="宋体" w:cs="宋体"/>
          <w:sz w:val="32"/>
          <w:szCs w:val="32"/>
          <w:highlight w:val="none"/>
        </w:rPr>
      </w:pPr>
      <w:bookmarkStart w:id="319" w:name="_Toc8773"/>
      <w:bookmarkStart w:id="320" w:name="_Toc3534"/>
      <w:r>
        <w:rPr>
          <w:rFonts w:hint="eastAsia" w:ascii="宋体" w:hAnsi="宋体" w:cs="宋体"/>
          <w:sz w:val="32"/>
          <w:szCs w:val="32"/>
          <w:highlight w:val="none"/>
        </w:rPr>
        <w:t>八、投标纪律要求</w:t>
      </w:r>
      <w:bookmarkEnd w:id="315"/>
      <w:bookmarkEnd w:id="316"/>
      <w:bookmarkEnd w:id="317"/>
      <w:bookmarkEnd w:id="318"/>
      <w:bookmarkEnd w:id="319"/>
      <w:bookmarkEnd w:id="320"/>
      <w:bookmarkStart w:id="321" w:name="_Toc217446075"/>
    </w:p>
    <w:p>
      <w:pPr>
        <w:pStyle w:val="7"/>
        <w:jc w:val="both"/>
        <w:rPr>
          <w:rFonts w:ascii="宋体" w:hAnsi="宋体" w:cs="宋体"/>
          <w:sz w:val="24"/>
          <w:highlight w:val="none"/>
          <w:lang w:val="zh-CN"/>
        </w:rPr>
      </w:pPr>
      <w:bookmarkStart w:id="322" w:name="_Toc22938"/>
      <w:bookmarkStart w:id="323" w:name="_Toc7943"/>
      <w:bookmarkStart w:id="324" w:name="_Toc2492"/>
      <w:bookmarkStart w:id="325" w:name="_Toc12818"/>
      <w:bookmarkStart w:id="326" w:name="_Toc23216"/>
      <w:bookmarkStart w:id="327" w:name="_Toc27954"/>
      <w:r>
        <w:rPr>
          <w:rFonts w:hint="eastAsia" w:ascii="宋体" w:hAnsi="宋体" w:cs="宋体"/>
          <w:sz w:val="24"/>
          <w:highlight w:val="none"/>
          <w:lang w:val="zh-CN"/>
        </w:rPr>
        <w:t>3</w:t>
      </w:r>
      <w:r>
        <w:rPr>
          <w:rFonts w:hint="eastAsia" w:ascii="宋体" w:hAnsi="宋体" w:cs="宋体"/>
          <w:sz w:val="24"/>
          <w:highlight w:val="none"/>
        </w:rPr>
        <w:t>7</w:t>
      </w:r>
      <w:r>
        <w:rPr>
          <w:rFonts w:hint="eastAsia" w:ascii="宋体" w:hAnsi="宋体" w:cs="宋体"/>
          <w:sz w:val="24"/>
          <w:highlight w:val="none"/>
          <w:lang w:val="zh-CN"/>
        </w:rPr>
        <w:t>.投标人不得具有的情形</w:t>
      </w:r>
      <w:bookmarkEnd w:id="321"/>
      <w:bookmarkEnd w:id="322"/>
      <w:bookmarkEnd w:id="323"/>
      <w:bookmarkEnd w:id="324"/>
      <w:bookmarkEnd w:id="325"/>
      <w:bookmarkEnd w:id="326"/>
      <w:bookmarkEnd w:id="327"/>
    </w:p>
    <w:p>
      <w:pPr>
        <w:pStyle w:val="210"/>
        <w:spacing w:line="360" w:lineRule="auto"/>
        <w:ind w:firstLine="480" w:firstLineChars="200"/>
        <w:jc w:val="both"/>
        <w:rPr>
          <w:highlight w:val="none"/>
          <w:lang w:val="zh-CN"/>
        </w:rPr>
      </w:pPr>
      <w:r>
        <w:rPr>
          <w:rFonts w:hint="eastAsia"/>
          <w:highlight w:val="none"/>
          <w:lang w:val="zh-CN"/>
        </w:rPr>
        <w:t>投标人参加投标不得有下列情形：</w:t>
      </w:r>
    </w:p>
    <w:p>
      <w:pPr>
        <w:pStyle w:val="210"/>
        <w:spacing w:line="360" w:lineRule="auto"/>
        <w:ind w:firstLine="480" w:firstLineChars="200"/>
        <w:jc w:val="both"/>
        <w:rPr>
          <w:highlight w:val="none"/>
          <w:lang w:val="zh-CN"/>
        </w:rPr>
      </w:pPr>
      <w:r>
        <w:rPr>
          <w:rFonts w:hint="eastAsia"/>
          <w:highlight w:val="none"/>
          <w:lang w:val="zh-CN"/>
        </w:rPr>
        <w:t>（1）提供虚假材料谋取中标；</w:t>
      </w:r>
    </w:p>
    <w:p>
      <w:pPr>
        <w:pStyle w:val="210"/>
        <w:spacing w:line="360" w:lineRule="auto"/>
        <w:ind w:firstLine="480" w:firstLineChars="200"/>
        <w:jc w:val="both"/>
        <w:rPr>
          <w:highlight w:val="none"/>
          <w:lang w:val="zh-CN"/>
        </w:rPr>
      </w:pPr>
      <w:r>
        <w:rPr>
          <w:rFonts w:hint="eastAsia"/>
          <w:highlight w:val="none"/>
          <w:lang w:val="zh-CN"/>
        </w:rPr>
        <w:t>（2）采取不正当手段诋毁、排挤其他投标人；</w:t>
      </w:r>
    </w:p>
    <w:p>
      <w:pPr>
        <w:pStyle w:val="210"/>
        <w:spacing w:line="360" w:lineRule="auto"/>
        <w:ind w:firstLine="480" w:firstLineChars="200"/>
        <w:jc w:val="both"/>
        <w:rPr>
          <w:highlight w:val="none"/>
          <w:lang w:val="zh-CN"/>
        </w:rPr>
      </w:pPr>
      <w:r>
        <w:rPr>
          <w:rFonts w:hint="eastAsia"/>
          <w:highlight w:val="none"/>
          <w:lang w:val="zh-CN"/>
        </w:rPr>
        <w:t>（3）与招标采购单位、其他投标人恶意串通；</w:t>
      </w:r>
    </w:p>
    <w:p>
      <w:pPr>
        <w:pStyle w:val="210"/>
        <w:spacing w:line="360" w:lineRule="auto"/>
        <w:ind w:firstLine="480" w:firstLineChars="200"/>
        <w:jc w:val="both"/>
        <w:rPr>
          <w:highlight w:val="none"/>
          <w:lang w:val="zh-CN"/>
        </w:rPr>
      </w:pPr>
      <w:r>
        <w:rPr>
          <w:rFonts w:hint="eastAsia"/>
          <w:highlight w:val="none"/>
          <w:lang w:val="zh-CN"/>
        </w:rPr>
        <w:t>（4）向招标采购单位、评标委员会成员行贿或者提供其他不正当利益；</w:t>
      </w:r>
    </w:p>
    <w:p>
      <w:pPr>
        <w:pStyle w:val="210"/>
        <w:spacing w:line="360" w:lineRule="auto"/>
        <w:ind w:firstLine="480" w:firstLineChars="200"/>
        <w:jc w:val="both"/>
        <w:rPr>
          <w:highlight w:val="none"/>
          <w:lang w:val="zh-CN"/>
        </w:rPr>
      </w:pPr>
      <w:r>
        <w:rPr>
          <w:rFonts w:hint="eastAsia"/>
          <w:highlight w:val="none"/>
          <w:lang w:val="zh-CN"/>
        </w:rPr>
        <w:t>（5）在招标过程中与招标采购单位进行协商谈判；</w:t>
      </w:r>
    </w:p>
    <w:p>
      <w:pPr>
        <w:pStyle w:val="210"/>
        <w:spacing w:line="360" w:lineRule="auto"/>
        <w:ind w:firstLine="480" w:firstLineChars="200"/>
        <w:jc w:val="both"/>
        <w:rPr>
          <w:highlight w:val="none"/>
          <w:lang w:val="zh-CN"/>
        </w:rPr>
      </w:pPr>
      <w:r>
        <w:rPr>
          <w:rFonts w:hint="eastAsia"/>
          <w:highlight w:val="none"/>
          <w:lang w:val="zh-CN"/>
        </w:rPr>
        <w:t>（6）拒绝有关部门的监督检查或者向监督检查部门提供虚假情况。</w:t>
      </w:r>
    </w:p>
    <w:p>
      <w:pPr>
        <w:pStyle w:val="210"/>
        <w:spacing w:line="360" w:lineRule="auto"/>
        <w:ind w:firstLine="480" w:firstLineChars="200"/>
        <w:jc w:val="both"/>
        <w:rPr>
          <w:b/>
          <w:bCs/>
          <w:sz w:val="28"/>
          <w:szCs w:val="28"/>
          <w:highlight w:val="none"/>
        </w:rPr>
      </w:pPr>
      <w:r>
        <w:rPr>
          <w:rFonts w:hint="eastAsia"/>
          <w:highlight w:val="none"/>
          <w:lang w:val="zh-CN"/>
        </w:rPr>
        <w:t>有上述情形之一的投标人，属于不合格投标人，其投标或中标资格将被取消。</w:t>
      </w:r>
      <w:bookmarkStart w:id="328" w:name="_Toc217446078"/>
    </w:p>
    <w:p>
      <w:pPr>
        <w:pStyle w:val="6"/>
        <w:rPr>
          <w:rFonts w:ascii="宋体" w:hAnsi="宋体" w:cs="宋体"/>
          <w:sz w:val="32"/>
          <w:szCs w:val="32"/>
          <w:highlight w:val="none"/>
        </w:rPr>
      </w:pPr>
      <w:bookmarkStart w:id="329" w:name="_Toc21327"/>
      <w:bookmarkStart w:id="330" w:name="_Toc8019"/>
      <w:bookmarkStart w:id="331" w:name="_Toc12361"/>
      <w:bookmarkStart w:id="332" w:name="_Toc15768"/>
      <w:bookmarkStart w:id="333" w:name="_Toc8706"/>
      <w:r>
        <w:rPr>
          <w:rFonts w:hint="eastAsia" w:ascii="宋体" w:hAnsi="宋体" w:cs="宋体"/>
          <w:sz w:val="32"/>
          <w:szCs w:val="32"/>
          <w:highlight w:val="none"/>
        </w:rPr>
        <w:t>九、资格审查</w:t>
      </w:r>
      <w:bookmarkEnd w:id="329"/>
      <w:bookmarkEnd w:id="330"/>
      <w:bookmarkEnd w:id="331"/>
      <w:bookmarkEnd w:id="332"/>
      <w:bookmarkEnd w:id="333"/>
    </w:p>
    <w:p>
      <w:pPr>
        <w:pStyle w:val="210"/>
        <w:spacing w:line="360" w:lineRule="auto"/>
        <w:jc w:val="both"/>
        <w:rPr>
          <w:highlight w:val="none"/>
          <w:lang w:val="zh-CN"/>
        </w:rPr>
      </w:pPr>
      <w:r>
        <w:rPr>
          <w:rFonts w:hint="eastAsia"/>
          <w:b/>
          <w:bCs/>
          <w:kern w:val="2"/>
          <w:szCs w:val="32"/>
          <w:highlight w:val="none"/>
          <w:lang w:val="zh-CN"/>
        </w:rPr>
        <w:t>3</w:t>
      </w:r>
      <w:r>
        <w:rPr>
          <w:rFonts w:hint="eastAsia"/>
          <w:b/>
          <w:bCs/>
          <w:kern w:val="2"/>
          <w:szCs w:val="32"/>
          <w:highlight w:val="none"/>
        </w:rPr>
        <w:t>8</w:t>
      </w:r>
      <w:r>
        <w:rPr>
          <w:rFonts w:hint="eastAsia"/>
          <w:b/>
          <w:bCs/>
          <w:kern w:val="2"/>
          <w:szCs w:val="32"/>
          <w:highlight w:val="none"/>
          <w:lang w:val="zh-CN"/>
        </w:rPr>
        <w:t>.</w:t>
      </w:r>
      <w:r>
        <w:rPr>
          <w:rFonts w:hint="eastAsia"/>
          <w:highlight w:val="none"/>
          <w:lang w:val="zh-CN"/>
        </w:rPr>
        <w:t>本项目投标人的资格条件在开标仪式结束后，由采购人或代理机构依法进行审查。投标人应在投标文件中按招标文件的规定和要求附上所有的资格证明文件，除需要提供原件的证明文件须装订在投标文件正本中，其余要求提供复印件的证明文件必须加盖单位公章。若提供的资格证明文件不全或不实，或将导致其投标或中标资格被取消。</w:t>
      </w:r>
    </w:p>
    <w:bookmarkEnd w:id="307"/>
    <w:bookmarkEnd w:id="308"/>
    <w:bookmarkEnd w:id="328"/>
    <w:p>
      <w:pPr>
        <w:pStyle w:val="6"/>
        <w:rPr>
          <w:rFonts w:ascii="宋体" w:hAnsi="宋体" w:cs="宋体"/>
          <w:sz w:val="32"/>
          <w:szCs w:val="32"/>
          <w:highlight w:val="none"/>
        </w:rPr>
      </w:pPr>
      <w:bookmarkStart w:id="334" w:name="_Toc11196"/>
      <w:bookmarkStart w:id="335" w:name="_Toc20633"/>
      <w:bookmarkStart w:id="336" w:name="_Toc5443"/>
      <w:bookmarkStart w:id="337" w:name="_Toc22271"/>
      <w:bookmarkStart w:id="338" w:name="_Toc4314"/>
      <w:r>
        <w:rPr>
          <w:rFonts w:hint="eastAsia" w:ascii="宋体" w:hAnsi="宋体" w:cs="宋体"/>
          <w:sz w:val="32"/>
          <w:szCs w:val="32"/>
          <w:highlight w:val="none"/>
        </w:rPr>
        <w:t>十、询问和质疑</w:t>
      </w:r>
      <w:bookmarkEnd w:id="334"/>
      <w:bookmarkEnd w:id="335"/>
      <w:bookmarkEnd w:id="336"/>
      <w:bookmarkEnd w:id="337"/>
      <w:bookmarkEnd w:id="338"/>
    </w:p>
    <w:p>
      <w:pPr>
        <w:pStyle w:val="7"/>
        <w:jc w:val="both"/>
        <w:rPr>
          <w:rFonts w:ascii="宋体" w:hAnsi="宋体" w:cs="宋体"/>
          <w:sz w:val="24"/>
          <w:highlight w:val="none"/>
        </w:rPr>
      </w:pPr>
      <w:bookmarkStart w:id="339" w:name="_Toc13003"/>
      <w:bookmarkStart w:id="340" w:name="_Toc6138"/>
      <w:bookmarkStart w:id="341" w:name="_Toc8012"/>
      <w:bookmarkStart w:id="342" w:name="_Toc31245"/>
      <w:bookmarkStart w:id="343" w:name="_Toc25131"/>
      <w:bookmarkStart w:id="344" w:name="_Toc18889"/>
      <w:bookmarkStart w:id="345" w:name="_Toc32433"/>
      <w:r>
        <w:rPr>
          <w:rFonts w:hint="eastAsia" w:ascii="宋体" w:hAnsi="宋体" w:cs="宋体"/>
          <w:sz w:val="24"/>
          <w:highlight w:val="none"/>
        </w:rPr>
        <w:t>39.综合说明</w:t>
      </w:r>
      <w:bookmarkEnd w:id="339"/>
      <w:bookmarkEnd w:id="340"/>
      <w:bookmarkEnd w:id="341"/>
      <w:bookmarkEnd w:id="342"/>
      <w:bookmarkEnd w:id="343"/>
      <w:bookmarkEnd w:id="344"/>
      <w:bookmarkEnd w:id="345"/>
    </w:p>
    <w:p>
      <w:pPr>
        <w:pStyle w:val="24"/>
        <w:spacing w:line="360" w:lineRule="auto"/>
        <w:ind w:firstLine="0"/>
        <w:rPr>
          <w:rFonts w:ascii="宋体" w:hAnsi="宋体" w:cs="宋体"/>
          <w:highlight w:val="none"/>
        </w:rPr>
      </w:pPr>
      <w:r>
        <w:rPr>
          <w:rFonts w:hint="eastAsia" w:ascii="宋体" w:hAnsi="宋体" w:cs="宋体"/>
          <w:highlight w:val="none"/>
        </w:rPr>
        <w:t>39.1投标人对</w:t>
      </w:r>
      <w:r>
        <w:rPr>
          <w:rFonts w:hint="eastAsia" w:ascii="宋体" w:hAnsi="宋体" w:cs="宋体"/>
          <w:highlight w:val="none"/>
          <w:lang w:eastAsia="zh-CN"/>
        </w:rPr>
        <w:t>采购</w:t>
      </w:r>
      <w:r>
        <w:rPr>
          <w:rFonts w:hint="eastAsia" w:ascii="宋体" w:hAnsi="宋体" w:cs="宋体"/>
          <w:highlight w:val="none"/>
        </w:rPr>
        <w:t>活动事项有疑问的，可以向被质疑人提出询问或质疑，被质疑人应当及时予以答复，但答复的内容不得涉及商业秘密。投标人询问和质疑实行实名制。投标人询问和质疑应当有事实根据，不得进行虚假、恶意询问或质疑，干扰</w:t>
      </w:r>
      <w:r>
        <w:rPr>
          <w:rFonts w:hint="eastAsia" w:ascii="宋体" w:hAnsi="宋体" w:cs="宋体"/>
          <w:highlight w:val="none"/>
          <w:lang w:eastAsia="zh-CN"/>
        </w:rPr>
        <w:t>采购</w:t>
      </w:r>
      <w:r>
        <w:rPr>
          <w:rFonts w:hint="eastAsia" w:ascii="宋体" w:hAnsi="宋体" w:cs="宋体"/>
          <w:highlight w:val="none"/>
        </w:rPr>
        <w:t>正常的工作秩序。</w:t>
      </w:r>
    </w:p>
    <w:p>
      <w:pPr>
        <w:pStyle w:val="24"/>
        <w:spacing w:line="360" w:lineRule="auto"/>
        <w:ind w:firstLine="0"/>
        <w:rPr>
          <w:rFonts w:ascii="宋体" w:hAnsi="宋体" w:cs="宋体"/>
          <w:highlight w:val="none"/>
        </w:rPr>
      </w:pPr>
      <w:r>
        <w:rPr>
          <w:rFonts w:hint="eastAsia" w:ascii="宋体" w:hAnsi="宋体" w:cs="宋体"/>
          <w:highlight w:val="none"/>
        </w:rPr>
        <w:t>39.2投标人提起质疑应当符合下列条件：必须是参与被质疑项目的投标人；必须在规定的质疑有效期内提起质疑；</w:t>
      </w:r>
      <w:r>
        <w:rPr>
          <w:rFonts w:hint="eastAsia" w:ascii="宋体" w:hAnsi="宋体" w:cs="宋体"/>
          <w:highlight w:val="none"/>
          <w:lang w:eastAsia="zh-CN"/>
        </w:rPr>
        <w:t>采购</w:t>
      </w:r>
      <w:r>
        <w:rPr>
          <w:rFonts w:hint="eastAsia" w:ascii="宋体" w:hAnsi="宋体" w:cs="宋体"/>
          <w:highlight w:val="none"/>
        </w:rPr>
        <w:t>监督管理部门规定的其他条件。</w:t>
      </w:r>
    </w:p>
    <w:p>
      <w:pPr>
        <w:pStyle w:val="24"/>
        <w:spacing w:line="360" w:lineRule="auto"/>
        <w:ind w:firstLine="0"/>
        <w:rPr>
          <w:rFonts w:ascii="宋体" w:hAnsi="宋体" w:cs="宋体"/>
          <w:highlight w:val="none"/>
        </w:rPr>
      </w:pPr>
      <w:r>
        <w:rPr>
          <w:rFonts w:hint="eastAsia" w:ascii="宋体" w:hAnsi="宋体" w:cs="宋体"/>
          <w:highlight w:val="none"/>
        </w:rPr>
        <w:t>39.3质疑人提出质疑时，应当提交书面质疑书，质疑书应当包括下列主要内容：被质疑人的名称、地址、电话；项目名称、项目编号；具体质疑事项、请求和主张；提起质疑的投标人名称、地址、联系人及联系方式；质疑日期。</w:t>
      </w:r>
    </w:p>
    <w:p>
      <w:pPr>
        <w:pStyle w:val="24"/>
        <w:spacing w:line="360" w:lineRule="auto"/>
        <w:ind w:firstLine="0"/>
        <w:rPr>
          <w:rFonts w:ascii="宋体" w:hAnsi="宋体" w:cs="宋体"/>
          <w:highlight w:val="none"/>
        </w:rPr>
      </w:pPr>
      <w:r>
        <w:rPr>
          <w:rFonts w:hint="eastAsia" w:ascii="宋体" w:hAnsi="宋体" w:cs="宋体"/>
          <w:highlight w:val="none"/>
        </w:rPr>
        <w:t>39</w:t>
      </w:r>
      <w:r>
        <w:rPr>
          <w:rFonts w:hint="eastAsia" w:ascii="宋体" w:hAnsi="宋体" w:cs="宋体"/>
          <w:highlight w:val="none"/>
          <w:lang w:val="zh-CN"/>
        </w:rPr>
        <w:t>.4质疑书递交地点：</w:t>
      </w:r>
    </w:p>
    <w:p>
      <w:pPr>
        <w:pStyle w:val="7"/>
        <w:jc w:val="both"/>
        <w:rPr>
          <w:rFonts w:ascii="宋体" w:hAnsi="宋体" w:cs="宋体"/>
          <w:sz w:val="24"/>
          <w:highlight w:val="none"/>
          <w:lang w:val="zh-CN"/>
        </w:rPr>
      </w:pPr>
      <w:bookmarkStart w:id="346" w:name="_Toc12978"/>
      <w:bookmarkStart w:id="347" w:name="_Toc22541"/>
      <w:bookmarkStart w:id="348" w:name="_Toc18115"/>
      <w:bookmarkStart w:id="349" w:name="_Toc23620"/>
      <w:bookmarkStart w:id="350" w:name="_Toc32409"/>
      <w:bookmarkStart w:id="351" w:name="_Toc18189"/>
      <w:bookmarkStart w:id="352" w:name="_Toc1308"/>
      <w:r>
        <w:rPr>
          <w:rFonts w:hint="eastAsia" w:ascii="宋体" w:hAnsi="宋体" w:cs="宋体"/>
          <w:sz w:val="24"/>
          <w:highlight w:val="none"/>
        </w:rPr>
        <w:t>40</w:t>
      </w:r>
      <w:r>
        <w:rPr>
          <w:rFonts w:hint="eastAsia" w:ascii="宋体" w:hAnsi="宋体" w:cs="宋体"/>
          <w:sz w:val="24"/>
          <w:highlight w:val="none"/>
          <w:lang w:val="zh-CN"/>
        </w:rPr>
        <w:t>.询问</w:t>
      </w:r>
      <w:bookmarkEnd w:id="346"/>
      <w:bookmarkEnd w:id="347"/>
      <w:bookmarkEnd w:id="348"/>
      <w:bookmarkEnd w:id="349"/>
      <w:bookmarkEnd w:id="350"/>
      <w:bookmarkEnd w:id="351"/>
      <w:bookmarkEnd w:id="352"/>
    </w:p>
    <w:p>
      <w:pPr>
        <w:pStyle w:val="24"/>
        <w:spacing w:line="360" w:lineRule="auto"/>
        <w:ind w:firstLine="0"/>
        <w:rPr>
          <w:rFonts w:ascii="宋体" w:hAnsi="宋体" w:cs="宋体"/>
          <w:highlight w:val="none"/>
          <w:lang w:val="zh-CN"/>
        </w:rPr>
      </w:pPr>
      <w:r>
        <w:rPr>
          <w:rFonts w:hint="eastAsia" w:ascii="宋体" w:hAnsi="宋体" w:cs="宋体"/>
          <w:highlight w:val="none"/>
        </w:rPr>
        <w:t>40</w:t>
      </w:r>
      <w:r>
        <w:rPr>
          <w:rFonts w:hint="eastAsia" w:ascii="宋体" w:hAnsi="宋体" w:cs="宋体"/>
          <w:highlight w:val="none"/>
          <w:lang w:val="zh-CN"/>
        </w:rPr>
        <w:t>.</w:t>
      </w:r>
      <w:r>
        <w:rPr>
          <w:rFonts w:hint="eastAsia" w:ascii="宋体" w:hAnsi="宋体" w:cs="宋体"/>
          <w:highlight w:val="none"/>
        </w:rPr>
        <w:t>1</w:t>
      </w:r>
      <w:r>
        <w:rPr>
          <w:rFonts w:hint="eastAsia" w:ascii="宋体" w:hAnsi="宋体" w:cs="宋体"/>
          <w:highlight w:val="none"/>
          <w:lang w:val="zh-CN"/>
        </w:rPr>
        <w:t>采购人或采购人应当在3个工作日内日对投标人提出的询问作出答复。</w:t>
      </w:r>
    </w:p>
    <w:p>
      <w:pPr>
        <w:pStyle w:val="7"/>
        <w:jc w:val="both"/>
        <w:rPr>
          <w:rFonts w:ascii="宋体" w:hAnsi="宋体" w:cs="宋体"/>
          <w:sz w:val="24"/>
          <w:highlight w:val="none"/>
          <w:lang w:val="zh-CN"/>
        </w:rPr>
      </w:pPr>
      <w:bookmarkStart w:id="353" w:name="_Toc4489"/>
      <w:bookmarkStart w:id="354" w:name="_Toc31205"/>
      <w:bookmarkStart w:id="355" w:name="_Toc20085"/>
      <w:bookmarkStart w:id="356" w:name="_Toc6349"/>
      <w:bookmarkStart w:id="357" w:name="_Toc16498"/>
      <w:bookmarkStart w:id="358" w:name="_Toc3555"/>
      <w:bookmarkStart w:id="359" w:name="_Toc3368"/>
      <w:r>
        <w:rPr>
          <w:rFonts w:hint="eastAsia" w:ascii="宋体" w:hAnsi="宋体" w:cs="宋体"/>
          <w:sz w:val="24"/>
          <w:highlight w:val="none"/>
        </w:rPr>
        <w:t>41</w:t>
      </w:r>
      <w:r>
        <w:rPr>
          <w:rFonts w:hint="eastAsia" w:ascii="宋体" w:hAnsi="宋体" w:cs="宋体"/>
          <w:sz w:val="24"/>
          <w:highlight w:val="none"/>
          <w:lang w:val="zh-CN"/>
        </w:rPr>
        <w:t>.质疑与答复</w:t>
      </w:r>
      <w:bookmarkEnd w:id="353"/>
      <w:bookmarkEnd w:id="354"/>
      <w:bookmarkEnd w:id="355"/>
      <w:bookmarkEnd w:id="356"/>
      <w:bookmarkEnd w:id="357"/>
      <w:bookmarkEnd w:id="358"/>
      <w:bookmarkEnd w:id="359"/>
    </w:p>
    <w:p>
      <w:pPr>
        <w:pStyle w:val="24"/>
        <w:spacing w:line="360" w:lineRule="auto"/>
        <w:ind w:firstLine="0"/>
        <w:rPr>
          <w:rFonts w:ascii="宋体" w:hAnsi="宋体" w:cs="宋体"/>
          <w:highlight w:val="none"/>
        </w:rPr>
      </w:pPr>
      <w:r>
        <w:rPr>
          <w:rFonts w:hint="eastAsia" w:ascii="宋体" w:hAnsi="宋体" w:cs="宋体"/>
          <w:highlight w:val="none"/>
        </w:rPr>
        <w:t>41</w:t>
      </w:r>
      <w:r>
        <w:rPr>
          <w:rFonts w:hint="eastAsia" w:ascii="宋体" w:hAnsi="宋体" w:cs="宋体"/>
          <w:highlight w:val="none"/>
          <w:lang w:val="zh-CN"/>
        </w:rPr>
        <w:t>.1</w:t>
      </w:r>
      <w:r>
        <w:rPr>
          <w:rFonts w:hint="eastAsia" w:ascii="宋体" w:hAnsi="宋体" w:cs="宋体"/>
          <w:highlight w:val="none"/>
        </w:rPr>
        <w:t>投标人认为招标文件、招标过程和中标结果使自己权益受到损害的，可以在知道或者应当知道其权益受到损害之日起7个工作日内，由质疑方的法定代表人或授权代理人（必须为法定代表人授权进行该项目投标的被授权人）以书面形式向采购人（或</w:t>
      </w:r>
      <w:r>
        <w:rPr>
          <w:rFonts w:hint="eastAsia" w:ascii="宋体" w:hAnsi="宋体" w:cs="宋体"/>
          <w:highlight w:val="none"/>
          <w:lang w:eastAsia="zh-CN"/>
        </w:rPr>
        <w:t>采购人</w:t>
      </w:r>
      <w:r>
        <w:rPr>
          <w:rFonts w:hint="eastAsia" w:ascii="宋体" w:hAnsi="宋体" w:cs="宋体"/>
          <w:highlight w:val="none"/>
        </w:rPr>
        <w:t>）进行质疑，并登记备案。质疑书须有法定代表人亲笔签字。质疑书除应说明需要质疑的内容外，还应提供能够证明质疑内容的相关书面证据。质疑书应内容真实，证据充分，不得进行恶意质疑。由法定代表人递交质疑书时，提供法定代表人身份证复印件；由授权代理人递交质疑书时，还须提供法定代表人授权委托书原件及授权代理人的身份证复印件，身份证复印件须正反面清晰、有效，并要求由该身份证持有人在复印件正反面非空白位置注明“该复印件用于在项目（招标编号：）质疑使用”字样，并由身份证持有人签字确认。上述资料均须加盖公章。</w:t>
      </w:r>
    </w:p>
    <w:p>
      <w:pPr>
        <w:pStyle w:val="24"/>
        <w:spacing w:line="360" w:lineRule="auto"/>
        <w:ind w:firstLine="0"/>
        <w:rPr>
          <w:rFonts w:ascii="宋体" w:hAnsi="宋体" w:cs="宋体"/>
          <w:highlight w:val="none"/>
          <w:lang w:val="zh-CN"/>
        </w:rPr>
      </w:pPr>
      <w:r>
        <w:rPr>
          <w:rFonts w:hint="eastAsia" w:ascii="宋体" w:hAnsi="宋体" w:cs="宋体"/>
          <w:highlight w:val="none"/>
        </w:rPr>
        <w:t>41</w:t>
      </w:r>
      <w:r>
        <w:rPr>
          <w:rFonts w:hint="eastAsia" w:ascii="宋体" w:hAnsi="宋体" w:cs="宋体"/>
          <w:highlight w:val="none"/>
          <w:lang w:val="zh-CN"/>
        </w:rPr>
        <w:t>.</w:t>
      </w:r>
      <w:r>
        <w:rPr>
          <w:rFonts w:hint="eastAsia" w:ascii="宋体" w:hAnsi="宋体" w:cs="宋体"/>
          <w:highlight w:val="none"/>
        </w:rPr>
        <w:t>2</w:t>
      </w:r>
      <w:r>
        <w:rPr>
          <w:rFonts w:hint="eastAsia" w:ascii="宋体" w:hAnsi="宋体" w:cs="宋体"/>
          <w:highlight w:val="none"/>
          <w:lang w:val="zh-CN"/>
        </w:rPr>
        <w:t>采购人或采购人收到投标人的书面质疑后7个工作日内根据质疑书的具体内容相应作出答复，并以书面形式通知质疑投标人和其他有关投标人，但答复内容不得涉及商业秘密。递交质疑书的投标人和其他有关投标人在收到质疑答复书后，应立即向采购人（或采购人）回函确认。未确认情况应当视为对质疑答复的知晓，也将视为对质疑答复内容接受的默认。</w:t>
      </w:r>
    </w:p>
    <w:p>
      <w:pPr>
        <w:pStyle w:val="7"/>
        <w:jc w:val="both"/>
        <w:rPr>
          <w:rFonts w:ascii="宋体" w:hAnsi="宋体" w:cs="宋体"/>
          <w:sz w:val="24"/>
          <w:highlight w:val="none"/>
        </w:rPr>
      </w:pPr>
      <w:bookmarkStart w:id="360" w:name="_Toc6168"/>
      <w:bookmarkStart w:id="361" w:name="_Toc30103"/>
      <w:bookmarkStart w:id="362" w:name="_Toc22359"/>
      <w:bookmarkStart w:id="363" w:name="_Toc15623"/>
      <w:bookmarkStart w:id="364" w:name="_Toc1155"/>
      <w:bookmarkStart w:id="365" w:name="_Toc9205"/>
      <w:bookmarkStart w:id="366" w:name="_Toc32041"/>
      <w:r>
        <w:rPr>
          <w:rFonts w:hint="eastAsia" w:ascii="宋体" w:hAnsi="宋体" w:cs="宋体"/>
          <w:sz w:val="24"/>
          <w:highlight w:val="none"/>
        </w:rPr>
        <w:t>42.补充</w:t>
      </w:r>
      <w:bookmarkEnd w:id="360"/>
      <w:bookmarkEnd w:id="361"/>
      <w:bookmarkEnd w:id="362"/>
      <w:bookmarkEnd w:id="363"/>
      <w:bookmarkEnd w:id="364"/>
      <w:bookmarkEnd w:id="365"/>
      <w:bookmarkEnd w:id="366"/>
    </w:p>
    <w:p>
      <w:pPr>
        <w:pStyle w:val="24"/>
        <w:spacing w:line="360" w:lineRule="auto"/>
        <w:ind w:firstLine="0"/>
        <w:rPr>
          <w:rFonts w:ascii="宋体" w:hAnsi="宋体" w:cs="宋体"/>
          <w:highlight w:val="none"/>
        </w:rPr>
      </w:pPr>
      <w:r>
        <w:rPr>
          <w:rFonts w:hint="eastAsia" w:ascii="宋体" w:hAnsi="宋体" w:cs="宋体"/>
          <w:highlight w:val="none"/>
        </w:rPr>
        <w:t>42.1第41.1条规定的投标人应知其权益受到损害之日，是指：</w:t>
      </w:r>
    </w:p>
    <w:p>
      <w:pPr>
        <w:pStyle w:val="24"/>
        <w:spacing w:line="360" w:lineRule="auto"/>
        <w:ind w:firstLine="0"/>
        <w:rPr>
          <w:rFonts w:ascii="宋体" w:hAnsi="宋体" w:cs="宋体"/>
          <w:highlight w:val="none"/>
        </w:rPr>
      </w:pPr>
      <w:r>
        <w:rPr>
          <w:rFonts w:hint="eastAsia" w:ascii="宋体" w:hAnsi="宋体" w:cs="宋体"/>
          <w:highlight w:val="none"/>
        </w:rPr>
        <w:t>（一）对可以质疑的招标文件提出质疑的，为收到招标文件之日；</w:t>
      </w:r>
    </w:p>
    <w:p>
      <w:pPr>
        <w:pStyle w:val="24"/>
        <w:spacing w:line="360" w:lineRule="auto"/>
        <w:ind w:firstLine="0"/>
        <w:rPr>
          <w:rFonts w:ascii="宋体" w:hAnsi="宋体" w:cs="宋体"/>
          <w:highlight w:val="none"/>
        </w:rPr>
      </w:pPr>
      <w:r>
        <w:rPr>
          <w:rFonts w:hint="eastAsia" w:ascii="宋体" w:hAnsi="宋体" w:cs="宋体"/>
          <w:highlight w:val="none"/>
        </w:rPr>
        <w:t>（二）对招标过程提出质疑的，为各招标程序环节结束之日；</w:t>
      </w:r>
    </w:p>
    <w:p>
      <w:pPr>
        <w:pStyle w:val="24"/>
        <w:spacing w:line="360" w:lineRule="auto"/>
        <w:ind w:firstLine="0"/>
        <w:rPr>
          <w:rFonts w:ascii="宋体" w:hAnsi="宋体" w:cs="宋体"/>
          <w:highlight w:val="none"/>
        </w:rPr>
      </w:pPr>
      <w:r>
        <w:rPr>
          <w:rFonts w:hint="eastAsia" w:ascii="宋体" w:hAnsi="宋体" w:cs="宋体"/>
          <w:highlight w:val="none"/>
        </w:rPr>
        <w:t>（三）对中标或者成交结果提出质疑的，为中标或者成交结果公告期限届满之日。</w:t>
      </w:r>
    </w:p>
    <w:p>
      <w:pPr>
        <w:pStyle w:val="7"/>
        <w:jc w:val="both"/>
        <w:rPr>
          <w:rFonts w:ascii="宋体" w:hAnsi="宋体" w:cs="宋体"/>
          <w:sz w:val="24"/>
          <w:highlight w:val="none"/>
          <w:lang w:val="zh-CN"/>
        </w:rPr>
      </w:pPr>
      <w:bookmarkStart w:id="367" w:name="_Toc28450"/>
      <w:bookmarkStart w:id="368" w:name="_Toc19440"/>
      <w:bookmarkStart w:id="369" w:name="_Toc7434"/>
      <w:bookmarkStart w:id="370" w:name="_Toc8333"/>
      <w:bookmarkStart w:id="371" w:name="_Toc29507"/>
      <w:bookmarkStart w:id="372" w:name="_Toc26287"/>
      <w:bookmarkStart w:id="373" w:name="_Toc16202"/>
      <w:r>
        <w:rPr>
          <w:rFonts w:hint="eastAsia" w:ascii="宋体" w:hAnsi="宋体" w:cs="宋体"/>
          <w:sz w:val="24"/>
          <w:highlight w:val="none"/>
        </w:rPr>
        <w:t>43</w:t>
      </w:r>
      <w:r>
        <w:rPr>
          <w:rFonts w:hint="eastAsia" w:ascii="宋体" w:hAnsi="宋体" w:cs="宋体"/>
          <w:sz w:val="24"/>
          <w:highlight w:val="none"/>
          <w:lang w:val="zh-CN"/>
        </w:rPr>
        <w:t>.质疑不予受理的情况</w:t>
      </w:r>
      <w:bookmarkEnd w:id="367"/>
      <w:bookmarkEnd w:id="368"/>
      <w:bookmarkEnd w:id="369"/>
      <w:bookmarkEnd w:id="370"/>
      <w:bookmarkEnd w:id="371"/>
      <w:bookmarkEnd w:id="372"/>
      <w:bookmarkEnd w:id="373"/>
    </w:p>
    <w:p>
      <w:pPr>
        <w:pStyle w:val="24"/>
        <w:spacing w:line="360" w:lineRule="auto"/>
        <w:ind w:firstLine="0"/>
        <w:rPr>
          <w:rFonts w:ascii="宋体" w:hAnsi="宋体" w:cs="宋体"/>
          <w:highlight w:val="none"/>
          <w:lang w:val="zh-CN"/>
        </w:rPr>
      </w:pPr>
      <w:r>
        <w:rPr>
          <w:rFonts w:hint="eastAsia" w:ascii="宋体" w:hAnsi="宋体" w:cs="宋体"/>
          <w:highlight w:val="none"/>
        </w:rPr>
        <w:t>43</w:t>
      </w:r>
      <w:r>
        <w:rPr>
          <w:rFonts w:hint="eastAsia" w:ascii="宋体" w:hAnsi="宋体" w:cs="宋体"/>
          <w:highlight w:val="none"/>
          <w:lang w:val="zh-CN"/>
        </w:rPr>
        <w:t>.1有下列情形之一的，属于无效质疑，被质疑人不予受理，由此产生的影响由质疑人自行承担：</w:t>
      </w:r>
    </w:p>
    <w:p>
      <w:pPr>
        <w:pStyle w:val="24"/>
        <w:spacing w:line="360" w:lineRule="auto"/>
        <w:ind w:firstLine="480" w:firstLineChars="200"/>
        <w:rPr>
          <w:rFonts w:ascii="宋体" w:hAnsi="宋体" w:cs="宋体"/>
          <w:highlight w:val="none"/>
          <w:lang w:val="zh-CN"/>
        </w:rPr>
      </w:pPr>
      <w:r>
        <w:rPr>
          <w:rFonts w:hint="eastAsia" w:ascii="宋体" w:hAnsi="宋体" w:cs="宋体"/>
          <w:highlight w:val="none"/>
          <w:lang w:val="zh-CN"/>
        </w:rPr>
        <w:t>(一)不是参与该采购项目活动投标人的；</w:t>
      </w:r>
    </w:p>
    <w:p>
      <w:pPr>
        <w:pStyle w:val="24"/>
        <w:spacing w:line="360" w:lineRule="auto"/>
        <w:ind w:firstLine="480" w:firstLineChars="200"/>
        <w:rPr>
          <w:rFonts w:ascii="宋体" w:hAnsi="宋体" w:cs="宋体"/>
          <w:highlight w:val="none"/>
          <w:lang w:val="zh-CN"/>
        </w:rPr>
      </w:pPr>
      <w:r>
        <w:rPr>
          <w:rFonts w:hint="eastAsia" w:ascii="宋体" w:hAnsi="宋体" w:cs="宋体"/>
          <w:highlight w:val="none"/>
          <w:lang w:val="zh-CN"/>
        </w:rPr>
        <w:t>(二)以具有法律效力的文书送达之外方式提出的；</w:t>
      </w:r>
    </w:p>
    <w:p>
      <w:pPr>
        <w:pStyle w:val="24"/>
        <w:spacing w:line="360" w:lineRule="auto"/>
        <w:ind w:firstLine="480" w:firstLineChars="200"/>
        <w:rPr>
          <w:rFonts w:ascii="宋体" w:hAnsi="宋体" w:cs="宋体"/>
          <w:highlight w:val="none"/>
          <w:lang w:val="zh-CN"/>
        </w:rPr>
      </w:pPr>
      <w:r>
        <w:rPr>
          <w:rFonts w:hint="eastAsia" w:ascii="宋体" w:hAnsi="宋体" w:cs="宋体"/>
          <w:highlight w:val="none"/>
          <w:lang w:val="zh-CN"/>
        </w:rPr>
        <w:t>(三)质疑未以书面形式提出，或质疑书内容不符合本须知要求的；</w:t>
      </w:r>
    </w:p>
    <w:p>
      <w:pPr>
        <w:pStyle w:val="24"/>
        <w:spacing w:line="360" w:lineRule="auto"/>
        <w:ind w:firstLine="480" w:firstLineChars="200"/>
        <w:rPr>
          <w:rFonts w:ascii="宋体" w:hAnsi="宋体" w:cs="宋体"/>
          <w:highlight w:val="none"/>
          <w:lang w:val="zh-CN"/>
        </w:rPr>
      </w:pPr>
      <w:r>
        <w:rPr>
          <w:rFonts w:hint="eastAsia" w:ascii="宋体" w:hAnsi="宋体" w:cs="宋体"/>
          <w:highlight w:val="none"/>
          <w:lang w:val="zh-CN"/>
        </w:rPr>
        <w:t>(四)其它不符合受理条件的情形。</w:t>
      </w:r>
      <w:bookmarkEnd w:id="49"/>
      <w:bookmarkEnd w:id="50"/>
      <w:bookmarkEnd w:id="51"/>
      <w:bookmarkStart w:id="374" w:name="_Toc327439465"/>
    </w:p>
    <w:p>
      <w:pPr>
        <w:spacing w:line="360" w:lineRule="auto"/>
        <w:rPr>
          <w:rFonts w:ascii="宋体" w:hAnsi="宋体" w:cs="宋体"/>
          <w:b/>
          <w:bCs/>
          <w:kern w:val="0"/>
          <w:sz w:val="24"/>
          <w:highlight w:val="none"/>
          <w:lang w:val="zh-CN"/>
        </w:rPr>
        <w:sectPr>
          <w:footerReference r:id="rId9" w:type="first"/>
          <w:headerReference r:id="rId7" w:type="default"/>
          <w:footerReference r:id="rId8" w:type="default"/>
          <w:pgSz w:w="11906" w:h="16838"/>
          <w:pgMar w:top="1077" w:right="1134" w:bottom="1077" w:left="1417" w:header="851" w:footer="992" w:gutter="0"/>
          <w:pgNumType w:fmt="decimal"/>
          <w:cols w:space="720" w:num="1"/>
          <w:titlePg/>
          <w:docGrid w:type="lines" w:linePitch="322" w:charSpace="0"/>
        </w:sectPr>
      </w:pPr>
      <w:r>
        <w:rPr>
          <w:rFonts w:hint="eastAsia" w:ascii="宋体" w:hAnsi="宋体" w:cs="宋体"/>
          <w:b/>
          <w:bCs/>
          <w:kern w:val="0"/>
          <w:sz w:val="24"/>
          <w:highlight w:val="none"/>
        </w:rPr>
        <w:t>44.</w:t>
      </w:r>
      <w:r>
        <w:rPr>
          <w:rFonts w:hint="eastAsia" w:ascii="宋体" w:hAnsi="宋体" w:cs="宋体"/>
          <w:b/>
          <w:bCs/>
          <w:kern w:val="0"/>
          <w:sz w:val="24"/>
          <w:highlight w:val="none"/>
          <w:lang w:val="zh-CN"/>
        </w:rPr>
        <w:t>投标人对招标文件、招标过程或者中标结果的质疑必须在有效的质疑期内一次性提出针对同一采购程序环节的质疑，不接受二次质疑。</w:t>
      </w:r>
    </w:p>
    <w:p>
      <w:pPr>
        <w:pStyle w:val="6"/>
        <w:rPr>
          <w:rFonts w:hint="eastAsia"/>
          <w:highlight w:val="none"/>
          <w:lang w:val="en-US" w:eastAsia="zh-CN"/>
        </w:rPr>
      </w:pPr>
      <w:bookmarkStart w:id="375" w:name="_Toc21275"/>
      <w:bookmarkStart w:id="376" w:name="_Toc23659"/>
      <w:bookmarkStart w:id="377" w:name="_Toc23806"/>
      <w:r>
        <w:rPr>
          <w:rFonts w:hint="eastAsia" w:ascii="宋体" w:hAnsi="宋体" w:cs="宋体"/>
          <w:sz w:val="32"/>
          <w:szCs w:val="32"/>
          <w:highlight w:val="none"/>
        </w:rPr>
        <w:t>第三章  采购需求及技术要求</w:t>
      </w:r>
      <w:bookmarkEnd w:id="375"/>
      <w:bookmarkEnd w:id="376"/>
      <w:bookmarkEnd w:id="377"/>
      <w:bookmarkStart w:id="378" w:name="_Toc28555"/>
      <w:bookmarkStart w:id="379" w:name="_Toc5821"/>
      <w:bookmarkStart w:id="380" w:name="_Toc22650"/>
    </w:p>
    <w:p>
      <w:pPr>
        <w:jc w:val="center"/>
        <w:rPr>
          <w:rFonts w:hint="eastAsia"/>
          <w:b/>
          <w:bCs/>
          <w:sz w:val="28"/>
          <w:szCs w:val="28"/>
          <w:highlight w:val="none"/>
          <w:lang w:val="en-US" w:eastAsia="zh-CN"/>
        </w:rPr>
      </w:pPr>
    </w:p>
    <w:p>
      <w:pPr>
        <w:numPr>
          <w:ilvl w:val="0"/>
          <w:numId w:val="7"/>
        </w:numPr>
        <w:ind w:left="0" w:firstLine="0"/>
        <w:rPr>
          <w:rFonts w:hint="eastAsia" w:ascii="黑体" w:eastAsia="黑体" w:cs="黑体"/>
          <w:color w:val="auto"/>
          <w:sz w:val="32"/>
          <w:szCs w:val="40"/>
          <w:lang w:val="en-US" w:eastAsia="zh-CN" w:bidi="ar-SA"/>
        </w:rPr>
      </w:pPr>
      <w:r>
        <w:rPr>
          <w:rFonts w:hint="eastAsia" w:ascii="黑体" w:eastAsia="黑体" w:cs="黑体"/>
          <w:color w:val="auto"/>
          <w:sz w:val="32"/>
          <w:szCs w:val="40"/>
          <w:lang w:val="en-US" w:eastAsia="zh-CN" w:bidi="ar-SA"/>
        </w:rPr>
        <w:t>技术要求</w:t>
      </w:r>
    </w:p>
    <w:p>
      <w:pPr>
        <w:rPr>
          <w:rFonts w:hint="eastAsia" w:ascii="仿宋" w:eastAsia="仿宋" w:cs="仿宋"/>
          <w:color w:val="auto"/>
          <w:sz w:val="32"/>
          <w:szCs w:val="40"/>
          <w:lang w:val="en-US" w:eastAsia="zh-CN" w:bidi="ar-SA"/>
        </w:rPr>
      </w:pPr>
      <w:r>
        <w:rPr>
          <w:rFonts w:hint="eastAsia" w:ascii="仿宋" w:eastAsia="仿宋" w:cs="仿宋"/>
          <w:color w:val="auto"/>
          <w:sz w:val="32"/>
          <w:szCs w:val="40"/>
          <w:lang w:val="en-US" w:eastAsia="zh-CN" w:bidi="ar-SA"/>
        </w:rPr>
        <w:t>1.1整体要求</w:t>
      </w:r>
    </w:p>
    <w:p>
      <w:pPr>
        <w:rPr>
          <w:rFonts w:hint="eastAsia" w:ascii="仿宋" w:eastAsia="仿宋" w:cs="仿宋"/>
          <w:color w:val="auto"/>
          <w:sz w:val="28"/>
          <w:szCs w:val="28"/>
          <w:lang w:val="en-US" w:eastAsia="zh-CN" w:bidi="ar-SA"/>
        </w:rPr>
      </w:pPr>
      <w:r>
        <w:rPr>
          <w:rFonts w:hint="eastAsia" w:ascii="仿宋" w:eastAsia="仿宋" w:cs="仿宋"/>
          <w:color w:val="auto"/>
          <w:sz w:val="28"/>
          <w:szCs w:val="28"/>
          <w:lang w:val="en-US" w:eastAsia="zh-CN" w:bidi="ar-SA"/>
        </w:rPr>
        <w:t>快速检测幽门螺旋杆菌，灵敏度高。</w:t>
      </w:r>
    </w:p>
    <w:p>
      <w:pPr>
        <w:rPr>
          <w:rFonts w:hint="eastAsia" w:ascii="仿宋" w:eastAsia="仿宋" w:cs="仿宋"/>
          <w:color w:val="auto"/>
          <w:sz w:val="32"/>
          <w:szCs w:val="40"/>
          <w:lang w:val="en-US" w:eastAsia="zh-CN" w:bidi="ar-SA"/>
        </w:rPr>
      </w:pPr>
      <w:r>
        <w:rPr>
          <w:rFonts w:hint="eastAsia" w:ascii="仿宋" w:eastAsia="仿宋" w:cs="仿宋"/>
          <w:color w:val="auto"/>
          <w:sz w:val="32"/>
          <w:szCs w:val="40"/>
          <w:lang w:val="en-US" w:eastAsia="zh-CN" w:bidi="ar-SA"/>
        </w:rPr>
        <w:t>1.2配置要求</w:t>
      </w:r>
    </w:p>
    <w:p>
      <w:pPr>
        <w:rPr>
          <w:rFonts w:hint="eastAsia" w:ascii="仿宋" w:eastAsia="仿宋" w:cs="仿宋"/>
          <w:color w:val="auto"/>
          <w:sz w:val="28"/>
          <w:szCs w:val="28"/>
          <w:lang w:val="en-US" w:eastAsia="zh-CN" w:bidi="ar-SA"/>
        </w:rPr>
      </w:pPr>
      <w:r>
        <w:rPr>
          <w:rFonts w:hint="eastAsia" w:ascii="仿宋" w:eastAsia="仿宋" w:cs="仿宋"/>
          <w:color w:val="auto"/>
          <w:sz w:val="28"/>
          <w:szCs w:val="28"/>
          <w:lang w:val="en-US" w:eastAsia="zh-CN" w:bidi="ar-SA"/>
        </w:rPr>
        <w:t>主机一台，电源线，熔断器;打印机一台。</w:t>
      </w:r>
    </w:p>
    <w:p>
      <w:pPr>
        <w:rPr>
          <w:rFonts w:hint="eastAsia" w:ascii="仿宋" w:eastAsia="仿宋" w:cs="仿宋"/>
          <w:color w:val="auto"/>
          <w:sz w:val="32"/>
          <w:szCs w:val="40"/>
          <w:lang w:val="en-US" w:eastAsia="zh-CN" w:bidi="ar-SA"/>
        </w:rPr>
      </w:pPr>
      <w:r>
        <w:rPr>
          <w:rFonts w:hint="eastAsia" w:ascii="仿宋" w:eastAsia="仿宋" w:cs="仿宋"/>
          <w:color w:val="auto"/>
          <w:sz w:val="32"/>
          <w:szCs w:val="40"/>
          <w:lang w:val="en-US" w:eastAsia="zh-CN" w:bidi="ar-SA"/>
        </w:rPr>
        <w:t>1.3具体功能及参数要求</w:t>
      </w:r>
    </w:p>
    <w:p>
      <w:pPr>
        <w:jc w:val="left"/>
        <w:rPr>
          <w:rFonts w:hint="eastAsia" w:ascii="仿宋" w:eastAsia="仿宋" w:cs="仿宋"/>
          <w:color w:val="auto"/>
          <w:sz w:val="28"/>
          <w:szCs w:val="28"/>
          <w:lang w:val="en-US" w:eastAsia="zh-CN" w:bidi="ar-SA"/>
        </w:rPr>
      </w:pPr>
      <w:r>
        <w:rPr>
          <w:rFonts w:hint="eastAsia" w:ascii="仿宋" w:eastAsia="仿宋" w:cs="仿宋"/>
          <w:color w:val="auto"/>
          <w:sz w:val="28"/>
          <w:szCs w:val="28"/>
          <w:lang w:val="en-US" w:eastAsia="zh-CN" w:bidi="ar-SA"/>
        </w:rPr>
        <w:t>1.3.1 供电电源电压：100-240V-50/60Hz，最大消耗功率：</w:t>
      </w:r>
      <w:r>
        <w:rPr>
          <w:rFonts w:hint="eastAsia" w:ascii="仿宋" w:eastAsia="仿宋" w:cs="仿宋"/>
          <w:color w:val="auto"/>
          <w:kern w:val="0"/>
          <w:sz w:val="28"/>
          <w:szCs w:val="28"/>
          <w:lang w:bidi="ar-SA"/>
        </w:rPr>
        <w:t>80-100VA</w:t>
      </w:r>
      <w:r>
        <w:rPr>
          <w:rFonts w:hint="eastAsia" w:ascii="仿宋" w:eastAsia="仿宋" w:cs="仿宋"/>
          <w:color w:val="auto"/>
          <w:kern w:val="0"/>
          <w:sz w:val="22"/>
          <w:szCs w:val="22"/>
          <w:lang w:bidi="ar-SA"/>
        </w:rPr>
        <w:t>。</w:t>
      </w:r>
    </w:p>
    <w:p>
      <w:pPr>
        <w:rPr>
          <w:rFonts w:hint="eastAsia" w:ascii="仿宋" w:eastAsia="仿宋" w:cs="仿宋"/>
          <w:color w:val="auto"/>
          <w:sz w:val="28"/>
          <w:szCs w:val="28"/>
          <w:lang w:val="en-US" w:eastAsia="zh-CN" w:bidi="ar-SA"/>
        </w:rPr>
      </w:pPr>
      <w:r>
        <w:rPr>
          <w:rFonts w:hint="eastAsia" w:ascii="仿宋" w:eastAsia="仿宋" w:cs="仿宋"/>
          <w:color w:val="auto"/>
          <w:sz w:val="28"/>
          <w:szCs w:val="28"/>
          <w:lang w:val="en-US" w:eastAsia="zh-CN" w:bidi="ar-SA"/>
        </w:rPr>
        <w:t>1.3.2 运行温度范围：15-30℃。</w:t>
      </w:r>
    </w:p>
    <w:p>
      <w:pPr>
        <w:rPr>
          <w:rFonts w:hint="eastAsia" w:ascii="仿宋" w:eastAsia="仿宋" w:cs="仿宋"/>
          <w:color w:val="auto"/>
          <w:sz w:val="28"/>
          <w:szCs w:val="28"/>
          <w:lang w:val="en-US" w:eastAsia="zh-CN" w:bidi="ar-SA"/>
        </w:rPr>
      </w:pPr>
      <w:r>
        <w:rPr>
          <w:rFonts w:hint="eastAsia" w:ascii="仿宋" w:eastAsia="仿宋" w:cs="仿宋"/>
          <w:color w:val="auto"/>
          <w:sz w:val="28"/>
          <w:szCs w:val="28"/>
          <w:lang w:val="en-US" w:eastAsia="zh-CN" w:bidi="ar-SA"/>
        </w:rPr>
        <w:t>1.3.3 开机仪器自行执行自检；自动故障诊断；具有一键故障恢复功能，方便故障解决。</w:t>
      </w:r>
    </w:p>
    <w:p>
      <w:pPr>
        <w:rPr>
          <w:rFonts w:hint="eastAsia" w:ascii="仿宋" w:eastAsia="仿宋" w:cs="仿宋"/>
          <w:color w:val="auto"/>
          <w:sz w:val="28"/>
          <w:szCs w:val="28"/>
          <w:lang w:val="en-US" w:eastAsia="zh-CN" w:bidi="ar-SA"/>
        </w:rPr>
      </w:pPr>
      <w:r>
        <w:rPr>
          <w:rFonts w:hint="eastAsia" w:ascii="仿宋" w:eastAsia="仿宋" w:cs="仿宋"/>
          <w:color w:val="auto"/>
          <w:sz w:val="28"/>
          <w:szCs w:val="28"/>
          <w:lang w:val="en-US" w:eastAsia="zh-CN" w:bidi="ar-SA"/>
        </w:rPr>
        <w:t>1.3.4 操作控制方式：软件控制，通过用户电脑上的软件或仪器操作界面进行操控。</w:t>
      </w:r>
    </w:p>
    <w:p>
      <w:pPr>
        <w:rPr>
          <w:rFonts w:hint="eastAsia" w:ascii="仿宋" w:eastAsia="仿宋" w:cs="仿宋"/>
          <w:color w:val="auto"/>
          <w:sz w:val="28"/>
          <w:szCs w:val="28"/>
          <w:lang w:val="en-US" w:eastAsia="zh-CN" w:bidi="ar-SA"/>
        </w:rPr>
      </w:pPr>
      <w:r>
        <w:rPr>
          <w:rFonts w:hint="eastAsia" w:ascii="仿宋" w:eastAsia="仿宋" w:cs="仿宋"/>
          <w:color w:val="auto"/>
          <w:sz w:val="28"/>
          <w:szCs w:val="28"/>
          <w:lang w:val="en-US" w:eastAsia="zh-CN" w:bidi="ar-SA"/>
        </w:rPr>
        <w:t>1.3.5 报告打印：自动进行测量数据打印，自带热敏式微型打印机或外接打印设备。</w:t>
      </w:r>
    </w:p>
    <w:p>
      <w:pPr>
        <w:rPr>
          <w:rFonts w:hint="eastAsia" w:ascii="仿宋" w:eastAsia="仿宋" w:cs="仿宋"/>
          <w:color w:val="auto"/>
          <w:sz w:val="28"/>
          <w:szCs w:val="28"/>
          <w:lang w:val="en-US" w:eastAsia="zh-CN" w:bidi="ar-SA"/>
        </w:rPr>
      </w:pPr>
      <w:r>
        <w:rPr>
          <w:rFonts w:hint="eastAsia" w:ascii="仿宋" w:eastAsia="仿宋" w:cs="仿宋"/>
          <w:color w:val="auto"/>
          <w:sz w:val="28"/>
          <w:szCs w:val="28"/>
          <w:lang w:val="en-US" w:eastAsia="zh-CN" w:bidi="ar-SA"/>
        </w:rPr>
        <w:t>1.3.6 重复性：重复性用变异系数表示，应&lt;5%。</w:t>
      </w:r>
    </w:p>
    <w:p>
      <w:pPr>
        <w:rPr>
          <w:rFonts w:hint="eastAsia" w:ascii="仿宋" w:eastAsia="仿宋" w:cs="仿宋"/>
          <w:color w:val="auto"/>
          <w:sz w:val="28"/>
          <w:szCs w:val="28"/>
          <w:lang w:val="en-US" w:eastAsia="zh-CN" w:bidi="ar-SA"/>
        </w:rPr>
      </w:pPr>
      <w:r>
        <w:rPr>
          <w:rFonts w:hint="eastAsia" w:ascii="仿宋" w:eastAsia="仿宋" w:cs="仿宋"/>
          <w:color w:val="auto"/>
          <w:sz w:val="28"/>
          <w:szCs w:val="28"/>
          <w:lang w:val="en-US" w:eastAsia="zh-CN" w:bidi="ar-SA"/>
        </w:rPr>
        <w:t>*1.3.7 探测效率稳定性：仪器连续工作24h后，14C探测效率的相对变化误差应 ≤10%。</w:t>
      </w:r>
    </w:p>
    <w:p>
      <w:pPr>
        <w:rPr>
          <w:rFonts w:hint="eastAsia" w:ascii="仿宋" w:eastAsia="仿宋" w:cs="仿宋"/>
          <w:color w:val="auto"/>
          <w:sz w:val="28"/>
          <w:szCs w:val="28"/>
          <w:lang w:val="en-US" w:eastAsia="zh-CN" w:bidi="ar-SA"/>
        </w:rPr>
      </w:pPr>
      <w:r>
        <w:rPr>
          <w:rFonts w:hint="eastAsia" w:ascii="仿宋" w:eastAsia="仿宋" w:cs="仿宋"/>
          <w:color w:val="auto"/>
          <w:sz w:val="28"/>
          <w:szCs w:val="28"/>
          <w:lang w:val="en-US" w:eastAsia="zh-CN" w:bidi="ar-SA"/>
        </w:rPr>
        <w:t>1.3.8 本底计数率≤40CPM，自动扣除本底计数。</w:t>
      </w:r>
    </w:p>
    <w:p>
      <w:pPr>
        <w:rPr>
          <w:rFonts w:hint="eastAsia" w:ascii="仿宋" w:eastAsia="仿宋" w:cs="仿宋"/>
          <w:color w:val="auto"/>
          <w:sz w:val="28"/>
          <w:szCs w:val="28"/>
          <w:lang w:val="en-US" w:eastAsia="zh-CN" w:bidi="ar-SA"/>
        </w:rPr>
      </w:pPr>
      <w:r>
        <w:rPr>
          <w:rFonts w:hint="eastAsia" w:ascii="仿宋" w:eastAsia="仿宋" w:cs="仿宋"/>
          <w:color w:val="auto"/>
          <w:sz w:val="28"/>
          <w:szCs w:val="28"/>
          <w:lang w:val="en-US" w:eastAsia="zh-CN" w:bidi="ar-SA"/>
        </w:rPr>
        <w:t>1.3.9 探测效率：对14C标准源探测效率≥30%。</w:t>
      </w:r>
    </w:p>
    <w:p>
      <w:pPr>
        <w:rPr>
          <w:rFonts w:hint="eastAsia" w:ascii="仿宋" w:eastAsia="仿宋" w:cs="仿宋"/>
          <w:color w:val="auto"/>
          <w:sz w:val="28"/>
          <w:szCs w:val="28"/>
          <w:lang w:val="en-US" w:eastAsia="zh-CN" w:bidi="ar-SA"/>
        </w:rPr>
      </w:pPr>
      <w:r>
        <w:rPr>
          <w:rFonts w:hint="eastAsia" w:ascii="仿宋" w:eastAsia="仿宋" w:cs="仿宋"/>
          <w:color w:val="auto"/>
          <w:sz w:val="28"/>
          <w:szCs w:val="28"/>
          <w:lang w:val="en-US" w:eastAsia="zh-CN" w:bidi="ar-SA"/>
        </w:rPr>
        <w:t>*1.3.10 样品测量时间： 仪器最小测量时间应为60s；仪器最大测量时间应为600s；仪器默认测量时间应为120s。以上时间的允差值应为±1%。</w:t>
      </w:r>
    </w:p>
    <w:p>
      <w:pPr>
        <w:rPr>
          <w:rFonts w:hint="eastAsia" w:ascii="仿宋" w:eastAsia="仿宋" w:cs="仿宋"/>
          <w:color w:val="auto"/>
          <w:sz w:val="28"/>
          <w:szCs w:val="28"/>
          <w:lang w:val="en-US" w:eastAsia="zh-CN" w:bidi="ar-SA"/>
        </w:rPr>
      </w:pPr>
      <w:r>
        <w:rPr>
          <w:rFonts w:hint="eastAsia" w:ascii="仿宋" w:eastAsia="仿宋" w:cs="仿宋"/>
          <w:color w:val="auto"/>
          <w:sz w:val="28"/>
          <w:szCs w:val="28"/>
          <w:lang w:val="en-US" w:eastAsia="zh-CN" w:bidi="ar-SA"/>
        </w:rPr>
        <w:t>1.3.11预热时间：</w:t>
      </w:r>
      <w:r>
        <w:rPr>
          <w:rFonts w:hint="eastAsia" w:ascii="仿宋" w:eastAsia="仿宋" w:cs="仿宋"/>
          <w:color w:val="auto"/>
          <w:kern w:val="0"/>
          <w:sz w:val="28"/>
          <w:szCs w:val="28"/>
          <w:lang w:bidi="ar-SA"/>
        </w:rPr>
        <w:t>≤10分钟</w:t>
      </w:r>
      <w:r>
        <w:rPr>
          <w:rFonts w:hint="eastAsia" w:ascii="仿宋" w:eastAsia="仿宋" w:cs="仿宋"/>
          <w:color w:val="auto"/>
          <w:sz w:val="28"/>
          <w:szCs w:val="28"/>
          <w:lang w:val="en-US" w:eastAsia="zh-CN" w:bidi="ar-SA"/>
        </w:rPr>
        <w:t>，预热时间同时完成仪器的自检。</w:t>
      </w:r>
    </w:p>
    <w:p>
      <w:pPr>
        <w:rPr>
          <w:rFonts w:hint="eastAsia" w:ascii="仿宋" w:eastAsia="仿宋" w:cs="仿宋"/>
          <w:color w:val="auto"/>
          <w:sz w:val="28"/>
          <w:szCs w:val="28"/>
          <w:lang w:val="en-US" w:eastAsia="zh-CN" w:bidi="ar-SA"/>
        </w:rPr>
      </w:pPr>
      <w:r>
        <w:rPr>
          <w:rFonts w:hint="eastAsia" w:ascii="仿宋" w:eastAsia="仿宋" w:cs="仿宋"/>
          <w:color w:val="auto"/>
          <w:sz w:val="28"/>
          <w:szCs w:val="28"/>
          <w:lang w:val="en-US" w:eastAsia="zh-CN" w:bidi="ar-SA"/>
        </w:rPr>
        <w:t>1.3.12 计数容量无限制，可存储和导出数据资料。</w:t>
      </w:r>
    </w:p>
    <w:p>
      <w:pPr>
        <w:rPr>
          <w:rFonts w:hint="eastAsia" w:ascii="仿宋" w:eastAsia="仿宋" w:cs="仿宋"/>
          <w:color w:val="auto"/>
          <w:sz w:val="28"/>
          <w:szCs w:val="28"/>
          <w:lang w:val="en-US" w:eastAsia="zh-CN" w:bidi="ar-SA"/>
        </w:rPr>
      </w:pPr>
      <w:r>
        <w:rPr>
          <w:rFonts w:hint="eastAsia" w:ascii="仿宋" w:eastAsia="仿宋" w:cs="仿宋"/>
          <w:color w:val="auto"/>
          <w:sz w:val="28"/>
          <w:szCs w:val="28"/>
          <w:lang w:val="en-US" w:eastAsia="zh-CN" w:bidi="ar-SA"/>
        </w:rPr>
        <w:t>1.3.13 防触电等级：I类。</w:t>
      </w:r>
    </w:p>
    <w:p>
      <w:pPr>
        <w:rPr>
          <w:rFonts w:hint="eastAsia" w:ascii="仿宋" w:eastAsia="仿宋" w:cs="仿宋"/>
          <w:color w:val="auto"/>
          <w:sz w:val="28"/>
          <w:szCs w:val="28"/>
          <w:lang w:val="en-US" w:eastAsia="zh-CN" w:bidi="ar-SA"/>
        </w:rPr>
      </w:pPr>
      <w:r>
        <w:rPr>
          <w:rFonts w:hint="eastAsia" w:ascii="仿宋" w:eastAsia="仿宋" w:cs="仿宋"/>
          <w:color w:val="auto"/>
          <w:sz w:val="28"/>
          <w:szCs w:val="28"/>
          <w:lang w:val="en-US" w:eastAsia="zh-CN" w:bidi="ar-SA"/>
        </w:rPr>
        <w:t>1.3.14 瞬态过压为设施类别（过压类别）：Ⅱ类。</w:t>
      </w:r>
    </w:p>
    <w:p>
      <w:pPr>
        <w:rPr>
          <w:rFonts w:hint="eastAsia" w:ascii="仿宋" w:eastAsia="仿宋" w:cs="仿宋"/>
          <w:color w:val="auto"/>
          <w:sz w:val="28"/>
          <w:szCs w:val="28"/>
          <w:lang w:val="en-US" w:eastAsia="zh-CN" w:bidi="ar-SA"/>
        </w:rPr>
      </w:pPr>
      <w:r>
        <w:rPr>
          <w:rFonts w:hint="eastAsia" w:ascii="仿宋" w:eastAsia="仿宋" w:cs="仿宋"/>
          <w:color w:val="auto"/>
          <w:sz w:val="28"/>
          <w:szCs w:val="28"/>
          <w:lang w:val="en-US" w:eastAsia="zh-CN" w:bidi="ar-SA"/>
        </w:rPr>
        <w:t>1.3.15污染等级：2级。</w:t>
      </w:r>
    </w:p>
    <w:p>
      <w:pPr>
        <w:rPr>
          <w:rFonts w:hint="eastAsia" w:ascii="仿宋" w:eastAsia="仿宋" w:cs="仿宋"/>
          <w:color w:val="auto"/>
          <w:sz w:val="28"/>
          <w:szCs w:val="28"/>
          <w:lang w:val="en-US" w:eastAsia="zh-CN" w:bidi="ar-SA"/>
        </w:rPr>
      </w:pPr>
      <w:r>
        <w:rPr>
          <w:rFonts w:hint="eastAsia" w:ascii="仿宋" w:eastAsia="仿宋" w:cs="仿宋"/>
          <w:color w:val="auto"/>
          <w:sz w:val="28"/>
          <w:szCs w:val="28"/>
          <w:lang w:val="en-US" w:eastAsia="zh-CN" w:bidi="ar-SA"/>
        </w:rPr>
        <w:t>1.3.16 可接入医院局域网，连接扫码枪，接入LIS、HIS、PACS系统。</w:t>
      </w:r>
    </w:p>
    <w:p>
      <w:pPr>
        <w:rPr>
          <w:rFonts w:hint="eastAsia" w:ascii="仿宋" w:eastAsia="仿宋" w:cs="仿宋"/>
          <w:color w:val="auto"/>
          <w:sz w:val="32"/>
          <w:szCs w:val="40"/>
          <w:lang w:val="en-US" w:eastAsia="zh-CN" w:bidi="ar-SA"/>
        </w:rPr>
      </w:pPr>
      <w:r>
        <w:rPr>
          <w:rFonts w:hint="eastAsia" w:ascii="仿宋" w:eastAsia="仿宋" w:cs="仿宋"/>
          <w:color w:val="auto"/>
          <w:sz w:val="32"/>
          <w:szCs w:val="40"/>
          <w:lang w:val="en-US" w:eastAsia="zh-CN" w:bidi="ar-SA"/>
        </w:rPr>
        <w:t>1.3.2  打印机</w:t>
      </w:r>
    </w:p>
    <w:p>
      <w:pPr>
        <w:rPr>
          <w:rFonts w:hint="eastAsia" w:ascii="仿宋" w:eastAsia="仿宋" w:cs="仿宋"/>
          <w:color w:val="auto"/>
          <w:sz w:val="28"/>
          <w:szCs w:val="28"/>
          <w:lang w:val="en-US" w:eastAsia="zh-CN" w:bidi="ar-SA"/>
        </w:rPr>
      </w:pPr>
      <w:r>
        <w:rPr>
          <w:rFonts w:hint="eastAsia" w:ascii="仿宋" w:eastAsia="仿宋" w:cs="仿宋"/>
          <w:color w:val="auto"/>
          <w:sz w:val="28"/>
          <w:szCs w:val="28"/>
          <w:lang w:val="en-US" w:eastAsia="zh-CN" w:bidi="ar-SA"/>
        </w:rPr>
        <w:t>1.3.2.1 喷墨打印；</w:t>
      </w:r>
    </w:p>
    <w:p>
      <w:pPr>
        <w:rPr>
          <w:rFonts w:hint="eastAsia" w:ascii="仿宋" w:eastAsia="仿宋" w:cs="仿宋"/>
          <w:color w:val="auto"/>
          <w:sz w:val="28"/>
          <w:szCs w:val="28"/>
          <w:lang w:val="en-US" w:eastAsia="zh-CN" w:bidi="ar-SA"/>
        </w:rPr>
      </w:pPr>
      <w:r>
        <w:rPr>
          <w:rFonts w:hint="eastAsia" w:ascii="仿宋" w:eastAsia="仿宋" w:cs="仿宋"/>
          <w:color w:val="auto"/>
          <w:sz w:val="28"/>
          <w:szCs w:val="28"/>
          <w:lang w:val="en-US" w:eastAsia="zh-CN" w:bidi="ar-SA"/>
        </w:rPr>
        <w:t>1.3.2.2 打印幅面A4，双面打印；</w:t>
      </w:r>
    </w:p>
    <w:p>
      <w:pPr>
        <w:rPr>
          <w:rFonts w:hint="eastAsia" w:ascii="仿宋" w:eastAsia="仿宋" w:cs="仿宋"/>
          <w:color w:val="auto"/>
          <w:sz w:val="28"/>
          <w:szCs w:val="28"/>
          <w:lang w:val="en-US" w:eastAsia="zh-CN" w:bidi="ar-SA"/>
        </w:rPr>
      </w:pPr>
      <w:r>
        <w:rPr>
          <w:rFonts w:hint="eastAsia" w:ascii="仿宋" w:eastAsia="仿宋" w:cs="仿宋"/>
          <w:color w:val="auto"/>
          <w:sz w:val="28"/>
          <w:szCs w:val="28"/>
          <w:lang w:val="en-US" w:eastAsia="zh-CN" w:bidi="ar-SA"/>
        </w:rPr>
        <w:t>1.3.2.3 USB 2.0 接口，电源：100-240V交流电±10%；操作环境：5-35°C；相对湿度：20%-80%。</w:t>
      </w:r>
    </w:p>
    <w:p>
      <w:pPr>
        <w:numPr>
          <w:ilvl w:val="0"/>
          <w:numId w:val="7"/>
        </w:numPr>
        <w:rPr>
          <w:rFonts w:hint="eastAsia" w:ascii="黑体" w:eastAsia="黑体" w:cs="黑体"/>
          <w:color w:val="auto"/>
          <w:sz w:val="32"/>
          <w:szCs w:val="40"/>
          <w:lang w:val="en-US" w:eastAsia="zh-CN" w:bidi="ar-SA"/>
        </w:rPr>
      </w:pPr>
      <w:r>
        <w:rPr>
          <w:rFonts w:hint="eastAsia" w:ascii="黑体" w:eastAsia="黑体" w:cs="黑体"/>
          <w:color w:val="auto"/>
          <w:sz w:val="32"/>
          <w:szCs w:val="40"/>
          <w:lang w:val="en-US" w:eastAsia="zh-CN" w:bidi="ar-SA"/>
        </w:rPr>
        <w:t>商务及售后要求</w:t>
      </w:r>
    </w:p>
    <w:p>
      <w:pPr>
        <w:rPr>
          <w:rFonts w:hint="eastAsia" w:ascii="仿宋" w:eastAsia="仿宋" w:cs="仿宋"/>
          <w:color w:val="auto"/>
          <w:sz w:val="28"/>
          <w:szCs w:val="28"/>
          <w:lang w:bidi="ar-SA"/>
        </w:rPr>
      </w:pPr>
      <w:r>
        <w:rPr>
          <w:rFonts w:hint="eastAsia" w:ascii="仿宋" w:eastAsia="仿宋" w:cs="仿宋"/>
          <w:color w:val="auto"/>
          <w:sz w:val="32"/>
          <w:szCs w:val="40"/>
          <w:lang w:bidi="ar-SA"/>
        </w:rPr>
        <w:t>1.1交货（实施）期及地点</w:t>
      </w:r>
    </w:p>
    <w:p>
      <w:pPr>
        <w:rPr>
          <w:rFonts w:hint="eastAsia" w:ascii="仿宋" w:eastAsia="仿宋" w:cs="仿宋"/>
          <w:color w:val="auto"/>
          <w:sz w:val="32"/>
          <w:szCs w:val="40"/>
          <w:lang w:val="en-US" w:eastAsia="zh-CN" w:bidi="ar-SA"/>
        </w:rPr>
      </w:pPr>
      <w:r>
        <w:rPr>
          <w:rFonts w:hint="eastAsia" w:ascii="仿宋" w:eastAsia="仿宋" w:cs="仿宋"/>
          <w:color w:val="auto"/>
          <w:sz w:val="28"/>
          <w:szCs w:val="28"/>
          <w:lang w:bidi="ar-SA"/>
        </w:rPr>
        <w:t>合同签订后1月内交货，甘肃省第二人民医院消化内科。</w:t>
      </w:r>
    </w:p>
    <w:p>
      <w:pPr>
        <w:rPr>
          <w:rFonts w:hint="eastAsia" w:ascii="仿宋" w:eastAsia="仿宋" w:cs="仿宋"/>
          <w:color w:val="auto"/>
          <w:sz w:val="32"/>
          <w:szCs w:val="40"/>
          <w:lang w:val="en-US" w:eastAsia="zh-CN" w:bidi="ar-SA"/>
        </w:rPr>
      </w:pPr>
      <w:r>
        <w:rPr>
          <w:rFonts w:hint="eastAsia" w:ascii="仿宋" w:eastAsia="仿宋" w:cs="仿宋"/>
          <w:color w:val="auto"/>
          <w:sz w:val="32"/>
          <w:szCs w:val="40"/>
          <w:lang w:val="en-US" w:eastAsia="zh-CN" w:bidi="ar-SA"/>
        </w:rPr>
        <w:t>1.2质保期</w:t>
      </w:r>
    </w:p>
    <w:p>
      <w:pPr>
        <w:rPr>
          <w:rFonts w:hint="eastAsia" w:ascii="仿宋" w:eastAsia="仿宋" w:cs="仿宋"/>
          <w:color w:val="auto"/>
          <w:sz w:val="28"/>
          <w:szCs w:val="28"/>
          <w:lang w:val="en-US" w:eastAsia="zh-CN" w:bidi="ar-SA"/>
        </w:rPr>
      </w:pPr>
      <w:r>
        <w:rPr>
          <w:rFonts w:hint="eastAsia" w:ascii="仿宋" w:eastAsia="仿宋" w:cs="仿宋"/>
          <w:color w:val="auto"/>
          <w:sz w:val="28"/>
          <w:szCs w:val="28"/>
          <w:lang w:val="en-US" w:eastAsia="zh-CN" w:bidi="ar-SA"/>
        </w:rPr>
        <w:t>整机（含配套附件、附属设备等）</w:t>
      </w:r>
      <w:r>
        <w:rPr>
          <w:rFonts w:hint="eastAsia" w:ascii="仿宋" w:eastAsia="仿宋" w:cs="仿宋"/>
          <w:color w:val="auto"/>
          <w:kern w:val="0"/>
          <w:sz w:val="28"/>
          <w:szCs w:val="28"/>
          <w:lang w:bidi="ar-SA"/>
        </w:rPr>
        <w:t>原厂质保三年</w:t>
      </w:r>
      <w:r>
        <w:rPr>
          <w:rFonts w:hint="eastAsia" w:ascii="仿宋" w:eastAsia="仿宋" w:cs="仿宋"/>
          <w:color w:val="auto"/>
          <w:sz w:val="28"/>
          <w:szCs w:val="28"/>
          <w:lang w:val="en-US" w:eastAsia="zh-CN" w:bidi="ar-SA"/>
        </w:rPr>
        <w:t>，质保期自正式验收合格之日起计算，提供原厂质保承诺文件，在质保期内进行售后服务不得收取任何费用。</w:t>
      </w:r>
    </w:p>
    <w:p>
      <w:pPr>
        <w:rPr>
          <w:rFonts w:hint="eastAsia" w:ascii="仿宋" w:eastAsia="仿宋" w:cs="仿宋"/>
          <w:color w:val="auto"/>
          <w:sz w:val="32"/>
          <w:szCs w:val="40"/>
          <w:lang w:val="en-US" w:eastAsia="zh-CN" w:bidi="ar-SA"/>
        </w:rPr>
      </w:pPr>
      <w:r>
        <w:rPr>
          <w:rFonts w:hint="eastAsia" w:ascii="仿宋" w:eastAsia="仿宋" w:cs="仿宋"/>
          <w:color w:val="auto"/>
          <w:sz w:val="32"/>
          <w:szCs w:val="40"/>
          <w:lang w:val="en-US" w:eastAsia="zh-CN" w:bidi="ar-SA"/>
        </w:rPr>
        <w:t>1.3售后服务</w:t>
      </w:r>
    </w:p>
    <w:p>
      <w:pPr>
        <w:rPr>
          <w:rFonts w:hint="eastAsia" w:ascii="仿宋" w:eastAsia="仿宋" w:cs="仿宋"/>
          <w:color w:val="auto"/>
          <w:sz w:val="28"/>
          <w:szCs w:val="28"/>
          <w:lang w:bidi="ar-SA"/>
        </w:rPr>
      </w:pPr>
      <w:r>
        <w:rPr>
          <w:rFonts w:hint="eastAsia" w:ascii="仿宋" w:eastAsia="仿宋" w:cs="仿宋"/>
          <w:color w:val="auto"/>
          <w:sz w:val="28"/>
          <w:szCs w:val="28"/>
          <w:lang w:bidi="ar-SA"/>
        </w:rPr>
        <w:t>1.3.1 配备专职售后服务工程师，如实提供售后工程师名单、联系方式等证明材料。接到院方报修 2小时内响应，24小时内抵达现场维修。</w:t>
      </w:r>
    </w:p>
    <w:p>
      <w:pPr>
        <w:rPr>
          <w:rFonts w:hint="eastAsia" w:ascii="仿宋" w:eastAsia="仿宋" w:cs="仿宋"/>
          <w:color w:val="auto"/>
          <w:sz w:val="28"/>
          <w:szCs w:val="28"/>
          <w:lang w:bidi="ar-SA"/>
        </w:rPr>
      </w:pPr>
      <w:r>
        <w:rPr>
          <w:rFonts w:hint="eastAsia" w:ascii="仿宋" w:eastAsia="仿宋" w:cs="仿宋"/>
          <w:color w:val="auto"/>
          <w:sz w:val="28"/>
          <w:szCs w:val="28"/>
          <w:lang w:bidi="ar-SA"/>
        </w:rPr>
        <w:t>1.3.2 质保期内厂家专业售后工程师需每6个月进行一次巡检保养，并向院方留存相应记录。</w:t>
      </w:r>
    </w:p>
    <w:p>
      <w:pPr>
        <w:rPr>
          <w:rFonts w:hint="eastAsia" w:ascii="仿宋" w:eastAsia="仿宋" w:cs="仿宋"/>
          <w:color w:val="auto"/>
          <w:sz w:val="28"/>
          <w:szCs w:val="28"/>
          <w:lang w:bidi="ar-SA"/>
        </w:rPr>
      </w:pPr>
      <w:r>
        <w:rPr>
          <w:rFonts w:hint="eastAsia" w:ascii="仿宋" w:eastAsia="仿宋" w:cs="仿宋"/>
          <w:color w:val="auto"/>
          <w:sz w:val="28"/>
          <w:szCs w:val="28"/>
          <w:lang w:bidi="ar-SA"/>
        </w:rPr>
        <w:t>1.3.3 配件供应：国内有配件仓库，保证十年内配件供应。</w:t>
      </w:r>
    </w:p>
    <w:p>
      <w:pPr>
        <w:rPr>
          <w:rFonts w:hint="eastAsia" w:ascii="仿宋" w:eastAsia="仿宋" w:cs="仿宋"/>
          <w:color w:val="auto"/>
          <w:sz w:val="28"/>
          <w:szCs w:val="28"/>
          <w:lang w:bidi="ar-SA"/>
        </w:rPr>
      </w:pPr>
      <w:r>
        <w:rPr>
          <w:rFonts w:hint="eastAsia" w:ascii="仿宋" w:eastAsia="仿宋" w:cs="仿宋"/>
          <w:color w:val="auto"/>
          <w:sz w:val="28"/>
          <w:szCs w:val="28"/>
          <w:lang w:bidi="ar-SA"/>
        </w:rPr>
        <w:t>1.3.4 提供设备配套的耗材（若有单一来源耗材请列出名称）、维修配件的明细清单及相应报价。</w:t>
      </w:r>
    </w:p>
    <w:p>
      <w:pPr>
        <w:rPr>
          <w:rFonts w:hint="eastAsia" w:ascii="仿宋" w:eastAsia="仿宋" w:cs="仿宋"/>
          <w:color w:val="auto"/>
          <w:sz w:val="28"/>
          <w:szCs w:val="28"/>
          <w:lang w:bidi="ar-SA"/>
        </w:rPr>
      </w:pPr>
      <w:r>
        <w:rPr>
          <w:rFonts w:hint="eastAsia" w:ascii="仿宋" w:eastAsia="仿宋" w:cs="仿宋"/>
          <w:color w:val="auto"/>
          <w:sz w:val="28"/>
          <w:szCs w:val="28"/>
          <w:lang w:bidi="ar-SA"/>
        </w:rPr>
        <w:t>1.3.5 负责免费培训 8名医务人员和 2名院内维修工程师，培训方式：厂家专业人员现场培训，培训次数：2次。培训标准：相应人员能够熟练掌握设备正确操作、日常维护、维修，可顺利开展诊断治疗等相关工作。</w:t>
      </w:r>
    </w:p>
    <w:p>
      <w:pPr>
        <w:rPr>
          <w:rFonts w:hint="eastAsia" w:ascii="仿宋" w:eastAsia="仿宋" w:cs="仿宋"/>
          <w:color w:val="auto"/>
          <w:sz w:val="28"/>
          <w:szCs w:val="28"/>
          <w:lang w:bidi="ar-SA"/>
        </w:rPr>
      </w:pPr>
      <w:r>
        <w:rPr>
          <w:rFonts w:hint="eastAsia" w:ascii="仿宋" w:eastAsia="仿宋" w:cs="仿宋"/>
          <w:color w:val="auto"/>
          <w:sz w:val="28"/>
          <w:szCs w:val="28"/>
          <w:lang w:bidi="ar-SA"/>
        </w:rPr>
        <w:t>1.3.6 中标方需提供操作手册、维修手册、软件备份、说明书等相关中文技术资料各两套。</w:t>
      </w:r>
    </w:p>
    <w:p>
      <w:pPr>
        <w:rPr>
          <w:rFonts w:hint="eastAsia" w:ascii="仿宋" w:eastAsia="仿宋" w:cs="仿宋"/>
          <w:color w:val="auto"/>
          <w:sz w:val="28"/>
          <w:szCs w:val="28"/>
          <w:highlight w:val="none"/>
          <w:lang w:bidi="ar-SA"/>
        </w:rPr>
      </w:pPr>
      <w:r>
        <w:rPr>
          <w:rFonts w:hint="eastAsia" w:ascii="仿宋" w:eastAsia="仿宋" w:cs="仿宋"/>
          <w:color w:val="auto"/>
          <w:sz w:val="28"/>
          <w:szCs w:val="28"/>
          <w:highlight w:val="none"/>
          <w:lang w:bidi="ar-SA"/>
        </w:rPr>
        <w:t>1.3.7 软件系统终身免费升级更新，并提供每次进行升级更新的书面相关证明文件及记录。</w:t>
      </w:r>
    </w:p>
    <w:p>
      <w:pPr>
        <w:rPr>
          <w:rFonts w:hint="eastAsia" w:ascii="仿宋" w:eastAsia="仿宋" w:cs="仿宋"/>
          <w:color w:val="auto"/>
          <w:sz w:val="28"/>
          <w:szCs w:val="28"/>
          <w:lang w:bidi="ar-SA"/>
        </w:rPr>
      </w:pPr>
      <w:r>
        <w:rPr>
          <w:rFonts w:hint="eastAsia" w:ascii="仿宋" w:eastAsia="仿宋" w:cs="仿宋"/>
          <w:color w:val="auto"/>
          <w:sz w:val="28"/>
          <w:szCs w:val="28"/>
          <w:lang w:bidi="ar-SA"/>
        </w:rPr>
        <w:t>1.3.8 所有接口免费开放，如需接入医院HIS、LIS、PACS等系统，由投标方负责连接并承担相应费用。</w:t>
      </w:r>
    </w:p>
    <w:p>
      <w:pPr>
        <w:pStyle w:val="2"/>
        <w:rPr>
          <w:rFonts w:hint="eastAsia" w:ascii="宋体" w:hAnsi="宋体" w:cs="宋体"/>
          <w:sz w:val="32"/>
          <w:szCs w:val="32"/>
          <w:highlight w:val="none"/>
        </w:rPr>
      </w:pPr>
    </w:p>
    <w:p>
      <w:pPr>
        <w:pStyle w:val="2"/>
        <w:rPr>
          <w:rFonts w:hint="eastAsia" w:ascii="宋体" w:hAnsi="宋体" w:cs="宋体"/>
          <w:sz w:val="32"/>
          <w:szCs w:val="32"/>
          <w:highlight w:val="none"/>
        </w:rPr>
      </w:pPr>
    </w:p>
    <w:p>
      <w:pPr>
        <w:pStyle w:val="2"/>
        <w:rPr>
          <w:rFonts w:hint="eastAsia" w:ascii="宋体" w:hAnsi="宋体" w:cs="宋体"/>
          <w:sz w:val="32"/>
          <w:szCs w:val="32"/>
          <w:highlight w:val="none"/>
        </w:rPr>
      </w:pPr>
    </w:p>
    <w:p>
      <w:pPr>
        <w:pStyle w:val="2"/>
        <w:rPr>
          <w:rFonts w:hint="eastAsia" w:ascii="宋体" w:hAnsi="宋体" w:cs="宋体"/>
          <w:sz w:val="32"/>
          <w:szCs w:val="32"/>
          <w:highlight w:val="none"/>
        </w:rPr>
      </w:pPr>
    </w:p>
    <w:p>
      <w:pPr>
        <w:pStyle w:val="2"/>
        <w:rPr>
          <w:rFonts w:hint="eastAsia" w:ascii="宋体" w:hAnsi="宋体" w:cs="宋体"/>
          <w:sz w:val="32"/>
          <w:szCs w:val="32"/>
          <w:highlight w:val="none"/>
        </w:rPr>
      </w:pPr>
    </w:p>
    <w:p>
      <w:pPr>
        <w:pStyle w:val="2"/>
        <w:rPr>
          <w:rFonts w:hint="eastAsia" w:ascii="宋体" w:hAnsi="宋体" w:cs="宋体"/>
          <w:sz w:val="32"/>
          <w:szCs w:val="32"/>
          <w:highlight w:val="none"/>
        </w:rPr>
      </w:pPr>
    </w:p>
    <w:p>
      <w:pPr>
        <w:pStyle w:val="2"/>
        <w:rPr>
          <w:rFonts w:hint="eastAsia" w:ascii="宋体" w:hAnsi="宋体" w:cs="宋体"/>
          <w:sz w:val="32"/>
          <w:szCs w:val="32"/>
          <w:highlight w:val="none"/>
        </w:rPr>
      </w:pPr>
    </w:p>
    <w:p>
      <w:pPr>
        <w:pStyle w:val="2"/>
        <w:rPr>
          <w:rFonts w:hint="eastAsia" w:ascii="宋体" w:hAnsi="宋体" w:cs="宋体"/>
          <w:sz w:val="32"/>
          <w:szCs w:val="32"/>
          <w:highlight w:val="none"/>
        </w:rPr>
      </w:pPr>
    </w:p>
    <w:p>
      <w:pPr>
        <w:pStyle w:val="2"/>
        <w:rPr>
          <w:rFonts w:hint="eastAsia" w:ascii="宋体" w:hAnsi="宋体" w:cs="宋体"/>
          <w:sz w:val="32"/>
          <w:szCs w:val="32"/>
          <w:highlight w:val="none"/>
        </w:rPr>
      </w:pPr>
    </w:p>
    <w:p>
      <w:pPr>
        <w:pStyle w:val="2"/>
        <w:rPr>
          <w:rFonts w:hint="eastAsia" w:ascii="宋体" w:hAnsi="宋体" w:cs="宋体"/>
          <w:sz w:val="32"/>
          <w:szCs w:val="32"/>
          <w:highlight w:val="none"/>
        </w:rPr>
      </w:pPr>
    </w:p>
    <w:p>
      <w:pPr>
        <w:pStyle w:val="2"/>
        <w:rPr>
          <w:rFonts w:hint="eastAsia" w:ascii="宋体" w:hAnsi="宋体" w:cs="宋体"/>
          <w:sz w:val="32"/>
          <w:szCs w:val="32"/>
          <w:highlight w:val="none"/>
        </w:rPr>
      </w:pPr>
    </w:p>
    <w:p>
      <w:pPr>
        <w:pStyle w:val="2"/>
        <w:rPr>
          <w:rFonts w:hint="eastAsia" w:ascii="宋体" w:hAnsi="宋体" w:cs="宋体"/>
          <w:sz w:val="32"/>
          <w:szCs w:val="32"/>
          <w:highlight w:val="none"/>
        </w:rPr>
      </w:pPr>
    </w:p>
    <w:p>
      <w:pPr>
        <w:pStyle w:val="2"/>
        <w:ind w:left="0" w:leftChars="0" w:firstLine="0" w:firstLineChars="0"/>
        <w:rPr>
          <w:rFonts w:hint="eastAsia" w:ascii="宋体" w:hAnsi="宋体" w:cs="宋体"/>
          <w:sz w:val="32"/>
          <w:szCs w:val="32"/>
          <w:highlight w:val="none"/>
        </w:rPr>
      </w:pPr>
    </w:p>
    <w:p>
      <w:pPr>
        <w:rPr>
          <w:rFonts w:hint="eastAsia"/>
          <w:highlight w:val="none"/>
        </w:rPr>
      </w:pPr>
    </w:p>
    <w:p>
      <w:pPr>
        <w:pStyle w:val="6"/>
        <w:rPr>
          <w:rFonts w:ascii="宋体" w:hAnsi="宋体" w:cs="宋体"/>
          <w:sz w:val="32"/>
          <w:szCs w:val="32"/>
          <w:highlight w:val="none"/>
        </w:rPr>
      </w:pPr>
      <w:r>
        <w:rPr>
          <w:rFonts w:hint="eastAsia" w:ascii="宋体" w:hAnsi="宋体" w:cs="宋体"/>
          <w:sz w:val="32"/>
          <w:szCs w:val="32"/>
          <w:highlight w:val="none"/>
        </w:rPr>
        <w:t>第四章  资格证明文件</w:t>
      </w:r>
      <w:bookmarkEnd w:id="378"/>
      <w:bookmarkEnd w:id="379"/>
      <w:bookmarkEnd w:id="380"/>
    </w:p>
    <w:p>
      <w:pPr>
        <w:keepNext w:val="0"/>
        <w:keepLines w:val="0"/>
        <w:pageBreakBefore w:val="0"/>
        <w:widowControl/>
        <w:kinsoku w:val="0"/>
        <w:wordWrap/>
        <w:overflowPunct/>
        <w:topLinePunct w:val="0"/>
        <w:autoSpaceDE w:val="0"/>
        <w:autoSpaceDN w:val="0"/>
        <w:bidi w:val="0"/>
        <w:adjustRightInd w:val="0"/>
        <w:snapToGrid w:val="0"/>
        <w:spacing w:line="480" w:lineRule="auto"/>
        <w:ind w:right="141" w:firstLine="248" w:firstLineChars="100"/>
        <w:textAlignment w:val="baseline"/>
        <w:rPr>
          <w:rFonts w:hint="eastAsia" w:ascii="宋体" w:hAnsi="宋体" w:eastAsia="宋体" w:cs="宋体"/>
          <w:b w:val="0"/>
          <w:bCs w:val="0"/>
          <w:color w:val="000000"/>
          <w:spacing w:val="4"/>
          <w:sz w:val="24"/>
          <w:szCs w:val="24"/>
          <w:highlight w:val="none"/>
        </w:rPr>
      </w:pPr>
      <w:r>
        <w:rPr>
          <w:rFonts w:hint="eastAsia" w:ascii="宋体" w:hAnsi="宋体" w:eastAsia="宋体" w:cs="宋体"/>
          <w:b w:val="0"/>
          <w:bCs w:val="0"/>
          <w:color w:val="000000"/>
          <w:spacing w:val="4"/>
          <w:sz w:val="24"/>
          <w:szCs w:val="24"/>
          <w:highlight w:val="none"/>
        </w:rPr>
        <w:t>一．投标人有效的营业执照，或事业单位法人证书，或自然人身份证明，或其他非企业组织证明独立承担民事责任能力的文件（复印件并加盖公章）。</w:t>
      </w:r>
    </w:p>
    <w:p>
      <w:pPr>
        <w:keepNext w:val="0"/>
        <w:keepLines w:val="0"/>
        <w:pageBreakBefore w:val="0"/>
        <w:widowControl/>
        <w:kinsoku w:val="0"/>
        <w:wordWrap/>
        <w:overflowPunct/>
        <w:topLinePunct w:val="0"/>
        <w:autoSpaceDE w:val="0"/>
        <w:autoSpaceDN w:val="0"/>
        <w:bidi w:val="0"/>
        <w:adjustRightInd w:val="0"/>
        <w:snapToGrid w:val="0"/>
        <w:spacing w:line="480" w:lineRule="auto"/>
        <w:ind w:right="141" w:firstLine="248" w:firstLineChars="100"/>
        <w:textAlignment w:val="baseline"/>
        <w:rPr>
          <w:rFonts w:hint="eastAsia" w:ascii="宋体" w:hAnsi="宋体" w:eastAsia="宋体" w:cs="宋体"/>
          <w:b w:val="0"/>
          <w:bCs w:val="0"/>
          <w:color w:val="000000"/>
          <w:spacing w:val="4"/>
          <w:sz w:val="24"/>
          <w:szCs w:val="24"/>
          <w:highlight w:val="none"/>
        </w:rPr>
      </w:pPr>
      <w:r>
        <w:rPr>
          <w:rFonts w:hint="eastAsia" w:ascii="宋体" w:hAnsi="宋体" w:eastAsia="宋体" w:cs="宋体"/>
          <w:b w:val="0"/>
          <w:bCs w:val="0"/>
          <w:color w:val="000000"/>
          <w:spacing w:val="4"/>
          <w:sz w:val="24"/>
          <w:szCs w:val="24"/>
          <w:highlight w:val="none"/>
        </w:rPr>
        <w:t>二．法定代表人身份证（正、反面复印件加盖公章）。</w:t>
      </w:r>
    </w:p>
    <w:p>
      <w:pPr>
        <w:keepNext w:val="0"/>
        <w:keepLines w:val="0"/>
        <w:pageBreakBefore w:val="0"/>
        <w:widowControl/>
        <w:kinsoku w:val="0"/>
        <w:wordWrap/>
        <w:overflowPunct/>
        <w:topLinePunct w:val="0"/>
        <w:autoSpaceDE w:val="0"/>
        <w:autoSpaceDN w:val="0"/>
        <w:bidi w:val="0"/>
        <w:adjustRightInd w:val="0"/>
        <w:snapToGrid w:val="0"/>
        <w:spacing w:line="480" w:lineRule="auto"/>
        <w:ind w:right="141" w:firstLine="248" w:firstLineChars="100"/>
        <w:textAlignment w:val="baseline"/>
        <w:rPr>
          <w:rFonts w:hint="eastAsia" w:ascii="宋体" w:hAnsi="宋体" w:eastAsia="宋体" w:cs="宋体"/>
          <w:b w:val="0"/>
          <w:bCs w:val="0"/>
          <w:color w:val="000000"/>
          <w:spacing w:val="4"/>
          <w:sz w:val="24"/>
          <w:szCs w:val="24"/>
          <w:highlight w:val="none"/>
        </w:rPr>
      </w:pPr>
      <w:r>
        <w:rPr>
          <w:rFonts w:hint="eastAsia" w:ascii="宋体" w:hAnsi="宋体" w:eastAsia="宋体" w:cs="宋体"/>
          <w:b w:val="0"/>
          <w:bCs w:val="0"/>
          <w:color w:val="000000"/>
          <w:spacing w:val="4"/>
          <w:sz w:val="24"/>
          <w:szCs w:val="24"/>
          <w:highlight w:val="none"/>
        </w:rPr>
        <w:t>三．法定代表人授权函（原件）及被授权人身份证（正、反面复印件加盖公章）。</w:t>
      </w:r>
    </w:p>
    <w:p>
      <w:pPr>
        <w:keepNext w:val="0"/>
        <w:keepLines w:val="0"/>
        <w:pageBreakBefore w:val="0"/>
        <w:widowControl/>
        <w:kinsoku w:val="0"/>
        <w:wordWrap/>
        <w:overflowPunct/>
        <w:topLinePunct w:val="0"/>
        <w:autoSpaceDE w:val="0"/>
        <w:autoSpaceDN w:val="0"/>
        <w:bidi w:val="0"/>
        <w:adjustRightInd w:val="0"/>
        <w:snapToGrid w:val="0"/>
        <w:spacing w:line="480" w:lineRule="auto"/>
        <w:ind w:right="141" w:firstLine="248" w:firstLineChars="100"/>
        <w:textAlignment w:val="baseline"/>
        <w:rPr>
          <w:rFonts w:hint="eastAsia" w:ascii="宋体" w:hAnsi="宋体" w:eastAsia="宋体" w:cs="宋体"/>
          <w:b w:val="0"/>
          <w:bCs w:val="0"/>
          <w:color w:val="000000"/>
          <w:spacing w:val="4"/>
          <w:sz w:val="24"/>
          <w:szCs w:val="24"/>
          <w:highlight w:val="none"/>
        </w:rPr>
      </w:pPr>
      <w:r>
        <w:rPr>
          <w:rFonts w:hint="eastAsia" w:ascii="宋体" w:hAnsi="宋体" w:eastAsia="宋体" w:cs="宋体"/>
          <w:b w:val="0"/>
          <w:bCs w:val="0"/>
          <w:color w:val="000000"/>
          <w:spacing w:val="4"/>
          <w:sz w:val="24"/>
          <w:szCs w:val="24"/>
          <w:highlight w:val="none"/>
        </w:rPr>
        <w:t>四．</w:t>
      </w:r>
      <w:r>
        <w:rPr>
          <w:rFonts w:hint="eastAsia" w:ascii="宋体" w:hAnsi="宋体" w:eastAsia="宋体" w:cs="宋体"/>
          <w:b w:val="0"/>
          <w:bCs w:val="0"/>
          <w:color w:val="auto"/>
          <w:sz w:val="24"/>
          <w:szCs w:val="24"/>
          <w:highlight w:val="none"/>
        </w:rPr>
        <w:t>投标人须提供由会计事务所出具的</w:t>
      </w:r>
      <w:r>
        <w:rPr>
          <w:rFonts w:hint="eastAsia" w:ascii="宋体" w:hAnsi="宋体" w:eastAsia="宋体" w:cs="宋体"/>
          <w:b w:val="0"/>
          <w:bCs w:val="0"/>
          <w:color w:val="auto"/>
          <w:sz w:val="24"/>
          <w:szCs w:val="24"/>
          <w:highlight w:val="none"/>
          <w:lang w:val="en-US" w:eastAsia="zh-CN"/>
        </w:rPr>
        <w:t>2021或2022年度财务</w:t>
      </w:r>
      <w:r>
        <w:rPr>
          <w:rFonts w:hint="eastAsia" w:ascii="宋体" w:hAnsi="宋体" w:eastAsia="宋体" w:cs="宋体"/>
          <w:b w:val="0"/>
          <w:bCs w:val="0"/>
          <w:color w:val="auto"/>
          <w:sz w:val="24"/>
          <w:szCs w:val="24"/>
          <w:highlight w:val="none"/>
        </w:rPr>
        <w:t>审计报告（复印件加盖公章）或其基本开户银行出具的银行资信证明（</w:t>
      </w:r>
      <w:r>
        <w:rPr>
          <w:rFonts w:hint="eastAsia" w:ascii="宋体" w:hAnsi="宋体" w:eastAsia="宋体" w:cs="宋体"/>
          <w:b w:val="0"/>
          <w:bCs w:val="0"/>
          <w:color w:val="auto"/>
          <w:sz w:val="24"/>
          <w:szCs w:val="24"/>
          <w:highlight w:val="none"/>
          <w:lang w:val="en-US" w:eastAsia="zh-CN"/>
        </w:rPr>
        <w:t>扫描件或复印件</w:t>
      </w:r>
      <w:r>
        <w:rPr>
          <w:rFonts w:hint="eastAsia" w:ascii="宋体" w:hAnsi="宋体" w:eastAsia="宋体" w:cs="宋体"/>
          <w:b w:val="0"/>
          <w:bCs w:val="0"/>
          <w:color w:val="auto"/>
          <w:sz w:val="24"/>
          <w:szCs w:val="24"/>
          <w:highlight w:val="none"/>
        </w:rPr>
        <w:t>须装订在投标文件正本中。）或财政部门认可的专业机构出具的投标担保；</w:t>
      </w:r>
    </w:p>
    <w:p>
      <w:pPr>
        <w:keepNext w:val="0"/>
        <w:keepLines w:val="0"/>
        <w:pageBreakBefore w:val="0"/>
        <w:widowControl/>
        <w:kinsoku w:val="0"/>
        <w:wordWrap/>
        <w:overflowPunct/>
        <w:topLinePunct w:val="0"/>
        <w:autoSpaceDE w:val="0"/>
        <w:autoSpaceDN w:val="0"/>
        <w:bidi w:val="0"/>
        <w:adjustRightInd w:val="0"/>
        <w:snapToGrid w:val="0"/>
        <w:spacing w:line="480" w:lineRule="auto"/>
        <w:ind w:firstLine="240" w:firstLineChars="100"/>
        <w:textAlignment w:val="baseline"/>
        <w:rPr>
          <w:rFonts w:hint="eastAsia" w:ascii="宋体" w:hAnsi="宋体" w:eastAsia="宋体" w:cs="宋体"/>
          <w:b w:val="0"/>
          <w:bCs w:val="0"/>
          <w:kern w:val="0"/>
          <w:sz w:val="24"/>
          <w:szCs w:val="24"/>
          <w:highlight w:val="none"/>
        </w:rPr>
      </w:pPr>
      <w:r>
        <w:rPr>
          <w:rFonts w:hint="eastAsia" w:ascii="宋体" w:hAnsi="宋体" w:eastAsia="宋体" w:cs="宋体"/>
          <w:b w:val="0"/>
          <w:bCs w:val="0"/>
          <w:kern w:val="0"/>
          <w:sz w:val="24"/>
          <w:szCs w:val="24"/>
          <w:highlight w:val="none"/>
          <w:lang w:val="en-US" w:eastAsia="zh-CN"/>
        </w:rPr>
        <w:t>五.</w:t>
      </w:r>
      <w:r>
        <w:rPr>
          <w:rFonts w:hint="eastAsia" w:ascii="宋体" w:hAnsi="宋体" w:cs="宋体"/>
          <w:color w:val="auto"/>
          <w:kern w:val="2"/>
          <w:sz w:val="24"/>
          <w:szCs w:val="24"/>
          <w:highlight w:val="none"/>
          <w:lang w:val="en-US" w:eastAsia="zh-CN" w:bidi="ar-SA"/>
        </w:rPr>
        <w:t>投标人须具有医疗器械生产或经营许可证(备案证)（复印件加盖公章）</w:t>
      </w:r>
      <w:r>
        <w:rPr>
          <w:rFonts w:hint="eastAsia" w:ascii="宋体" w:hAnsi="宋体" w:eastAsia="宋体" w:cs="宋体"/>
          <w:b w:val="0"/>
          <w:bCs w:val="0"/>
          <w:kern w:val="0"/>
          <w:sz w:val="24"/>
          <w:szCs w:val="24"/>
          <w:highlight w:val="none"/>
        </w:rPr>
        <w:t>；</w:t>
      </w:r>
    </w:p>
    <w:p>
      <w:pPr>
        <w:keepNext w:val="0"/>
        <w:keepLines w:val="0"/>
        <w:pageBreakBefore w:val="0"/>
        <w:widowControl/>
        <w:kinsoku w:val="0"/>
        <w:wordWrap/>
        <w:overflowPunct/>
        <w:topLinePunct w:val="0"/>
        <w:autoSpaceDE w:val="0"/>
        <w:autoSpaceDN w:val="0"/>
        <w:bidi w:val="0"/>
        <w:adjustRightInd w:val="0"/>
        <w:snapToGrid w:val="0"/>
        <w:spacing w:line="480" w:lineRule="auto"/>
        <w:ind w:firstLine="240" w:firstLineChars="100"/>
        <w:textAlignment w:val="baseline"/>
        <w:rPr>
          <w:rFonts w:hint="eastAsia" w:ascii="宋体" w:hAnsi="宋体" w:eastAsia="宋体" w:cs="宋体"/>
          <w:b w:val="0"/>
          <w:bCs w:val="0"/>
          <w:kern w:val="0"/>
          <w:sz w:val="24"/>
          <w:szCs w:val="24"/>
          <w:highlight w:val="none"/>
        </w:rPr>
      </w:pPr>
      <w:r>
        <w:rPr>
          <w:rFonts w:hint="eastAsia" w:ascii="宋体" w:hAnsi="宋体" w:eastAsia="宋体" w:cs="宋体"/>
          <w:b w:val="0"/>
          <w:bCs w:val="0"/>
          <w:kern w:val="0"/>
          <w:sz w:val="24"/>
          <w:szCs w:val="24"/>
          <w:highlight w:val="none"/>
          <w:lang w:val="en-US" w:eastAsia="zh-CN"/>
        </w:rPr>
        <w:t>六.</w:t>
      </w:r>
      <w:r>
        <w:rPr>
          <w:rFonts w:hint="eastAsia" w:ascii="宋体" w:hAnsi="宋体" w:eastAsia="宋体" w:cs="宋体"/>
          <w:b w:val="0"/>
          <w:bCs w:val="0"/>
          <w:kern w:val="0"/>
          <w:sz w:val="24"/>
          <w:szCs w:val="24"/>
          <w:highlight w:val="none"/>
          <w:lang w:eastAsia="zh-CN"/>
        </w:rPr>
        <w:t>投标人</w:t>
      </w:r>
      <w:r>
        <w:rPr>
          <w:rFonts w:hint="eastAsia" w:ascii="宋体" w:hAnsi="宋体" w:eastAsia="宋体" w:cs="宋体"/>
          <w:b w:val="0"/>
          <w:bCs w:val="0"/>
          <w:kern w:val="0"/>
          <w:sz w:val="24"/>
          <w:szCs w:val="24"/>
          <w:highlight w:val="none"/>
        </w:rPr>
        <w:t>须提供所投产品的医疗器械注册证（备案凭证）</w:t>
      </w:r>
      <w:r>
        <w:rPr>
          <w:rFonts w:hint="eastAsia" w:ascii="宋体" w:hAnsi="宋体" w:cs="宋体"/>
          <w:color w:val="auto"/>
          <w:kern w:val="2"/>
          <w:sz w:val="24"/>
          <w:szCs w:val="24"/>
          <w:highlight w:val="none"/>
          <w:lang w:val="en-US" w:eastAsia="zh-CN" w:bidi="ar-SA"/>
        </w:rPr>
        <w:t>（复印件加盖公章）</w:t>
      </w:r>
      <w:r>
        <w:rPr>
          <w:rFonts w:hint="eastAsia" w:ascii="宋体" w:hAnsi="宋体" w:eastAsia="宋体" w:cs="宋体"/>
          <w:b w:val="0"/>
          <w:bCs w:val="0"/>
          <w:kern w:val="0"/>
          <w:sz w:val="24"/>
          <w:szCs w:val="24"/>
          <w:highlight w:val="none"/>
        </w:rPr>
        <w:t>；</w:t>
      </w:r>
    </w:p>
    <w:p>
      <w:pPr>
        <w:keepNext w:val="0"/>
        <w:keepLines w:val="0"/>
        <w:pageBreakBefore w:val="0"/>
        <w:widowControl/>
        <w:kinsoku w:val="0"/>
        <w:wordWrap/>
        <w:overflowPunct/>
        <w:topLinePunct w:val="0"/>
        <w:autoSpaceDE w:val="0"/>
        <w:autoSpaceDN w:val="0"/>
        <w:bidi w:val="0"/>
        <w:adjustRightInd w:val="0"/>
        <w:snapToGrid w:val="0"/>
        <w:spacing w:line="480" w:lineRule="auto"/>
        <w:ind w:firstLine="240" w:firstLineChars="100"/>
        <w:textAlignment w:val="baseline"/>
        <w:rPr>
          <w:rFonts w:hint="eastAsia" w:ascii="宋体" w:hAnsi="宋体" w:eastAsia="宋体" w:cs="宋体"/>
          <w:b w:val="0"/>
          <w:bCs w:val="0"/>
          <w:kern w:val="0"/>
          <w:sz w:val="24"/>
          <w:szCs w:val="24"/>
          <w:highlight w:val="none"/>
        </w:rPr>
      </w:pPr>
      <w:r>
        <w:rPr>
          <w:rFonts w:hint="eastAsia" w:ascii="宋体" w:hAnsi="宋体" w:eastAsia="宋体" w:cs="宋体"/>
          <w:b w:val="0"/>
          <w:bCs w:val="0"/>
          <w:kern w:val="0"/>
          <w:sz w:val="24"/>
          <w:szCs w:val="24"/>
          <w:highlight w:val="none"/>
          <w:lang w:val="en-US" w:eastAsia="zh-CN"/>
        </w:rPr>
        <w:t>七.</w:t>
      </w:r>
      <w:r>
        <w:rPr>
          <w:rFonts w:hint="eastAsia" w:ascii="宋体" w:hAnsi="宋体" w:eastAsia="宋体" w:cs="宋体"/>
          <w:b w:val="0"/>
          <w:bCs w:val="0"/>
          <w:color w:val="auto"/>
          <w:kern w:val="0"/>
          <w:sz w:val="24"/>
          <w:szCs w:val="24"/>
          <w:highlight w:val="none"/>
          <w:lang w:eastAsia="zh-CN"/>
        </w:rPr>
        <w:t>投标人是代理商的须提供</w:t>
      </w:r>
      <w:r>
        <w:rPr>
          <w:rFonts w:hint="eastAsia" w:ascii="宋体" w:hAnsi="宋体" w:eastAsia="宋体" w:cs="宋体"/>
          <w:b w:val="0"/>
          <w:bCs w:val="0"/>
          <w:color w:val="auto"/>
          <w:kern w:val="0"/>
          <w:sz w:val="24"/>
          <w:szCs w:val="24"/>
          <w:highlight w:val="none"/>
        </w:rPr>
        <w:t>生产厂家的营业执照及医疗器械生产许可证；</w:t>
      </w:r>
      <w:r>
        <w:rPr>
          <w:rFonts w:hint="eastAsia" w:ascii="宋体" w:hAnsi="宋体" w:cs="宋体"/>
          <w:color w:val="auto"/>
          <w:kern w:val="2"/>
          <w:sz w:val="24"/>
          <w:szCs w:val="24"/>
          <w:highlight w:val="none"/>
          <w:lang w:val="en-US" w:eastAsia="zh-CN" w:bidi="ar-SA"/>
        </w:rPr>
        <w:t>（复印件加盖公章）</w:t>
      </w:r>
      <w:r>
        <w:rPr>
          <w:rFonts w:hint="eastAsia" w:ascii="宋体" w:hAnsi="宋体" w:eastAsia="宋体" w:cs="宋体"/>
          <w:b w:val="0"/>
          <w:bCs w:val="0"/>
          <w:kern w:val="0"/>
          <w:sz w:val="24"/>
          <w:szCs w:val="24"/>
          <w:highlight w:val="none"/>
        </w:rPr>
        <w:t>；</w:t>
      </w:r>
    </w:p>
    <w:p>
      <w:pPr>
        <w:pStyle w:val="2"/>
        <w:rPr>
          <w:rFonts w:hint="eastAsia"/>
          <w:highlight w:val="none"/>
        </w:rPr>
      </w:pPr>
      <w:r>
        <w:rPr>
          <w:rFonts w:hint="eastAsia" w:ascii="宋体" w:hAnsi="宋体" w:eastAsia="宋体" w:cs="宋体"/>
          <w:color w:val="auto"/>
          <w:kern w:val="2"/>
          <w:sz w:val="24"/>
          <w:szCs w:val="24"/>
          <w:highlight w:val="none"/>
          <w:lang w:val="en-US" w:eastAsia="zh-CN" w:bidi="ar-SA"/>
        </w:rPr>
        <w:t xml:space="preserve">八．供应商须为未被列入“信用中国”网（ www.creditchina.gov.cn）记录失信被执行人或重大税收违法案件当事人名单或政府采购严重违法失信行为记录名单；不处于中国 政府采购网（ www.ccgp.gov.cn）政府采购严重违法失信行为信息记录中的禁止参加政府采购活动期间；未被列入“信用甘肃”网站（ </w:t>
      </w:r>
      <w:r>
        <w:rPr>
          <w:rFonts w:hint="eastAsia" w:ascii="宋体" w:hAnsi="宋体" w:eastAsia="宋体" w:cs="宋体"/>
          <w:color w:val="auto"/>
          <w:kern w:val="2"/>
          <w:sz w:val="24"/>
          <w:szCs w:val="24"/>
          <w:highlight w:val="none"/>
          <w:lang w:val="en-US" w:eastAsia="zh-CN" w:bidi="ar-SA"/>
        </w:rPr>
        <w:fldChar w:fldCharType="begin"/>
      </w:r>
      <w:r>
        <w:rPr>
          <w:rFonts w:hint="eastAsia" w:ascii="宋体" w:hAnsi="宋体" w:eastAsia="宋体" w:cs="宋体"/>
          <w:color w:val="auto"/>
          <w:kern w:val="2"/>
          <w:sz w:val="24"/>
          <w:szCs w:val="24"/>
          <w:highlight w:val="none"/>
          <w:lang w:val="en-US" w:eastAsia="zh-CN" w:bidi="ar-SA"/>
        </w:rPr>
        <w:instrText xml:space="preserve"> HYPERLINK "http://www.gscredit.gov.cn）记录失信被执行人或财政性资金管理使用领域相关失信责任主体、统计领域严重失信企业及其有关人员等的方可参加本项目的投标；" </w:instrText>
      </w:r>
      <w:r>
        <w:rPr>
          <w:rFonts w:hint="eastAsia" w:ascii="宋体" w:hAnsi="宋体" w:eastAsia="宋体" w:cs="宋体"/>
          <w:color w:val="auto"/>
          <w:kern w:val="2"/>
          <w:sz w:val="24"/>
          <w:szCs w:val="24"/>
          <w:highlight w:val="none"/>
          <w:lang w:val="en-US" w:eastAsia="zh-CN" w:bidi="ar-SA"/>
        </w:rPr>
        <w:fldChar w:fldCharType="separate"/>
      </w:r>
      <w:r>
        <w:rPr>
          <w:rFonts w:hint="eastAsia" w:ascii="宋体" w:hAnsi="宋体" w:eastAsia="宋体" w:cs="宋体"/>
          <w:color w:val="auto"/>
          <w:kern w:val="2"/>
          <w:sz w:val="24"/>
          <w:szCs w:val="24"/>
          <w:highlight w:val="none"/>
          <w:lang w:val="en-US" w:eastAsia="zh-CN" w:bidi="ar-SA"/>
        </w:rPr>
        <w:t>www.gscredit.gov.cn）记录失信被执行人或财政性资金管理使用领域相关失信责任主体、统计领域严重失信企业及其有关人员等（提供查询截图并</w:t>
      </w:r>
      <w:r>
        <w:rPr>
          <w:rFonts w:hint="eastAsia" w:ascii="宋体" w:hAnsi="宋体" w:cs="宋体"/>
          <w:color w:val="auto"/>
          <w:kern w:val="2"/>
          <w:sz w:val="24"/>
          <w:szCs w:val="24"/>
          <w:highlight w:val="none"/>
          <w:lang w:val="en-US" w:eastAsia="zh-CN" w:bidi="ar-SA"/>
        </w:rPr>
        <w:t>加盖公章</w:t>
      </w:r>
      <w:r>
        <w:rPr>
          <w:rFonts w:hint="eastAsia" w:ascii="宋体" w:hAnsi="宋体" w:eastAsia="宋体" w:cs="宋体"/>
          <w:color w:val="auto"/>
          <w:kern w:val="2"/>
          <w:sz w:val="24"/>
          <w:szCs w:val="24"/>
          <w:highlight w:val="none"/>
          <w:lang w:val="en-US" w:eastAsia="zh-CN" w:bidi="ar-SA"/>
        </w:rPr>
        <w:t>）；</w:t>
      </w:r>
      <w:r>
        <w:rPr>
          <w:rFonts w:hint="eastAsia" w:ascii="宋体" w:hAnsi="宋体" w:eastAsia="宋体" w:cs="宋体"/>
          <w:color w:val="auto"/>
          <w:kern w:val="2"/>
          <w:sz w:val="24"/>
          <w:szCs w:val="24"/>
          <w:highlight w:val="none"/>
          <w:lang w:val="en-US" w:eastAsia="zh-CN" w:bidi="ar-SA"/>
        </w:rPr>
        <w:fldChar w:fldCharType="end"/>
      </w:r>
    </w:p>
    <w:p>
      <w:pPr>
        <w:pStyle w:val="2"/>
        <w:rPr>
          <w:rFonts w:hint="eastAsia"/>
          <w:highlight w:val="none"/>
        </w:rPr>
      </w:pPr>
    </w:p>
    <w:p>
      <w:pPr>
        <w:pStyle w:val="30"/>
        <w:keepNext w:val="0"/>
        <w:keepLines w:val="0"/>
        <w:pageBreakBefore w:val="0"/>
        <w:wordWrap/>
        <w:overflowPunct/>
        <w:topLinePunct w:val="0"/>
        <w:bidi w:val="0"/>
        <w:spacing w:line="480" w:lineRule="auto"/>
        <w:ind w:left="0" w:leftChars="0" w:firstLine="0" w:firstLineChars="0"/>
        <w:rPr>
          <w:rFonts w:hint="eastAsia" w:ascii="宋体" w:hAnsi="宋体" w:eastAsia="宋体" w:cs="宋体"/>
          <w:sz w:val="24"/>
          <w:szCs w:val="24"/>
          <w:highlight w:val="none"/>
        </w:rPr>
      </w:pPr>
      <w:r>
        <w:rPr>
          <w:rFonts w:hint="eastAsia" w:ascii="宋体" w:hAnsi="宋体" w:eastAsia="宋体" w:cs="宋体"/>
          <w:b/>
          <w:bCs/>
          <w:spacing w:val="-2"/>
          <w:sz w:val="24"/>
          <w:szCs w:val="24"/>
          <w:highlight w:val="none"/>
        </w:rPr>
        <w:t>注：1.以上所有资格全部为招标文件的实质性要求，有一项不符合即为无效</w:t>
      </w:r>
      <w:r>
        <w:rPr>
          <w:rFonts w:hint="eastAsia" w:ascii="宋体" w:hAnsi="宋体" w:eastAsia="宋体" w:cs="宋体"/>
          <w:b/>
          <w:bCs/>
          <w:sz w:val="24"/>
          <w:szCs w:val="24"/>
          <w:highlight w:val="none"/>
        </w:rPr>
        <w:t>投标。</w:t>
      </w:r>
    </w:p>
    <w:p>
      <w:pPr>
        <w:pStyle w:val="30"/>
        <w:keepNext w:val="0"/>
        <w:keepLines w:val="0"/>
        <w:pageBreakBefore w:val="0"/>
        <w:wordWrap/>
        <w:overflowPunct/>
        <w:topLinePunct w:val="0"/>
        <w:bidi w:val="0"/>
        <w:spacing w:line="480" w:lineRule="auto"/>
        <w:ind w:left="0" w:leftChars="0"/>
        <w:jc w:val="left"/>
        <w:rPr>
          <w:rFonts w:hint="eastAsia" w:ascii="宋体" w:hAnsi="宋体" w:eastAsia="宋体" w:cs="宋体"/>
          <w:b/>
          <w:bCs/>
          <w:spacing w:val="-2"/>
          <w:sz w:val="24"/>
          <w:szCs w:val="24"/>
          <w:highlight w:val="none"/>
        </w:rPr>
      </w:pPr>
      <w:r>
        <w:rPr>
          <w:rFonts w:hint="eastAsia" w:ascii="宋体" w:hAnsi="宋体" w:eastAsia="宋体" w:cs="宋体"/>
          <w:b/>
          <w:bCs/>
          <w:sz w:val="24"/>
          <w:szCs w:val="24"/>
          <w:highlight w:val="none"/>
        </w:rPr>
        <w:t xml:space="preserve">  </w:t>
      </w:r>
      <w:r>
        <w:rPr>
          <w:rFonts w:hint="eastAsia" w:ascii="宋体" w:hAnsi="宋体" w:eastAsia="宋体" w:cs="宋体"/>
          <w:b/>
          <w:bCs/>
          <w:spacing w:val="-2"/>
          <w:sz w:val="24"/>
          <w:szCs w:val="24"/>
          <w:highlight w:val="none"/>
        </w:rPr>
        <w:t>2.提供的复印件不清晰、无法辨认或内容不符合规定，该项内容将视为无效。</w:t>
      </w:r>
    </w:p>
    <w:p>
      <w:pPr>
        <w:pStyle w:val="30"/>
        <w:keepNext w:val="0"/>
        <w:keepLines w:val="0"/>
        <w:pageBreakBefore w:val="0"/>
        <w:wordWrap/>
        <w:overflowPunct/>
        <w:topLinePunct w:val="0"/>
        <w:bidi w:val="0"/>
        <w:spacing w:line="480" w:lineRule="auto"/>
        <w:ind w:left="0" w:leftChars="0" w:firstLine="474" w:firstLineChars="200"/>
        <w:jc w:val="left"/>
        <w:rPr>
          <w:rFonts w:hint="eastAsia" w:ascii="宋体" w:hAnsi="宋体" w:eastAsia="宋体" w:cs="宋体"/>
          <w:b/>
          <w:bCs/>
          <w:spacing w:val="-2"/>
          <w:sz w:val="24"/>
          <w:szCs w:val="24"/>
          <w:highlight w:val="none"/>
        </w:rPr>
      </w:pPr>
      <w:r>
        <w:rPr>
          <w:rFonts w:hint="eastAsia" w:ascii="宋体" w:hAnsi="宋体" w:eastAsia="宋体" w:cs="宋体"/>
          <w:b/>
          <w:bCs/>
          <w:spacing w:val="-2"/>
          <w:sz w:val="24"/>
          <w:szCs w:val="24"/>
          <w:highlight w:val="none"/>
        </w:rPr>
        <w:t>3.资格审查的内容若有一项未提供或达不到检查标准，将导致其不具备投标资格，且不允许在开标后补正。投标人为国家机关、事业单位、团体组织或个人的，不提供资格证明文件中的第四项内容。</w:t>
      </w:r>
    </w:p>
    <w:p>
      <w:pPr>
        <w:pStyle w:val="30"/>
        <w:keepNext w:val="0"/>
        <w:keepLines w:val="0"/>
        <w:pageBreakBefore w:val="0"/>
        <w:wordWrap/>
        <w:overflowPunct/>
        <w:topLinePunct w:val="0"/>
        <w:bidi w:val="0"/>
        <w:spacing w:line="480" w:lineRule="auto"/>
        <w:ind w:left="0" w:leftChars="0" w:firstLine="474" w:firstLineChars="200"/>
        <w:jc w:val="left"/>
        <w:rPr>
          <w:rFonts w:ascii="宋体" w:hAnsi="宋体" w:cs="宋体"/>
          <w:sz w:val="32"/>
          <w:szCs w:val="32"/>
          <w:highlight w:val="none"/>
        </w:rPr>
      </w:pPr>
      <w:bookmarkStart w:id="381" w:name="_Toc9747"/>
      <w:bookmarkStart w:id="382" w:name="_Toc20553"/>
      <w:bookmarkStart w:id="383" w:name="_Toc25803"/>
      <w:r>
        <w:rPr>
          <w:rFonts w:hint="eastAsia" w:ascii="宋体" w:hAnsi="宋体" w:eastAsia="宋体" w:cs="宋体"/>
          <w:b/>
          <w:bCs/>
          <w:spacing w:val="-2"/>
          <w:sz w:val="24"/>
          <w:szCs w:val="24"/>
          <w:highlight w:val="none"/>
          <w:lang w:val="en-US" w:eastAsia="zh-CN"/>
        </w:rPr>
        <w:t>4</w:t>
      </w:r>
      <w:r>
        <w:rPr>
          <w:rFonts w:hint="eastAsia" w:ascii="宋体" w:hAnsi="宋体" w:eastAsia="宋体" w:cs="宋体"/>
          <w:b/>
          <w:bCs/>
          <w:spacing w:val="-2"/>
          <w:sz w:val="24"/>
          <w:szCs w:val="24"/>
          <w:highlight w:val="none"/>
        </w:rPr>
        <w:t>.本章中“投标截止日前”是指以投标截止日为起始时间倒推每一项相应要求的时间</w:t>
      </w:r>
      <w:bookmarkEnd w:id="381"/>
      <w:bookmarkEnd w:id="382"/>
      <w:bookmarkEnd w:id="383"/>
    </w:p>
    <w:p>
      <w:pPr>
        <w:rPr>
          <w:rFonts w:hint="eastAsia"/>
          <w:highlight w:val="none"/>
        </w:rPr>
      </w:pPr>
      <w:bookmarkStart w:id="384" w:name="_Toc13931"/>
      <w:bookmarkStart w:id="385" w:name="_Toc11027"/>
      <w:bookmarkStart w:id="386" w:name="_Toc7707"/>
    </w:p>
    <w:p>
      <w:pPr>
        <w:pStyle w:val="6"/>
        <w:rPr>
          <w:rFonts w:hint="eastAsia" w:ascii="宋体" w:hAnsi="宋体" w:cs="宋体"/>
          <w:sz w:val="32"/>
          <w:szCs w:val="32"/>
          <w:highlight w:val="none"/>
        </w:rPr>
      </w:pPr>
    </w:p>
    <w:p>
      <w:pPr>
        <w:pStyle w:val="6"/>
        <w:rPr>
          <w:rFonts w:ascii="宋体" w:hAnsi="宋体" w:cs="宋体"/>
          <w:sz w:val="32"/>
          <w:szCs w:val="32"/>
          <w:highlight w:val="none"/>
        </w:rPr>
      </w:pPr>
      <w:r>
        <w:rPr>
          <w:rFonts w:hint="eastAsia" w:ascii="宋体" w:hAnsi="宋体" w:cs="宋体"/>
          <w:sz w:val="32"/>
          <w:szCs w:val="32"/>
          <w:highlight w:val="none"/>
        </w:rPr>
        <w:t>第五章  评标办法</w:t>
      </w:r>
      <w:bookmarkEnd w:id="384"/>
      <w:bookmarkEnd w:id="385"/>
      <w:bookmarkEnd w:id="386"/>
    </w:p>
    <w:p>
      <w:pPr>
        <w:pStyle w:val="7"/>
        <w:jc w:val="left"/>
        <w:rPr>
          <w:rFonts w:ascii="宋体" w:hAnsi="宋体" w:cs="宋体"/>
          <w:sz w:val="24"/>
          <w:szCs w:val="24"/>
          <w:highlight w:val="none"/>
        </w:rPr>
      </w:pPr>
      <w:bookmarkStart w:id="387" w:name="_Toc18381"/>
      <w:bookmarkStart w:id="388" w:name="_Toc7841"/>
      <w:bookmarkStart w:id="389" w:name="_Toc8113"/>
      <w:bookmarkStart w:id="390" w:name="_Toc9369"/>
      <w:bookmarkStart w:id="391" w:name="_Toc10288"/>
      <w:bookmarkStart w:id="392" w:name="_Toc16048"/>
      <w:r>
        <w:rPr>
          <w:rFonts w:hint="eastAsia" w:ascii="宋体" w:hAnsi="宋体" w:cs="宋体"/>
          <w:sz w:val="24"/>
          <w:szCs w:val="24"/>
          <w:highlight w:val="none"/>
        </w:rPr>
        <w:t>1.总则</w:t>
      </w:r>
      <w:bookmarkEnd w:id="387"/>
      <w:bookmarkEnd w:id="388"/>
      <w:bookmarkEnd w:id="389"/>
      <w:bookmarkEnd w:id="390"/>
      <w:bookmarkEnd w:id="391"/>
      <w:bookmarkEnd w:id="392"/>
    </w:p>
    <w:p>
      <w:pPr>
        <w:spacing w:line="360" w:lineRule="auto"/>
        <w:rPr>
          <w:rFonts w:ascii="宋体" w:hAnsi="宋体" w:cs="宋体"/>
          <w:sz w:val="24"/>
          <w:highlight w:val="none"/>
        </w:rPr>
      </w:pPr>
      <w:r>
        <w:rPr>
          <w:rFonts w:hint="eastAsia" w:ascii="宋体" w:hAnsi="宋体" w:cs="宋体"/>
          <w:sz w:val="24"/>
          <w:highlight w:val="none"/>
        </w:rPr>
        <w:t>1.1根据《中华人民共和国</w:t>
      </w:r>
      <w:r>
        <w:rPr>
          <w:rFonts w:hint="eastAsia" w:ascii="宋体" w:hAnsi="宋体" w:cs="宋体"/>
          <w:sz w:val="24"/>
          <w:highlight w:val="none"/>
          <w:lang w:eastAsia="zh-CN"/>
        </w:rPr>
        <w:t>采购</w:t>
      </w:r>
      <w:r>
        <w:rPr>
          <w:rFonts w:hint="eastAsia" w:ascii="宋体" w:hAnsi="宋体" w:cs="宋体"/>
          <w:sz w:val="24"/>
          <w:highlight w:val="none"/>
        </w:rPr>
        <w:t>法》和《</w:t>
      </w:r>
      <w:r>
        <w:rPr>
          <w:rFonts w:hint="eastAsia" w:ascii="宋体" w:hAnsi="宋体" w:cs="宋体"/>
          <w:sz w:val="24"/>
          <w:highlight w:val="none"/>
          <w:lang w:eastAsia="zh-CN"/>
        </w:rPr>
        <w:t>采购</w:t>
      </w:r>
      <w:r>
        <w:rPr>
          <w:rFonts w:hint="eastAsia" w:ascii="宋体" w:hAnsi="宋体" w:cs="宋体"/>
          <w:sz w:val="24"/>
          <w:highlight w:val="none"/>
        </w:rPr>
        <w:t>货物和服务招标投标管理办法》（财政部第87号令）等法律规章，结合采购项目特点制定本评标办法。</w:t>
      </w:r>
    </w:p>
    <w:p>
      <w:pPr>
        <w:spacing w:line="360" w:lineRule="auto"/>
        <w:rPr>
          <w:rFonts w:ascii="宋体" w:hAnsi="宋体" w:cs="宋体"/>
          <w:sz w:val="24"/>
          <w:highlight w:val="none"/>
        </w:rPr>
      </w:pPr>
      <w:r>
        <w:rPr>
          <w:rFonts w:hint="eastAsia" w:ascii="宋体" w:hAnsi="宋体" w:cs="宋体"/>
          <w:sz w:val="24"/>
          <w:highlight w:val="none"/>
        </w:rPr>
        <w:t>1.2</w:t>
      </w:r>
      <w:r>
        <w:rPr>
          <w:rFonts w:hint="eastAsia" w:ascii="宋体" w:hAnsi="宋体" w:cs="宋体"/>
          <w:bCs/>
          <w:sz w:val="24"/>
          <w:highlight w:val="none"/>
        </w:rPr>
        <w:t>评标工作由</w:t>
      </w:r>
      <w:r>
        <w:rPr>
          <w:rFonts w:hint="eastAsia" w:ascii="宋体" w:hAnsi="宋体" w:cs="宋体"/>
          <w:bCs/>
          <w:sz w:val="24"/>
          <w:highlight w:val="none"/>
          <w:lang w:eastAsia="zh-CN"/>
        </w:rPr>
        <w:t>采购人</w:t>
      </w:r>
      <w:r>
        <w:rPr>
          <w:rFonts w:hint="eastAsia" w:ascii="宋体" w:hAnsi="宋体" w:cs="宋体"/>
          <w:bCs/>
          <w:sz w:val="24"/>
          <w:highlight w:val="none"/>
        </w:rPr>
        <w:t>负责组织，具体评标事务由</w:t>
      </w:r>
      <w:r>
        <w:rPr>
          <w:rFonts w:hint="eastAsia" w:ascii="宋体" w:hAnsi="宋体" w:cs="宋体"/>
          <w:bCs/>
          <w:sz w:val="24"/>
          <w:highlight w:val="none"/>
          <w:lang w:eastAsia="zh-CN"/>
        </w:rPr>
        <w:t>采购人</w:t>
      </w:r>
      <w:r>
        <w:rPr>
          <w:rFonts w:hint="eastAsia" w:ascii="宋体" w:hAnsi="宋体" w:cs="宋体"/>
          <w:bCs/>
          <w:sz w:val="24"/>
          <w:highlight w:val="none"/>
        </w:rPr>
        <w:t>依法组建的评标委员会负责。评标委员会由采购人代表和有关技术、经济等方面的专家组成。</w:t>
      </w:r>
    </w:p>
    <w:p>
      <w:pPr>
        <w:spacing w:line="360" w:lineRule="auto"/>
        <w:rPr>
          <w:rFonts w:ascii="宋体" w:hAnsi="宋体" w:cs="宋体"/>
          <w:sz w:val="24"/>
          <w:highlight w:val="none"/>
        </w:rPr>
      </w:pPr>
      <w:r>
        <w:rPr>
          <w:rFonts w:hint="eastAsia" w:ascii="宋体" w:hAnsi="宋体" w:cs="宋体"/>
          <w:sz w:val="24"/>
          <w:highlight w:val="none"/>
        </w:rPr>
        <w:t>1.3评标工作应遵循公平、公正、科学及择优的原则，并以相同的评标程序和标准对待所有的投标人。</w:t>
      </w:r>
    </w:p>
    <w:p>
      <w:pPr>
        <w:pStyle w:val="30"/>
        <w:ind w:left="0" w:leftChars="0"/>
        <w:rPr>
          <w:highlight w:val="none"/>
        </w:rPr>
      </w:pPr>
      <w:r>
        <w:rPr>
          <w:rFonts w:hint="eastAsia" w:ascii="宋体" w:hAnsi="宋体" w:cs="宋体"/>
          <w:sz w:val="24"/>
          <w:highlight w:val="none"/>
        </w:rPr>
        <w:t>1.4评标方法（见投标人须知前附表）</w:t>
      </w:r>
    </w:p>
    <w:p>
      <w:pPr>
        <w:pStyle w:val="7"/>
        <w:jc w:val="left"/>
        <w:rPr>
          <w:rFonts w:ascii="宋体" w:hAnsi="宋体" w:cs="宋体"/>
          <w:sz w:val="24"/>
          <w:highlight w:val="none"/>
        </w:rPr>
      </w:pPr>
      <w:bookmarkStart w:id="393" w:name="_Toc31035"/>
      <w:bookmarkStart w:id="394" w:name="_Toc217446098"/>
      <w:bookmarkStart w:id="395" w:name="_Toc11058"/>
      <w:bookmarkStart w:id="396" w:name="_Toc31333"/>
      <w:bookmarkStart w:id="397" w:name="_Toc31956"/>
      <w:bookmarkStart w:id="398" w:name="_Toc28788"/>
      <w:bookmarkStart w:id="399" w:name="_Toc31284"/>
      <w:r>
        <w:rPr>
          <w:rFonts w:hint="eastAsia" w:ascii="宋体" w:hAnsi="宋体" w:cs="宋体"/>
          <w:sz w:val="24"/>
          <w:szCs w:val="24"/>
          <w:highlight w:val="none"/>
        </w:rPr>
        <w:t>2.评标程序</w:t>
      </w:r>
      <w:bookmarkEnd w:id="393"/>
      <w:bookmarkEnd w:id="394"/>
      <w:bookmarkEnd w:id="395"/>
      <w:r>
        <w:rPr>
          <w:rFonts w:hint="eastAsia" w:ascii="宋体" w:hAnsi="宋体" w:cs="宋体"/>
          <w:sz w:val="24"/>
          <w:szCs w:val="24"/>
          <w:highlight w:val="none"/>
        </w:rPr>
        <w:t>：</w:t>
      </w:r>
      <w:r>
        <w:rPr>
          <w:rFonts w:hint="eastAsia" w:ascii="宋体" w:hAnsi="宋体" w:cs="宋体"/>
          <w:sz w:val="24"/>
          <w:highlight w:val="none"/>
        </w:rPr>
        <w:t>对资格审查合格的投标人，由评标委员会按以下程序进行。</w:t>
      </w:r>
      <w:bookmarkEnd w:id="396"/>
      <w:bookmarkEnd w:id="397"/>
      <w:bookmarkEnd w:id="398"/>
      <w:bookmarkEnd w:id="399"/>
    </w:p>
    <w:p>
      <w:pPr>
        <w:pStyle w:val="30"/>
        <w:spacing w:line="360" w:lineRule="auto"/>
        <w:ind w:left="0" w:leftChars="0"/>
        <w:rPr>
          <w:rFonts w:ascii="宋体" w:hAnsi="宋体" w:cs="宋体"/>
          <w:b/>
          <w:bCs/>
          <w:sz w:val="24"/>
          <w:highlight w:val="none"/>
        </w:rPr>
      </w:pPr>
      <w:r>
        <w:rPr>
          <w:rFonts w:hint="eastAsia" w:ascii="宋体" w:hAnsi="宋体" w:cs="宋体"/>
          <w:b/>
          <w:bCs/>
          <w:sz w:val="24"/>
          <w:highlight w:val="none"/>
        </w:rPr>
        <w:t>（1）符合性审查（投标人有以下任何一项不满足，则视为无效投标）；</w:t>
      </w:r>
    </w:p>
    <w:tbl>
      <w:tblPr>
        <w:tblStyle w:val="37"/>
        <w:tblW w:w="5009"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0" w:type="dxa"/>
          <w:bottom w:w="0" w:type="dxa"/>
          <w:right w:w="0" w:type="dxa"/>
        </w:tblCellMar>
      </w:tblPr>
      <w:tblGrid>
        <w:gridCol w:w="799"/>
        <w:gridCol w:w="3407"/>
        <w:gridCol w:w="517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 w:hRule="atLeast"/>
        </w:trPr>
        <w:tc>
          <w:tcPr>
            <w:tcW w:w="426" w:type="pct"/>
            <w:vAlign w:val="center"/>
          </w:tcPr>
          <w:p>
            <w:pPr>
              <w:pStyle w:val="223"/>
              <w:spacing w:before="145" w:line="360" w:lineRule="auto"/>
              <w:ind w:left="109" w:right="101"/>
              <w:jc w:val="center"/>
              <w:rPr>
                <w:color w:val="000000"/>
                <w:sz w:val="24"/>
                <w:highlight w:val="none"/>
              </w:rPr>
            </w:pPr>
            <w:r>
              <w:rPr>
                <w:rFonts w:hint="eastAsia"/>
                <w:color w:val="000000"/>
                <w:sz w:val="24"/>
                <w:highlight w:val="none"/>
              </w:rPr>
              <w:t>序号</w:t>
            </w:r>
          </w:p>
        </w:tc>
        <w:tc>
          <w:tcPr>
            <w:tcW w:w="1815" w:type="pct"/>
            <w:vAlign w:val="center"/>
          </w:tcPr>
          <w:p>
            <w:pPr>
              <w:pStyle w:val="223"/>
              <w:spacing w:before="145" w:line="360" w:lineRule="auto"/>
              <w:ind w:left="41" w:right="34"/>
              <w:jc w:val="center"/>
              <w:rPr>
                <w:color w:val="000000"/>
                <w:sz w:val="24"/>
                <w:highlight w:val="none"/>
              </w:rPr>
            </w:pPr>
            <w:r>
              <w:rPr>
                <w:rFonts w:hint="eastAsia"/>
                <w:color w:val="000000"/>
                <w:sz w:val="24"/>
                <w:highlight w:val="none"/>
              </w:rPr>
              <w:t>内容</w:t>
            </w:r>
          </w:p>
        </w:tc>
        <w:tc>
          <w:tcPr>
            <w:tcW w:w="2757" w:type="pct"/>
            <w:vAlign w:val="center"/>
          </w:tcPr>
          <w:p>
            <w:pPr>
              <w:pStyle w:val="223"/>
              <w:spacing w:before="145" w:line="360" w:lineRule="auto"/>
              <w:ind w:left="2110" w:right="2103"/>
              <w:jc w:val="center"/>
              <w:rPr>
                <w:color w:val="000000"/>
                <w:sz w:val="24"/>
                <w:highlight w:val="none"/>
              </w:rPr>
            </w:pPr>
            <w:r>
              <w:rPr>
                <w:rFonts w:hint="eastAsia"/>
                <w:color w:val="000000"/>
                <w:sz w:val="24"/>
                <w:highlight w:val="none"/>
              </w:rPr>
              <w:t>标准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 w:hRule="atLeast"/>
        </w:trPr>
        <w:tc>
          <w:tcPr>
            <w:tcW w:w="426" w:type="pct"/>
            <w:vAlign w:val="center"/>
          </w:tcPr>
          <w:p>
            <w:pPr>
              <w:pStyle w:val="223"/>
              <w:spacing w:before="197" w:line="360" w:lineRule="auto"/>
              <w:ind w:left="8"/>
              <w:jc w:val="center"/>
              <w:rPr>
                <w:rFonts w:hint="eastAsia" w:eastAsia="宋体"/>
                <w:color w:val="000000"/>
                <w:sz w:val="24"/>
                <w:highlight w:val="none"/>
                <w:lang w:eastAsia="zh-CN"/>
              </w:rPr>
            </w:pPr>
            <w:r>
              <w:rPr>
                <w:rFonts w:hint="eastAsia"/>
                <w:color w:val="000000"/>
                <w:sz w:val="24"/>
                <w:highlight w:val="none"/>
                <w:lang w:val="en-US" w:eastAsia="zh-CN"/>
              </w:rPr>
              <w:t>1</w:t>
            </w:r>
          </w:p>
        </w:tc>
        <w:tc>
          <w:tcPr>
            <w:tcW w:w="1815" w:type="pct"/>
            <w:vAlign w:val="center"/>
          </w:tcPr>
          <w:p>
            <w:pPr>
              <w:pStyle w:val="223"/>
              <w:spacing w:before="145" w:line="360" w:lineRule="auto"/>
              <w:ind w:left="109" w:leftChars="0" w:right="101" w:rightChars="0"/>
              <w:jc w:val="center"/>
              <w:rPr>
                <w:color w:val="000000"/>
                <w:sz w:val="24"/>
                <w:highlight w:val="none"/>
              </w:rPr>
            </w:pPr>
            <w:r>
              <w:rPr>
                <w:rFonts w:hint="eastAsia"/>
                <w:color w:val="auto"/>
                <w:sz w:val="24"/>
                <w:highlight w:val="none"/>
              </w:rPr>
              <w:t>采购预算或最高限价</w:t>
            </w:r>
          </w:p>
        </w:tc>
        <w:tc>
          <w:tcPr>
            <w:tcW w:w="2757" w:type="pct"/>
            <w:vAlign w:val="center"/>
          </w:tcPr>
          <w:p>
            <w:pPr>
              <w:pStyle w:val="223"/>
              <w:spacing w:before="145" w:line="360" w:lineRule="auto"/>
              <w:ind w:left="109" w:leftChars="0" w:right="101" w:rightChars="0"/>
              <w:jc w:val="center"/>
              <w:rPr>
                <w:color w:val="000000"/>
                <w:sz w:val="24"/>
                <w:highlight w:val="none"/>
              </w:rPr>
            </w:pPr>
            <w:r>
              <w:rPr>
                <w:rFonts w:hint="eastAsia"/>
                <w:color w:val="auto"/>
                <w:sz w:val="24"/>
                <w:highlight w:val="none"/>
              </w:rPr>
              <w:t>报价不得超过招标文件中规定的预算金额或者最高限价的</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 w:hRule="atLeast"/>
        </w:trPr>
        <w:tc>
          <w:tcPr>
            <w:tcW w:w="426" w:type="pct"/>
            <w:vAlign w:val="center"/>
          </w:tcPr>
          <w:p>
            <w:pPr>
              <w:pStyle w:val="223"/>
              <w:spacing w:line="360" w:lineRule="auto"/>
              <w:ind w:left="8"/>
              <w:jc w:val="center"/>
              <w:rPr>
                <w:rFonts w:hint="eastAsia" w:eastAsia="宋体"/>
                <w:color w:val="000000"/>
                <w:sz w:val="24"/>
                <w:highlight w:val="none"/>
                <w:lang w:eastAsia="zh-CN"/>
              </w:rPr>
            </w:pPr>
            <w:r>
              <w:rPr>
                <w:rFonts w:hint="eastAsia"/>
                <w:color w:val="000000"/>
                <w:sz w:val="24"/>
                <w:highlight w:val="none"/>
                <w:lang w:val="en-US" w:eastAsia="zh-CN"/>
              </w:rPr>
              <w:t>2</w:t>
            </w:r>
          </w:p>
        </w:tc>
        <w:tc>
          <w:tcPr>
            <w:tcW w:w="1815" w:type="pct"/>
            <w:vAlign w:val="center"/>
          </w:tcPr>
          <w:p>
            <w:pPr>
              <w:pStyle w:val="223"/>
              <w:spacing w:before="145" w:line="360" w:lineRule="auto"/>
              <w:ind w:left="109" w:leftChars="0" w:right="101" w:rightChars="0"/>
              <w:jc w:val="center"/>
              <w:rPr>
                <w:color w:val="000000"/>
                <w:sz w:val="24"/>
                <w:highlight w:val="none"/>
              </w:rPr>
            </w:pPr>
            <w:r>
              <w:rPr>
                <w:rFonts w:hint="eastAsia"/>
                <w:color w:val="auto"/>
                <w:sz w:val="24"/>
                <w:highlight w:val="none"/>
              </w:rPr>
              <w:t>投标文件的签署、盖章的</w:t>
            </w:r>
          </w:p>
        </w:tc>
        <w:tc>
          <w:tcPr>
            <w:tcW w:w="2757" w:type="pct"/>
            <w:vAlign w:val="center"/>
          </w:tcPr>
          <w:p>
            <w:pPr>
              <w:pStyle w:val="223"/>
              <w:spacing w:before="145" w:line="360" w:lineRule="auto"/>
              <w:ind w:left="109" w:leftChars="0" w:right="101" w:rightChars="0"/>
              <w:jc w:val="center"/>
              <w:rPr>
                <w:color w:val="000000"/>
                <w:sz w:val="24"/>
                <w:highlight w:val="none"/>
              </w:rPr>
            </w:pPr>
            <w:r>
              <w:rPr>
                <w:rFonts w:hint="eastAsia"/>
                <w:color w:val="auto"/>
                <w:sz w:val="24"/>
                <w:highlight w:val="none"/>
              </w:rPr>
              <w:t>投标文件严格按照招标文件要求签署、盖章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 w:hRule="atLeast"/>
        </w:trPr>
        <w:tc>
          <w:tcPr>
            <w:tcW w:w="426" w:type="pct"/>
            <w:vAlign w:val="center"/>
          </w:tcPr>
          <w:p>
            <w:pPr>
              <w:pStyle w:val="223"/>
              <w:spacing w:line="360" w:lineRule="auto"/>
              <w:ind w:left="8"/>
              <w:jc w:val="center"/>
              <w:rPr>
                <w:rFonts w:hint="default" w:eastAsia="宋体"/>
                <w:color w:val="000000"/>
                <w:sz w:val="24"/>
                <w:highlight w:val="none"/>
                <w:lang w:val="en-US" w:eastAsia="zh-CN"/>
              </w:rPr>
            </w:pPr>
            <w:r>
              <w:rPr>
                <w:rFonts w:hint="eastAsia"/>
                <w:color w:val="000000"/>
                <w:sz w:val="24"/>
                <w:highlight w:val="none"/>
                <w:lang w:val="en-US" w:eastAsia="zh-CN"/>
              </w:rPr>
              <w:t>3</w:t>
            </w:r>
          </w:p>
        </w:tc>
        <w:tc>
          <w:tcPr>
            <w:tcW w:w="1815" w:type="pct"/>
            <w:vAlign w:val="center"/>
          </w:tcPr>
          <w:p>
            <w:pPr>
              <w:pStyle w:val="223"/>
              <w:spacing w:before="145" w:line="360" w:lineRule="auto"/>
              <w:ind w:left="109" w:leftChars="0" w:right="101" w:rightChars="0"/>
              <w:jc w:val="center"/>
              <w:rPr>
                <w:color w:val="000000"/>
                <w:sz w:val="24"/>
                <w:highlight w:val="none"/>
              </w:rPr>
            </w:pPr>
            <w:r>
              <w:rPr>
                <w:rFonts w:hint="eastAsia"/>
                <w:color w:val="auto"/>
                <w:sz w:val="24"/>
                <w:highlight w:val="none"/>
              </w:rPr>
              <w:t>投标有效期</w:t>
            </w:r>
          </w:p>
        </w:tc>
        <w:tc>
          <w:tcPr>
            <w:tcW w:w="2757" w:type="pct"/>
            <w:vAlign w:val="center"/>
          </w:tcPr>
          <w:p>
            <w:pPr>
              <w:pStyle w:val="223"/>
              <w:spacing w:before="145" w:line="360" w:lineRule="auto"/>
              <w:ind w:left="109" w:leftChars="0" w:right="101" w:rightChars="0"/>
              <w:jc w:val="center"/>
              <w:rPr>
                <w:color w:val="000000"/>
                <w:sz w:val="24"/>
                <w:highlight w:val="none"/>
              </w:rPr>
            </w:pPr>
            <w:r>
              <w:rPr>
                <w:rFonts w:hint="eastAsia"/>
                <w:color w:val="auto"/>
                <w:sz w:val="24"/>
                <w:highlight w:val="none"/>
              </w:rPr>
              <w:t>投标有效期完全响应招标文件的要求</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 w:hRule="atLeast"/>
        </w:trPr>
        <w:tc>
          <w:tcPr>
            <w:tcW w:w="426" w:type="pct"/>
            <w:vAlign w:val="center"/>
          </w:tcPr>
          <w:p>
            <w:pPr>
              <w:pStyle w:val="223"/>
              <w:spacing w:line="360" w:lineRule="auto"/>
              <w:ind w:left="8"/>
              <w:jc w:val="center"/>
              <w:rPr>
                <w:rFonts w:hint="eastAsia" w:eastAsia="宋体"/>
                <w:color w:val="000000"/>
                <w:sz w:val="24"/>
                <w:highlight w:val="none"/>
                <w:lang w:eastAsia="zh-CN"/>
              </w:rPr>
            </w:pPr>
            <w:r>
              <w:rPr>
                <w:rFonts w:hint="eastAsia"/>
                <w:color w:val="000000"/>
                <w:sz w:val="24"/>
                <w:highlight w:val="none"/>
                <w:lang w:val="en-US" w:eastAsia="zh-CN"/>
              </w:rPr>
              <w:t>4</w:t>
            </w:r>
          </w:p>
        </w:tc>
        <w:tc>
          <w:tcPr>
            <w:tcW w:w="1815" w:type="pct"/>
            <w:vAlign w:val="center"/>
          </w:tcPr>
          <w:p>
            <w:pPr>
              <w:pStyle w:val="223"/>
              <w:spacing w:before="145" w:line="360" w:lineRule="auto"/>
              <w:ind w:left="109" w:leftChars="0" w:right="101" w:rightChars="0"/>
              <w:jc w:val="center"/>
              <w:rPr>
                <w:rFonts w:hint="eastAsia" w:eastAsia="宋体"/>
                <w:color w:val="000000"/>
                <w:sz w:val="24"/>
                <w:highlight w:val="none"/>
                <w:lang w:eastAsia="zh-CN"/>
              </w:rPr>
            </w:pPr>
            <w:r>
              <w:rPr>
                <w:rFonts w:hint="eastAsia"/>
                <w:color w:val="auto"/>
                <w:sz w:val="24"/>
                <w:highlight w:val="none"/>
              </w:rPr>
              <w:t>交货期</w:t>
            </w:r>
          </w:p>
        </w:tc>
        <w:tc>
          <w:tcPr>
            <w:tcW w:w="2757" w:type="pct"/>
            <w:vAlign w:val="center"/>
          </w:tcPr>
          <w:p>
            <w:pPr>
              <w:pStyle w:val="223"/>
              <w:spacing w:before="145" w:line="360" w:lineRule="auto"/>
              <w:ind w:left="109" w:leftChars="0" w:right="101" w:rightChars="0"/>
              <w:jc w:val="center"/>
              <w:rPr>
                <w:color w:val="000000"/>
                <w:sz w:val="24"/>
                <w:highlight w:val="none"/>
              </w:rPr>
            </w:pPr>
            <w:r>
              <w:rPr>
                <w:rFonts w:hint="eastAsia"/>
                <w:color w:val="auto"/>
                <w:sz w:val="24"/>
                <w:highlight w:val="none"/>
              </w:rPr>
              <w:t>交货期完全响应招标文件的要求；</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 w:hRule="atLeast"/>
        </w:trPr>
        <w:tc>
          <w:tcPr>
            <w:tcW w:w="426" w:type="pct"/>
            <w:vAlign w:val="center"/>
          </w:tcPr>
          <w:p>
            <w:pPr>
              <w:pStyle w:val="223"/>
              <w:spacing w:line="360" w:lineRule="auto"/>
              <w:ind w:left="8"/>
              <w:jc w:val="center"/>
              <w:rPr>
                <w:rFonts w:hint="eastAsia" w:eastAsia="宋体"/>
                <w:color w:val="000000"/>
                <w:sz w:val="24"/>
                <w:highlight w:val="none"/>
                <w:lang w:eastAsia="zh-CN"/>
              </w:rPr>
            </w:pPr>
            <w:r>
              <w:rPr>
                <w:rFonts w:hint="eastAsia"/>
                <w:color w:val="000000"/>
                <w:sz w:val="24"/>
                <w:highlight w:val="none"/>
                <w:lang w:val="en-US" w:eastAsia="zh-CN"/>
              </w:rPr>
              <w:t>5</w:t>
            </w:r>
          </w:p>
        </w:tc>
        <w:tc>
          <w:tcPr>
            <w:tcW w:w="1815" w:type="pct"/>
            <w:vAlign w:val="center"/>
          </w:tcPr>
          <w:p>
            <w:pPr>
              <w:pStyle w:val="223"/>
              <w:spacing w:before="145" w:line="360" w:lineRule="auto"/>
              <w:ind w:left="109" w:leftChars="0" w:right="101" w:rightChars="0"/>
              <w:jc w:val="center"/>
              <w:rPr>
                <w:color w:val="000000"/>
                <w:sz w:val="24"/>
                <w:highlight w:val="none"/>
              </w:rPr>
            </w:pPr>
            <w:r>
              <w:rPr>
                <w:rFonts w:hint="eastAsia" w:cs="宋体"/>
                <w:color w:val="auto"/>
                <w:sz w:val="24"/>
                <w:highlight w:val="none"/>
                <w:lang w:eastAsia="zh-CN"/>
              </w:rPr>
              <w:t>付款方式</w:t>
            </w:r>
          </w:p>
        </w:tc>
        <w:tc>
          <w:tcPr>
            <w:tcW w:w="2757" w:type="pct"/>
            <w:vAlign w:val="center"/>
          </w:tcPr>
          <w:p>
            <w:pPr>
              <w:pStyle w:val="223"/>
              <w:spacing w:before="145" w:line="360" w:lineRule="auto"/>
              <w:ind w:left="109" w:leftChars="0" w:right="101" w:rightChars="0"/>
              <w:jc w:val="center"/>
              <w:rPr>
                <w:color w:val="000000"/>
                <w:sz w:val="24"/>
                <w:highlight w:val="none"/>
              </w:rPr>
            </w:pPr>
            <w:r>
              <w:rPr>
                <w:rFonts w:hint="eastAsia" w:cs="宋体"/>
                <w:color w:val="auto"/>
                <w:sz w:val="24"/>
                <w:highlight w:val="none"/>
                <w:lang w:eastAsia="zh-CN"/>
              </w:rPr>
              <w:t>付款方式</w:t>
            </w:r>
            <w:r>
              <w:rPr>
                <w:rFonts w:hint="eastAsia" w:cs="宋体"/>
                <w:color w:val="auto"/>
                <w:sz w:val="24"/>
                <w:highlight w:val="none"/>
                <w:lang w:val="en-US" w:eastAsia="zh-CN"/>
              </w:rPr>
              <w:t>完全</w:t>
            </w:r>
            <w:r>
              <w:rPr>
                <w:rFonts w:hint="eastAsia" w:ascii="宋体" w:hAnsi="宋体" w:eastAsia="宋体" w:cs="宋体"/>
                <w:color w:val="auto"/>
                <w:sz w:val="24"/>
                <w:highlight w:val="none"/>
              </w:rPr>
              <w:t>响应招标文件的要求；</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 w:hRule="atLeast"/>
        </w:trPr>
        <w:tc>
          <w:tcPr>
            <w:tcW w:w="426" w:type="pct"/>
            <w:vAlign w:val="center"/>
          </w:tcPr>
          <w:p>
            <w:pPr>
              <w:pStyle w:val="223"/>
              <w:spacing w:line="360" w:lineRule="auto"/>
              <w:ind w:left="8"/>
              <w:jc w:val="center"/>
              <w:rPr>
                <w:rFonts w:hint="eastAsia" w:eastAsia="宋体"/>
                <w:color w:val="000000"/>
                <w:sz w:val="24"/>
                <w:highlight w:val="none"/>
                <w:lang w:eastAsia="zh-CN"/>
              </w:rPr>
            </w:pPr>
            <w:r>
              <w:rPr>
                <w:rFonts w:hint="eastAsia"/>
                <w:color w:val="000000"/>
                <w:sz w:val="24"/>
                <w:highlight w:val="none"/>
                <w:lang w:val="en-US" w:eastAsia="zh-CN"/>
              </w:rPr>
              <w:t>6</w:t>
            </w:r>
          </w:p>
        </w:tc>
        <w:tc>
          <w:tcPr>
            <w:tcW w:w="1815" w:type="pct"/>
            <w:vAlign w:val="center"/>
          </w:tcPr>
          <w:p>
            <w:pPr>
              <w:pStyle w:val="223"/>
              <w:spacing w:before="145" w:line="360" w:lineRule="auto"/>
              <w:ind w:left="109" w:leftChars="0" w:right="101" w:rightChars="0"/>
              <w:jc w:val="center"/>
              <w:rPr>
                <w:color w:val="000000"/>
                <w:sz w:val="24"/>
                <w:highlight w:val="none"/>
              </w:rPr>
            </w:pPr>
            <w:r>
              <w:rPr>
                <w:rFonts w:hint="eastAsia" w:cs="宋体"/>
                <w:color w:val="auto"/>
                <w:sz w:val="24"/>
                <w:highlight w:val="none"/>
                <w:lang w:val="en-US" w:eastAsia="zh-CN"/>
              </w:rPr>
              <w:t>质保期</w:t>
            </w:r>
          </w:p>
        </w:tc>
        <w:tc>
          <w:tcPr>
            <w:tcW w:w="2757" w:type="pct"/>
            <w:vAlign w:val="center"/>
          </w:tcPr>
          <w:p>
            <w:pPr>
              <w:pStyle w:val="223"/>
              <w:spacing w:before="145" w:line="360" w:lineRule="auto"/>
              <w:ind w:left="109" w:leftChars="0" w:right="101" w:rightChars="0"/>
              <w:jc w:val="center"/>
              <w:rPr>
                <w:color w:val="000000"/>
                <w:sz w:val="24"/>
                <w:highlight w:val="none"/>
              </w:rPr>
            </w:pPr>
            <w:r>
              <w:rPr>
                <w:rFonts w:hint="eastAsia" w:cs="宋体"/>
                <w:color w:val="auto"/>
                <w:sz w:val="24"/>
                <w:highlight w:val="none"/>
                <w:lang w:val="en-US" w:eastAsia="zh-CN"/>
              </w:rPr>
              <w:t>质保期完全</w:t>
            </w:r>
            <w:r>
              <w:rPr>
                <w:rFonts w:hint="eastAsia" w:ascii="宋体" w:hAnsi="宋体" w:eastAsia="宋体" w:cs="宋体"/>
                <w:color w:val="auto"/>
                <w:sz w:val="24"/>
                <w:highlight w:val="none"/>
              </w:rPr>
              <w:t>响应招标文件的要求；</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 w:hRule="atLeast"/>
        </w:trPr>
        <w:tc>
          <w:tcPr>
            <w:tcW w:w="426" w:type="pct"/>
            <w:vAlign w:val="center"/>
          </w:tcPr>
          <w:p>
            <w:pPr>
              <w:pStyle w:val="223"/>
              <w:spacing w:line="360" w:lineRule="auto"/>
              <w:ind w:left="8"/>
              <w:jc w:val="center"/>
              <w:rPr>
                <w:rFonts w:hint="default"/>
                <w:color w:val="000000"/>
                <w:sz w:val="24"/>
                <w:highlight w:val="none"/>
                <w:lang w:val="en-US" w:eastAsia="zh-CN"/>
              </w:rPr>
            </w:pPr>
            <w:r>
              <w:rPr>
                <w:rFonts w:hint="eastAsia"/>
                <w:color w:val="000000"/>
                <w:sz w:val="24"/>
                <w:highlight w:val="none"/>
                <w:lang w:val="en-US" w:eastAsia="zh-CN"/>
              </w:rPr>
              <w:t>7</w:t>
            </w:r>
          </w:p>
        </w:tc>
        <w:tc>
          <w:tcPr>
            <w:tcW w:w="1815" w:type="pct"/>
            <w:vAlign w:val="center"/>
          </w:tcPr>
          <w:p>
            <w:pPr>
              <w:pStyle w:val="223"/>
              <w:spacing w:before="145" w:line="360" w:lineRule="auto"/>
              <w:ind w:left="109" w:leftChars="0" w:right="101" w:rightChars="0"/>
              <w:jc w:val="center"/>
              <w:rPr>
                <w:rFonts w:hint="eastAsia" w:cs="宋体"/>
                <w:color w:val="auto"/>
                <w:sz w:val="24"/>
                <w:highlight w:val="none"/>
                <w:lang w:val="en-US" w:eastAsia="zh-CN"/>
              </w:rPr>
            </w:pPr>
            <w:r>
              <w:rPr>
                <w:rFonts w:hint="eastAsia" w:ascii="宋体" w:hAnsi="宋体" w:eastAsia="宋体" w:cs="宋体"/>
                <w:sz w:val="24"/>
                <w:highlight w:val="none"/>
              </w:rPr>
              <w:t>法律、法规和招标文件规定的其他无效情形</w:t>
            </w:r>
          </w:p>
        </w:tc>
        <w:tc>
          <w:tcPr>
            <w:tcW w:w="2757" w:type="pct"/>
            <w:vAlign w:val="center"/>
          </w:tcPr>
          <w:p>
            <w:pPr>
              <w:pStyle w:val="223"/>
              <w:spacing w:before="145" w:line="360" w:lineRule="auto"/>
              <w:ind w:left="109" w:leftChars="0" w:right="101" w:rightChars="0"/>
              <w:jc w:val="center"/>
              <w:rPr>
                <w:rFonts w:hint="eastAsia" w:cs="宋体"/>
                <w:color w:val="auto"/>
                <w:sz w:val="24"/>
                <w:highlight w:val="none"/>
                <w:lang w:val="en-US" w:eastAsia="zh-CN"/>
              </w:rPr>
            </w:pPr>
            <w:r>
              <w:rPr>
                <w:rFonts w:hint="eastAsia" w:cs="宋体"/>
                <w:sz w:val="24"/>
                <w:highlight w:val="none"/>
                <w:lang w:val="en-US" w:eastAsia="zh-CN"/>
              </w:rPr>
              <w:t>不</w:t>
            </w:r>
            <w:r>
              <w:rPr>
                <w:rFonts w:hint="eastAsia" w:ascii="宋体" w:hAnsi="宋体" w:eastAsia="宋体" w:cs="宋体"/>
                <w:sz w:val="24"/>
                <w:highlight w:val="none"/>
              </w:rPr>
              <w:t>存在法律、法规和招标文件规定的其他无效情形。</w:t>
            </w:r>
          </w:p>
        </w:tc>
      </w:tr>
    </w:tbl>
    <w:p>
      <w:pPr>
        <w:spacing w:line="360" w:lineRule="auto"/>
        <w:ind w:firstLine="480" w:firstLineChars="200"/>
        <w:rPr>
          <w:rFonts w:ascii="宋体" w:hAnsi="宋体" w:cs="宋体"/>
          <w:sz w:val="24"/>
          <w:highlight w:val="none"/>
        </w:rPr>
      </w:pPr>
      <w:r>
        <w:rPr>
          <w:rFonts w:hint="eastAsia" w:ascii="宋体" w:hAnsi="宋体" w:cs="宋体"/>
          <w:sz w:val="24"/>
          <w:highlight w:val="none"/>
        </w:rPr>
        <w:t>（2）澄清有关问题；</w:t>
      </w:r>
    </w:p>
    <w:p>
      <w:pPr>
        <w:spacing w:line="360" w:lineRule="auto"/>
        <w:ind w:firstLine="480" w:firstLineChars="200"/>
        <w:rPr>
          <w:rFonts w:ascii="宋体" w:hAnsi="宋体" w:cs="宋体"/>
          <w:sz w:val="24"/>
          <w:highlight w:val="none"/>
        </w:rPr>
      </w:pPr>
      <w:r>
        <w:rPr>
          <w:rFonts w:hint="eastAsia" w:ascii="宋体" w:hAnsi="宋体" w:cs="宋体"/>
          <w:sz w:val="24"/>
          <w:highlight w:val="none"/>
        </w:rPr>
        <w:t>（3）综合评分或价格比较； 采用综合评分法的按照以下评分明细表进行评分。</w:t>
      </w:r>
    </w:p>
    <w:p>
      <w:pPr>
        <w:spacing w:line="360" w:lineRule="auto"/>
        <w:ind w:firstLine="480" w:firstLineChars="200"/>
        <w:rPr>
          <w:rFonts w:ascii="宋体" w:hAnsi="宋体" w:cs="宋体"/>
          <w:sz w:val="24"/>
          <w:highlight w:val="none"/>
        </w:rPr>
      </w:pPr>
      <w:r>
        <w:rPr>
          <w:rFonts w:hint="eastAsia" w:ascii="宋体" w:hAnsi="宋体" w:cs="宋体"/>
          <w:sz w:val="24"/>
          <w:highlight w:val="none"/>
        </w:rPr>
        <w:t>（4）综合评分明细表：以科学合理、降低评标委员会自由裁量权为原则</w:t>
      </w:r>
    </w:p>
    <w:tbl>
      <w:tblPr>
        <w:tblStyle w:val="37"/>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40"/>
        <w:gridCol w:w="1528"/>
        <w:gridCol w:w="710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491" w:type="pct"/>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b/>
                <w:bCs w:val="0"/>
                <w:sz w:val="28"/>
                <w:szCs w:val="28"/>
                <w:highlight w:val="none"/>
              </w:rPr>
            </w:pPr>
            <w:r>
              <w:rPr>
                <w:rFonts w:hint="eastAsia" w:ascii="宋体" w:hAnsi="宋体" w:cs="宋体"/>
                <w:b/>
                <w:bCs w:val="0"/>
                <w:sz w:val="28"/>
                <w:szCs w:val="28"/>
                <w:highlight w:val="none"/>
              </w:rPr>
              <w:t>序号</w:t>
            </w:r>
          </w:p>
        </w:tc>
        <w:tc>
          <w:tcPr>
            <w:tcW w:w="798" w:type="pct"/>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b/>
                <w:bCs w:val="0"/>
                <w:sz w:val="28"/>
                <w:szCs w:val="28"/>
                <w:highlight w:val="none"/>
              </w:rPr>
            </w:pPr>
            <w:r>
              <w:rPr>
                <w:rFonts w:hint="eastAsia" w:ascii="宋体" w:hAnsi="宋体" w:cs="宋体"/>
                <w:b/>
                <w:bCs w:val="0"/>
                <w:sz w:val="28"/>
                <w:szCs w:val="28"/>
                <w:highlight w:val="none"/>
              </w:rPr>
              <w:t>评审因素</w:t>
            </w:r>
          </w:p>
        </w:tc>
        <w:tc>
          <w:tcPr>
            <w:tcW w:w="3710" w:type="pct"/>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b/>
                <w:bCs w:val="0"/>
                <w:sz w:val="28"/>
                <w:szCs w:val="28"/>
                <w:highlight w:val="none"/>
              </w:rPr>
            </w:pPr>
            <w:r>
              <w:rPr>
                <w:rFonts w:hint="eastAsia" w:ascii="宋体" w:hAnsi="宋体" w:cs="宋体"/>
                <w:b/>
                <w:bCs w:val="0"/>
                <w:sz w:val="28"/>
                <w:szCs w:val="28"/>
                <w:highlight w:val="none"/>
              </w:rPr>
              <w:t>评审标准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491" w:type="pct"/>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hAnsi="宋体" w:cs="宋体"/>
                <w:sz w:val="24"/>
                <w:highlight w:val="none"/>
              </w:rPr>
            </w:pPr>
            <w:r>
              <w:rPr>
                <w:rFonts w:hint="eastAsia" w:ascii="宋体" w:hAnsi="宋体" w:cs="宋体"/>
                <w:sz w:val="24"/>
                <w:highlight w:val="none"/>
              </w:rPr>
              <w:t>1</w:t>
            </w:r>
          </w:p>
        </w:tc>
        <w:tc>
          <w:tcPr>
            <w:tcW w:w="798" w:type="pct"/>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hAnsi="宋体" w:cs="宋体"/>
                <w:sz w:val="24"/>
                <w:highlight w:val="none"/>
              </w:rPr>
            </w:pPr>
            <w:r>
              <w:rPr>
                <w:rFonts w:hint="eastAsia" w:ascii="宋体" w:hAnsi="宋体" w:cs="宋体"/>
                <w:sz w:val="24"/>
                <w:highlight w:val="none"/>
              </w:rPr>
              <w:t>投标报价</w:t>
            </w:r>
          </w:p>
          <w:p>
            <w:pPr>
              <w:spacing w:line="360" w:lineRule="auto"/>
              <w:rPr>
                <w:rFonts w:ascii="宋体" w:hAnsi="宋体" w:cs="宋体"/>
                <w:sz w:val="24"/>
                <w:highlight w:val="none"/>
              </w:rPr>
            </w:pPr>
            <w:r>
              <w:rPr>
                <w:rFonts w:hint="eastAsia" w:ascii="宋体" w:hAnsi="宋体" w:cs="宋体"/>
                <w:sz w:val="24"/>
                <w:highlight w:val="none"/>
              </w:rPr>
              <w:t>(30分)</w:t>
            </w:r>
          </w:p>
        </w:tc>
        <w:tc>
          <w:tcPr>
            <w:tcW w:w="3710" w:type="pct"/>
            <w:tcBorders>
              <w:top w:val="single" w:color="auto" w:sz="4" w:space="0"/>
              <w:left w:val="single" w:color="auto" w:sz="4" w:space="0"/>
              <w:bottom w:val="single" w:color="auto" w:sz="4" w:space="0"/>
              <w:right w:val="single" w:color="auto" w:sz="4" w:space="0"/>
            </w:tcBorders>
            <w:vAlign w:val="center"/>
          </w:tcPr>
          <w:p>
            <w:pPr>
              <w:spacing w:line="360" w:lineRule="auto"/>
              <w:jc w:val="left"/>
              <w:rPr>
                <w:rFonts w:ascii="宋体" w:hAnsi="宋体" w:cs="Arial"/>
                <w:color w:val="000000" w:themeColor="text1"/>
                <w:sz w:val="24"/>
                <w:highlight w:val="none"/>
              </w:rPr>
            </w:pPr>
            <w:r>
              <w:rPr>
                <w:rFonts w:hint="eastAsia" w:ascii="宋体" w:hAnsi="宋体" w:cs="Arial"/>
                <w:color w:val="000000" w:themeColor="text1"/>
                <w:sz w:val="24"/>
                <w:highlight w:val="none"/>
              </w:rPr>
              <w:t>以按照招标文件规定修正后的所有合格投标人的最低价为评分基准价。</w:t>
            </w:r>
          </w:p>
          <w:p>
            <w:pPr>
              <w:spacing w:line="360" w:lineRule="auto"/>
              <w:ind w:firstLine="482" w:firstLineChars="200"/>
              <w:jc w:val="left"/>
              <w:rPr>
                <w:rFonts w:ascii="宋体" w:hAnsi="宋体" w:cs="Arial"/>
                <w:b/>
                <w:bCs/>
                <w:color w:val="000000" w:themeColor="text1"/>
                <w:sz w:val="24"/>
                <w:highlight w:val="none"/>
              </w:rPr>
            </w:pPr>
            <w:r>
              <w:rPr>
                <w:rFonts w:hint="eastAsia" w:ascii="宋体" w:hAnsi="宋体" w:cs="Arial"/>
                <w:b/>
                <w:bCs/>
                <w:color w:val="000000" w:themeColor="text1"/>
                <w:sz w:val="24"/>
                <w:highlight w:val="none"/>
              </w:rPr>
              <w:t>基准价/投标商投标价*30为投标商的价格分。</w:t>
            </w:r>
          </w:p>
          <w:p>
            <w:pPr>
              <w:spacing w:line="360" w:lineRule="auto"/>
              <w:ind w:firstLine="480" w:firstLineChars="200"/>
              <w:rPr>
                <w:rFonts w:ascii="宋体" w:hAnsi="宋体" w:cs="宋体"/>
                <w:sz w:val="24"/>
                <w:highlight w:val="none"/>
              </w:rPr>
            </w:pPr>
            <w:r>
              <w:rPr>
                <w:rFonts w:hint="eastAsia" w:ascii="宋体" w:hAnsi="宋体" w:cs="Arial"/>
                <w:color w:val="000000" w:themeColor="text1"/>
                <w:sz w:val="24"/>
                <w:highlight w:val="none"/>
              </w:rPr>
              <w:t>投标人不得低于成本或市场价恶意竞标，评审小组认为投标人的报价明显低于其他通过符合性审查投标人的报价，有可能影响产品质量或者不能诚信履约的，应当要求其在投标现场合理的时间内提供书面说明，必要时提交相关证明材料；投标人不能证明其报价合理性的，评审小组应当将其作为无效投标响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491" w:type="pct"/>
            <w:vMerge w:val="restart"/>
            <w:tcBorders>
              <w:top w:val="single" w:color="auto" w:sz="4" w:space="0"/>
              <w:left w:val="single" w:color="auto" w:sz="4" w:space="0"/>
              <w:right w:val="single" w:color="auto" w:sz="4" w:space="0"/>
            </w:tcBorders>
            <w:vAlign w:val="center"/>
          </w:tcPr>
          <w:p>
            <w:pPr>
              <w:spacing w:line="360" w:lineRule="auto"/>
              <w:rPr>
                <w:rFonts w:ascii="宋体" w:hAnsi="宋体" w:cs="宋体"/>
                <w:sz w:val="24"/>
                <w:highlight w:val="none"/>
              </w:rPr>
            </w:pPr>
            <w:r>
              <w:rPr>
                <w:rFonts w:hint="eastAsia" w:ascii="宋体" w:hAnsi="宋体" w:cs="宋体"/>
                <w:sz w:val="24"/>
                <w:highlight w:val="none"/>
              </w:rPr>
              <w:t>2</w:t>
            </w:r>
          </w:p>
        </w:tc>
        <w:tc>
          <w:tcPr>
            <w:tcW w:w="798" w:type="pct"/>
            <w:vMerge w:val="restart"/>
            <w:tcBorders>
              <w:top w:val="single" w:color="auto" w:sz="4" w:space="0"/>
              <w:left w:val="single" w:color="auto" w:sz="4" w:space="0"/>
              <w:right w:val="single" w:color="auto" w:sz="4" w:space="0"/>
            </w:tcBorders>
            <w:vAlign w:val="center"/>
          </w:tcPr>
          <w:p>
            <w:pPr>
              <w:spacing w:line="360" w:lineRule="auto"/>
              <w:rPr>
                <w:rFonts w:ascii="宋体" w:hAnsi="宋体" w:cs="宋体"/>
                <w:sz w:val="24"/>
                <w:highlight w:val="none"/>
              </w:rPr>
            </w:pPr>
            <w:r>
              <w:rPr>
                <w:rFonts w:hint="eastAsia" w:ascii="宋体" w:hAnsi="宋体" w:cs="宋体"/>
                <w:sz w:val="24"/>
                <w:highlight w:val="none"/>
              </w:rPr>
              <w:t>技术部分（</w:t>
            </w:r>
            <w:r>
              <w:rPr>
                <w:rFonts w:hint="eastAsia" w:ascii="宋体" w:hAnsi="宋体" w:cs="宋体"/>
                <w:sz w:val="24"/>
                <w:highlight w:val="none"/>
                <w:lang w:val="en-US" w:eastAsia="zh-CN"/>
              </w:rPr>
              <w:t>48</w:t>
            </w:r>
            <w:r>
              <w:rPr>
                <w:rFonts w:hint="eastAsia" w:ascii="宋体" w:hAnsi="宋体" w:cs="宋体"/>
                <w:sz w:val="24"/>
                <w:highlight w:val="none"/>
              </w:rPr>
              <w:t>）</w:t>
            </w:r>
          </w:p>
        </w:tc>
        <w:tc>
          <w:tcPr>
            <w:tcW w:w="3710" w:type="pct"/>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hAnsi="宋体" w:cs="宋体"/>
                <w:sz w:val="24"/>
                <w:highlight w:val="none"/>
              </w:rPr>
            </w:pPr>
            <w:r>
              <w:rPr>
                <w:rFonts w:hint="eastAsia" w:ascii="宋体" w:hAnsi="宋体" w:cs="宋体"/>
                <w:sz w:val="24"/>
                <w:highlight w:val="none"/>
              </w:rPr>
              <w:t>1.技术参数（满分</w:t>
            </w:r>
            <w:r>
              <w:rPr>
                <w:rFonts w:hint="eastAsia" w:ascii="宋体" w:hAnsi="宋体" w:cs="宋体"/>
                <w:sz w:val="24"/>
                <w:highlight w:val="none"/>
                <w:lang w:val="en-US" w:eastAsia="zh-CN"/>
              </w:rPr>
              <w:t>32</w:t>
            </w:r>
            <w:r>
              <w:rPr>
                <w:rFonts w:hint="eastAsia" w:ascii="宋体" w:hAnsi="宋体" w:cs="宋体"/>
                <w:sz w:val="24"/>
                <w:highlight w:val="none"/>
              </w:rPr>
              <w:t>分）：</w:t>
            </w:r>
          </w:p>
          <w:p>
            <w:pPr>
              <w:spacing w:line="360" w:lineRule="auto"/>
              <w:ind w:firstLine="240" w:firstLineChars="100"/>
              <w:rPr>
                <w:rFonts w:hint="eastAsia" w:ascii="宋体" w:hAnsi="宋体" w:eastAsia="宋体" w:cs="宋体"/>
                <w:sz w:val="24"/>
                <w:highlight w:val="none"/>
                <w:lang w:eastAsia="zh-CN"/>
              </w:rPr>
            </w:pPr>
            <w:r>
              <w:rPr>
                <w:rFonts w:hint="eastAsia" w:ascii="宋体" w:hAnsi="宋体" w:eastAsia="宋体" w:cs="宋体"/>
                <w:sz w:val="24"/>
                <w:highlight w:val="none"/>
              </w:rPr>
              <w:t>投标产品技术性能优于或满足招标文件要求</w:t>
            </w:r>
            <w:r>
              <w:rPr>
                <w:rFonts w:hint="eastAsia" w:ascii="宋体" w:hAnsi="宋体" w:eastAsia="宋体" w:cs="宋体"/>
                <w:sz w:val="24"/>
                <w:highlight w:val="none"/>
                <w:lang w:eastAsia="zh-CN"/>
              </w:rPr>
              <w:t>的</w:t>
            </w:r>
            <w:r>
              <w:rPr>
                <w:rFonts w:hint="eastAsia" w:ascii="宋体" w:hAnsi="宋体" w:eastAsia="宋体" w:cs="宋体"/>
                <w:sz w:val="24"/>
                <w:highlight w:val="none"/>
                <w:lang w:val="en-US" w:eastAsia="zh-CN"/>
              </w:rPr>
              <w:t>32</w:t>
            </w:r>
            <w:r>
              <w:rPr>
                <w:rFonts w:hint="eastAsia" w:ascii="宋体" w:hAnsi="宋体" w:eastAsia="宋体" w:cs="宋体"/>
                <w:sz w:val="24"/>
                <w:highlight w:val="none"/>
              </w:rPr>
              <w:t>分；</w:t>
            </w:r>
            <w:r>
              <w:rPr>
                <w:rFonts w:hint="eastAsia" w:ascii="宋体" w:hAnsi="宋体" w:eastAsia="宋体" w:cs="宋体"/>
                <w:sz w:val="24"/>
                <w:highlight w:val="none"/>
                <w:lang w:val="en-US" w:eastAsia="zh-CN"/>
              </w:rPr>
              <w:t>技术参数“*”有一项负偏离扣4分</w:t>
            </w:r>
            <w:r>
              <w:rPr>
                <w:rFonts w:hint="eastAsia" w:ascii="宋体" w:hAnsi="宋体" w:eastAsia="宋体" w:cs="宋体"/>
                <w:sz w:val="24"/>
                <w:highlight w:val="none"/>
              </w:rPr>
              <w:t>，</w:t>
            </w:r>
            <w:r>
              <w:rPr>
                <w:rFonts w:hint="eastAsia" w:ascii="宋体" w:hAnsi="宋体" w:eastAsia="宋体" w:cs="宋体"/>
                <w:sz w:val="24"/>
                <w:highlight w:val="none"/>
                <w:lang w:val="en-US" w:eastAsia="zh-CN"/>
              </w:rPr>
              <w:t>一般技术参数有一项负偏离扣2分</w:t>
            </w:r>
            <w:r>
              <w:rPr>
                <w:rFonts w:hint="eastAsia" w:ascii="宋体" w:hAnsi="宋体" w:eastAsia="宋体" w:cs="宋体"/>
                <w:sz w:val="24"/>
                <w:highlight w:val="none"/>
              </w:rPr>
              <w:t>扣完为止。</w:t>
            </w:r>
          </w:p>
          <w:p>
            <w:pPr>
              <w:spacing w:line="360" w:lineRule="auto"/>
              <w:ind w:firstLine="240" w:firstLineChars="100"/>
              <w:rPr>
                <w:rFonts w:ascii="宋体" w:hAnsi="宋体" w:cs="宋体"/>
                <w:highlight w:val="none"/>
              </w:rPr>
            </w:pPr>
            <w:r>
              <w:rPr>
                <w:rFonts w:hint="eastAsia" w:ascii="宋体" w:hAnsi="宋体" w:eastAsia="宋体" w:cs="宋体"/>
                <w:sz w:val="24"/>
                <w:highlight w:val="none"/>
              </w:rPr>
              <w:t>注：技术参数的响应须提供相关证明材料，包括</w:t>
            </w:r>
            <w:r>
              <w:rPr>
                <w:rFonts w:hint="eastAsia" w:ascii="宋体" w:hAnsi="宋体" w:eastAsia="宋体" w:cs="宋体"/>
                <w:sz w:val="24"/>
                <w:highlight w:val="none"/>
                <w:lang w:val="en-US" w:eastAsia="zh-CN"/>
              </w:rPr>
              <w:t>但不限于</w:t>
            </w:r>
            <w:r>
              <w:rPr>
                <w:rFonts w:hint="eastAsia" w:ascii="宋体" w:hAnsi="宋体" w:eastAsia="宋体" w:cs="宋体"/>
                <w:sz w:val="24"/>
                <w:highlight w:val="none"/>
              </w:rPr>
              <w:t>产品注册检验报告</w:t>
            </w:r>
            <w:r>
              <w:rPr>
                <w:rFonts w:hint="eastAsia" w:ascii="宋体" w:hAnsi="宋体" w:eastAsia="宋体" w:cs="宋体"/>
                <w:sz w:val="24"/>
                <w:highlight w:val="none"/>
                <w:lang w:val="en-US" w:eastAsia="zh-CN"/>
              </w:rPr>
              <w:t>或</w:t>
            </w:r>
            <w:r>
              <w:rPr>
                <w:rFonts w:hint="eastAsia" w:ascii="宋体" w:hAnsi="宋体" w:eastAsia="宋体" w:cs="宋体"/>
                <w:sz w:val="24"/>
                <w:highlight w:val="none"/>
              </w:rPr>
              <w:t>产品彩页</w:t>
            </w:r>
            <w:r>
              <w:rPr>
                <w:rFonts w:hint="eastAsia" w:ascii="宋体" w:hAnsi="宋体" w:eastAsia="宋体" w:cs="宋体"/>
                <w:sz w:val="24"/>
                <w:highlight w:val="none"/>
                <w:lang w:val="en-US" w:eastAsia="zh-CN"/>
              </w:rPr>
              <w:t>或</w:t>
            </w:r>
            <w:r>
              <w:rPr>
                <w:rFonts w:hint="eastAsia" w:ascii="宋体" w:hAnsi="宋体" w:eastAsia="宋体" w:cs="宋体"/>
                <w:sz w:val="24"/>
                <w:highlight w:val="none"/>
              </w:rPr>
              <w:t>技术白皮书或产品说明书</w:t>
            </w:r>
            <w:r>
              <w:rPr>
                <w:rFonts w:hint="eastAsia" w:ascii="宋体" w:hAnsi="宋体" w:eastAsia="宋体" w:cs="宋体"/>
                <w:sz w:val="24"/>
                <w:highlight w:val="none"/>
                <w:lang w:eastAsia="zh-CN"/>
              </w:rPr>
              <w:t>，</w:t>
            </w:r>
            <w:r>
              <w:rPr>
                <w:rFonts w:hint="eastAsia" w:ascii="宋体" w:hAnsi="宋体" w:eastAsia="宋体" w:cs="宋体"/>
                <w:sz w:val="24"/>
                <w:highlight w:val="none"/>
              </w:rPr>
              <w:t>复印件加盖公章，若未提供，则扣除跟负偏离同样的分数。投标人须提供技术支撑材料准确页码，未提供页码或提供页码不准确造成的后果由投标人自行承担。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491" w:type="pct"/>
            <w:vMerge w:val="continue"/>
            <w:tcBorders>
              <w:left w:val="single" w:color="auto" w:sz="4" w:space="0"/>
              <w:right w:val="single" w:color="auto" w:sz="4" w:space="0"/>
            </w:tcBorders>
            <w:vAlign w:val="center"/>
          </w:tcPr>
          <w:p>
            <w:pPr>
              <w:widowControl/>
              <w:spacing w:line="360" w:lineRule="auto"/>
              <w:jc w:val="left"/>
              <w:rPr>
                <w:rFonts w:ascii="宋体" w:hAnsi="宋体" w:cs="宋体"/>
                <w:sz w:val="24"/>
                <w:highlight w:val="none"/>
              </w:rPr>
            </w:pPr>
          </w:p>
        </w:tc>
        <w:tc>
          <w:tcPr>
            <w:tcW w:w="798" w:type="pct"/>
            <w:vMerge w:val="continue"/>
            <w:tcBorders>
              <w:left w:val="single" w:color="auto" w:sz="4" w:space="0"/>
              <w:right w:val="single" w:color="auto" w:sz="4" w:space="0"/>
            </w:tcBorders>
            <w:vAlign w:val="center"/>
          </w:tcPr>
          <w:p>
            <w:pPr>
              <w:widowControl/>
              <w:spacing w:line="360" w:lineRule="auto"/>
              <w:jc w:val="left"/>
              <w:rPr>
                <w:rFonts w:ascii="宋体" w:hAnsi="宋体" w:cs="宋体"/>
                <w:sz w:val="24"/>
                <w:highlight w:val="none"/>
              </w:rPr>
            </w:pPr>
          </w:p>
        </w:tc>
        <w:tc>
          <w:tcPr>
            <w:tcW w:w="3710" w:type="pct"/>
            <w:tcBorders>
              <w:top w:val="single" w:color="auto" w:sz="4" w:space="0"/>
              <w:left w:val="single" w:color="auto" w:sz="4" w:space="0"/>
              <w:bottom w:val="single" w:color="auto" w:sz="4" w:space="0"/>
              <w:right w:val="single" w:color="auto" w:sz="4" w:space="0"/>
            </w:tcBorders>
            <w:vAlign w:val="center"/>
          </w:tcPr>
          <w:p>
            <w:pPr>
              <w:numPr>
                <w:ilvl w:val="0"/>
                <w:numId w:val="8"/>
              </w:numPr>
              <w:spacing w:line="360" w:lineRule="auto"/>
              <w:rPr>
                <w:rFonts w:ascii="宋体" w:hAnsi="宋体" w:cs="宋体"/>
                <w:sz w:val="24"/>
                <w:highlight w:val="none"/>
              </w:rPr>
            </w:pPr>
            <w:r>
              <w:rPr>
                <w:rFonts w:hint="eastAsia" w:ascii="宋体" w:hAnsi="宋体" w:cs="宋体"/>
                <w:sz w:val="24"/>
                <w:highlight w:val="none"/>
              </w:rPr>
              <w:t>应标方案综合评价：根据应标方案内容完整性，所投产品选型，整体设计、功能、性能，配套的耗材和备品备件规格及齐全程度等进行评价，应标方案科学、合理、完整的得</w:t>
            </w:r>
            <w:r>
              <w:rPr>
                <w:rFonts w:hint="eastAsia" w:ascii="宋体" w:hAnsi="宋体" w:cs="宋体"/>
                <w:sz w:val="24"/>
                <w:highlight w:val="none"/>
                <w:lang w:val="en-US" w:eastAsia="zh-CN"/>
              </w:rPr>
              <w:t>4</w:t>
            </w:r>
            <w:r>
              <w:rPr>
                <w:rFonts w:hint="eastAsia" w:ascii="宋体" w:hAnsi="宋体" w:cs="宋体"/>
                <w:sz w:val="24"/>
                <w:highlight w:val="none"/>
              </w:rPr>
              <w:t>分，应标方案基本科学、合理、完整的得</w:t>
            </w:r>
            <w:r>
              <w:rPr>
                <w:rFonts w:hint="eastAsia" w:ascii="宋体" w:hAnsi="宋体" w:cs="宋体"/>
                <w:sz w:val="24"/>
                <w:highlight w:val="none"/>
                <w:lang w:val="en-US" w:eastAsia="zh-CN"/>
              </w:rPr>
              <w:t>2</w:t>
            </w:r>
            <w:r>
              <w:rPr>
                <w:rFonts w:hint="eastAsia" w:ascii="宋体" w:hAnsi="宋体" w:cs="宋体"/>
                <w:sz w:val="24"/>
                <w:highlight w:val="none"/>
              </w:rPr>
              <w:t>分；应标方案科学性差、合理性差、完整度差的得1分；不提供不得分。（满分</w:t>
            </w:r>
            <w:r>
              <w:rPr>
                <w:rFonts w:hint="eastAsia" w:ascii="宋体" w:hAnsi="宋体" w:cs="宋体"/>
                <w:sz w:val="24"/>
                <w:highlight w:val="none"/>
                <w:lang w:val="en-US" w:eastAsia="zh-CN"/>
              </w:rPr>
              <w:t>4</w:t>
            </w:r>
            <w:r>
              <w:rPr>
                <w:rFonts w:hint="eastAsia" w:ascii="宋体" w:hAnsi="宋体" w:cs="宋体"/>
                <w:sz w:val="24"/>
                <w:highlight w:val="none"/>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491" w:type="pct"/>
            <w:vMerge w:val="continue"/>
            <w:tcBorders>
              <w:left w:val="single" w:color="auto" w:sz="4" w:space="0"/>
              <w:right w:val="single" w:color="auto" w:sz="4" w:space="0"/>
            </w:tcBorders>
            <w:vAlign w:val="center"/>
          </w:tcPr>
          <w:p>
            <w:pPr>
              <w:widowControl/>
              <w:spacing w:line="360" w:lineRule="auto"/>
              <w:jc w:val="left"/>
              <w:rPr>
                <w:rFonts w:ascii="宋体" w:hAnsi="宋体" w:cs="宋体"/>
                <w:sz w:val="24"/>
                <w:highlight w:val="none"/>
              </w:rPr>
            </w:pPr>
          </w:p>
        </w:tc>
        <w:tc>
          <w:tcPr>
            <w:tcW w:w="798" w:type="pct"/>
            <w:vMerge w:val="continue"/>
            <w:tcBorders>
              <w:left w:val="single" w:color="auto" w:sz="4" w:space="0"/>
              <w:right w:val="single" w:color="auto" w:sz="4" w:space="0"/>
            </w:tcBorders>
            <w:vAlign w:val="center"/>
          </w:tcPr>
          <w:p>
            <w:pPr>
              <w:widowControl/>
              <w:spacing w:line="360" w:lineRule="auto"/>
              <w:jc w:val="left"/>
              <w:rPr>
                <w:rFonts w:ascii="宋体" w:hAnsi="宋体" w:cs="宋体"/>
                <w:sz w:val="24"/>
                <w:highlight w:val="none"/>
              </w:rPr>
            </w:pPr>
          </w:p>
        </w:tc>
        <w:tc>
          <w:tcPr>
            <w:tcW w:w="3710" w:type="pct"/>
            <w:tcBorders>
              <w:top w:val="single" w:color="auto" w:sz="4" w:space="0"/>
              <w:left w:val="single" w:color="auto" w:sz="4" w:space="0"/>
              <w:bottom w:val="single" w:color="auto" w:sz="4" w:space="0"/>
              <w:right w:val="single" w:color="auto" w:sz="4" w:space="0"/>
            </w:tcBorders>
            <w:vAlign w:val="center"/>
          </w:tcPr>
          <w:p>
            <w:pPr>
              <w:spacing w:line="360" w:lineRule="auto"/>
              <w:jc w:val="left"/>
              <w:rPr>
                <w:rFonts w:ascii="宋体" w:hAnsi="宋体" w:cs="宋体"/>
                <w:sz w:val="24"/>
                <w:highlight w:val="none"/>
              </w:rPr>
            </w:pPr>
            <w:r>
              <w:rPr>
                <w:rFonts w:hint="eastAsia" w:ascii="宋体" w:hAnsi="宋体" w:cs="宋体"/>
                <w:sz w:val="24"/>
                <w:highlight w:val="none"/>
              </w:rPr>
              <w:t>3.项目实施方案：投标人提供项目实施方案，对本项目的前期准备、交货与供货总体进度安排、验收交付等工作有清晰的描述和措施。实施方案完整、合理，实施计划清晰、可行性强得4分；实施方案基本完整、基本合理，实施计划基本清晰、可行性一般得2分；实施方案不完整、合理性差，实施计划不清晰、可行性差得1分；未提供不得分。（满分4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491" w:type="pct"/>
            <w:vMerge w:val="continue"/>
            <w:tcBorders>
              <w:left w:val="single" w:color="auto" w:sz="4" w:space="0"/>
              <w:right w:val="single" w:color="auto" w:sz="4" w:space="0"/>
            </w:tcBorders>
            <w:vAlign w:val="center"/>
          </w:tcPr>
          <w:p>
            <w:pPr>
              <w:widowControl/>
              <w:spacing w:line="360" w:lineRule="auto"/>
              <w:jc w:val="left"/>
              <w:rPr>
                <w:rFonts w:ascii="宋体" w:hAnsi="宋体" w:cs="宋体"/>
                <w:sz w:val="24"/>
                <w:highlight w:val="none"/>
              </w:rPr>
            </w:pPr>
          </w:p>
        </w:tc>
        <w:tc>
          <w:tcPr>
            <w:tcW w:w="798" w:type="pct"/>
            <w:vMerge w:val="continue"/>
            <w:tcBorders>
              <w:left w:val="single" w:color="auto" w:sz="4" w:space="0"/>
              <w:right w:val="single" w:color="auto" w:sz="4" w:space="0"/>
            </w:tcBorders>
            <w:vAlign w:val="center"/>
          </w:tcPr>
          <w:p>
            <w:pPr>
              <w:widowControl/>
              <w:spacing w:line="360" w:lineRule="auto"/>
              <w:jc w:val="left"/>
              <w:rPr>
                <w:rFonts w:ascii="宋体" w:hAnsi="宋体" w:cs="宋体"/>
                <w:sz w:val="24"/>
                <w:highlight w:val="none"/>
              </w:rPr>
            </w:pPr>
          </w:p>
        </w:tc>
        <w:tc>
          <w:tcPr>
            <w:tcW w:w="3710" w:type="pct"/>
            <w:tcBorders>
              <w:top w:val="single" w:color="auto" w:sz="4" w:space="0"/>
              <w:left w:val="single" w:color="auto" w:sz="4" w:space="0"/>
              <w:bottom w:val="single" w:color="auto" w:sz="4" w:space="0"/>
              <w:right w:val="single" w:color="auto" w:sz="4" w:space="0"/>
            </w:tcBorders>
            <w:vAlign w:val="center"/>
          </w:tcPr>
          <w:p>
            <w:pPr>
              <w:spacing w:line="360" w:lineRule="auto"/>
              <w:jc w:val="left"/>
              <w:rPr>
                <w:rFonts w:hint="default" w:ascii="宋体" w:hAnsi="宋体" w:eastAsia="宋体" w:cs="宋体"/>
                <w:sz w:val="24"/>
                <w:highlight w:val="none"/>
                <w:lang w:val="en-US" w:eastAsia="zh-CN"/>
              </w:rPr>
            </w:pPr>
            <w:r>
              <w:rPr>
                <w:rFonts w:hint="eastAsia" w:ascii="宋体" w:hAnsi="宋体" w:cs="宋体"/>
                <w:sz w:val="24"/>
                <w:highlight w:val="none"/>
                <w:lang w:val="en-US" w:eastAsia="zh-CN"/>
              </w:rPr>
              <w:t>4.培训方案：投标人提供针对本项目培训方案，方案完整详细，针对性强，优于招标文件要求的得3分；方案较完整详细， 针对性较强，基本满足招标文件要求的得2分；方案不完整，无针对性，不能满足招标文件要求的不得分，不提供不得分。（满分 3分）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491" w:type="pct"/>
            <w:vMerge w:val="continue"/>
            <w:tcBorders>
              <w:left w:val="single" w:color="auto" w:sz="4" w:space="0"/>
              <w:right w:val="single" w:color="auto" w:sz="4" w:space="0"/>
            </w:tcBorders>
            <w:vAlign w:val="center"/>
          </w:tcPr>
          <w:p>
            <w:pPr>
              <w:widowControl/>
              <w:spacing w:line="360" w:lineRule="auto"/>
              <w:jc w:val="left"/>
              <w:rPr>
                <w:rFonts w:ascii="宋体" w:hAnsi="宋体" w:cs="宋体"/>
                <w:sz w:val="24"/>
                <w:highlight w:val="none"/>
              </w:rPr>
            </w:pPr>
          </w:p>
        </w:tc>
        <w:tc>
          <w:tcPr>
            <w:tcW w:w="798" w:type="pct"/>
            <w:vMerge w:val="continue"/>
            <w:tcBorders>
              <w:left w:val="single" w:color="auto" w:sz="4" w:space="0"/>
              <w:right w:val="single" w:color="auto" w:sz="4" w:space="0"/>
            </w:tcBorders>
            <w:vAlign w:val="center"/>
          </w:tcPr>
          <w:p>
            <w:pPr>
              <w:widowControl/>
              <w:spacing w:line="360" w:lineRule="auto"/>
              <w:jc w:val="left"/>
              <w:rPr>
                <w:rFonts w:ascii="宋体" w:hAnsi="宋体" w:cs="宋体"/>
                <w:sz w:val="24"/>
                <w:highlight w:val="none"/>
              </w:rPr>
            </w:pPr>
          </w:p>
        </w:tc>
        <w:tc>
          <w:tcPr>
            <w:tcW w:w="3710" w:type="pct"/>
            <w:tcBorders>
              <w:top w:val="single" w:color="auto" w:sz="4" w:space="0"/>
              <w:left w:val="single" w:color="auto" w:sz="4" w:space="0"/>
              <w:bottom w:val="single" w:color="auto" w:sz="4" w:space="0"/>
              <w:right w:val="single" w:color="auto" w:sz="4" w:space="0"/>
            </w:tcBorders>
            <w:vAlign w:val="center"/>
          </w:tcPr>
          <w:p>
            <w:pPr>
              <w:spacing w:line="360" w:lineRule="auto"/>
              <w:jc w:val="left"/>
              <w:rPr>
                <w:rFonts w:ascii="宋体" w:hAnsi="宋体" w:cs="宋体"/>
                <w:sz w:val="24"/>
                <w:highlight w:val="none"/>
              </w:rPr>
            </w:pPr>
            <w:r>
              <w:rPr>
                <w:rFonts w:hint="eastAsia" w:ascii="宋体" w:hAnsi="宋体" w:cs="宋体"/>
                <w:sz w:val="24"/>
                <w:highlight w:val="none"/>
                <w:lang w:val="en-US" w:eastAsia="zh-CN"/>
              </w:rPr>
              <w:t>5</w:t>
            </w:r>
            <w:r>
              <w:rPr>
                <w:rFonts w:hint="eastAsia" w:ascii="宋体" w:hAnsi="宋体" w:cs="宋体"/>
                <w:sz w:val="24"/>
                <w:highlight w:val="none"/>
              </w:rPr>
              <w:t>.技术服务团队：投标人是否具有专业的技术人员（至少有一名生产厂家授权的工程师）负责设备的安装、调试及技术服务，且人员分工明确，专业岗位配套齐全。服务团队组织管理科学、人员配备合理的得</w:t>
            </w:r>
            <w:r>
              <w:rPr>
                <w:rFonts w:hint="eastAsia" w:ascii="宋体" w:hAnsi="宋体" w:cs="宋体"/>
                <w:sz w:val="24"/>
                <w:highlight w:val="none"/>
                <w:lang w:val="en-US" w:eastAsia="zh-CN"/>
              </w:rPr>
              <w:t>5</w:t>
            </w:r>
            <w:r>
              <w:rPr>
                <w:rFonts w:hint="eastAsia" w:ascii="宋体" w:hAnsi="宋体" w:cs="宋体"/>
                <w:sz w:val="24"/>
                <w:highlight w:val="none"/>
              </w:rPr>
              <w:t>分；服务团队组织管理较科学、人员配备较合理的得</w:t>
            </w:r>
            <w:r>
              <w:rPr>
                <w:rFonts w:hint="eastAsia" w:ascii="宋体" w:hAnsi="宋体" w:cs="宋体"/>
                <w:sz w:val="24"/>
                <w:highlight w:val="none"/>
                <w:lang w:val="en-US" w:eastAsia="zh-CN"/>
              </w:rPr>
              <w:t>3</w:t>
            </w:r>
            <w:r>
              <w:rPr>
                <w:rFonts w:hint="eastAsia" w:ascii="宋体" w:hAnsi="宋体" w:cs="宋体"/>
                <w:sz w:val="24"/>
                <w:highlight w:val="none"/>
              </w:rPr>
              <w:t>分；服务团队组织管理及团队配备内容一般，缺乏合理性或表述不清的得1分,不提供不得分。（满分</w:t>
            </w:r>
            <w:r>
              <w:rPr>
                <w:rFonts w:hint="eastAsia" w:ascii="宋体" w:hAnsi="宋体" w:cs="宋体"/>
                <w:sz w:val="24"/>
                <w:highlight w:val="none"/>
                <w:lang w:val="en-US" w:eastAsia="zh-CN"/>
              </w:rPr>
              <w:t>5</w:t>
            </w:r>
            <w:r>
              <w:rPr>
                <w:rFonts w:hint="eastAsia" w:ascii="宋体" w:hAnsi="宋体" w:cs="宋体"/>
                <w:sz w:val="24"/>
                <w:highlight w:val="none"/>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8" w:hRule="atLeast"/>
        </w:trPr>
        <w:tc>
          <w:tcPr>
            <w:tcW w:w="491" w:type="pct"/>
            <w:vMerge w:val="restart"/>
            <w:tcBorders>
              <w:top w:val="single" w:color="auto" w:sz="4" w:space="0"/>
              <w:left w:val="single" w:color="auto" w:sz="4" w:space="0"/>
              <w:right w:val="single" w:color="auto" w:sz="4" w:space="0"/>
            </w:tcBorders>
            <w:vAlign w:val="center"/>
          </w:tcPr>
          <w:p>
            <w:pPr>
              <w:spacing w:line="360" w:lineRule="auto"/>
              <w:rPr>
                <w:rFonts w:ascii="宋体" w:hAnsi="宋体" w:cs="宋体"/>
                <w:sz w:val="24"/>
                <w:highlight w:val="none"/>
              </w:rPr>
            </w:pPr>
            <w:r>
              <w:rPr>
                <w:rFonts w:hint="eastAsia" w:ascii="宋体" w:hAnsi="宋体" w:cs="宋体"/>
                <w:sz w:val="24"/>
                <w:highlight w:val="none"/>
              </w:rPr>
              <w:t>3</w:t>
            </w:r>
          </w:p>
        </w:tc>
        <w:tc>
          <w:tcPr>
            <w:tcW w:w="798" w:type="pct"/>
            <w:vMerge w:val="restart"/>
            <w:tcBorders>
              <w:top w:val="single" w:color="auto" w:sz="4" w:space="0"/>
              <w:left w:val="single" w:color="auto" w:sz="4" w:space="0"/>
              <w:right w:val="single" w:color="auto" w:sz="4" w:space="0"/>
            </w:tcBorders>
            <w:vAlign w:val="center"/>
          </w:tcPr>
          <w:p>
            <w:pPr>
              <w:spacing w:line="360" w:lineRule="auto"/>
              <w:rPr>
                <w:rFonts w:ascii="宋体" w:hAnsi="宋体" w:cs="宋体"/>
                <w:sz w:val="24"/>
                <w:highlight w:val="none"/>
              </w:rPr>
            </w:pPr>
            <w:r>
              <w:rPr>
                <w:rFonts w:hint="eastAsia" w:ascii="宋体" w:hAnsi="宋体" w:cs="宋体"/>
                <w:sz w:val="24"/>
                <w:highlight w:val="none"/>
              </w:rPr>
              <w:t>商务部分（</w:t>
            </w:r>
            <w:r>
              <w:rPr>
                <w:rFonts w:hint="eastAsia" w:ascii="宋体" w:hAnsi="宋体" w:cs="宋体"/>
                <w:sz w:val="24"/>
                <w:highlight w:val="none"/>
                <w:lang w:val="en-US" w:eastAsia="zh-CN"/>
              </w:rPr>
              <w:t>22</w:t>
            </w:r>
            <w:r>
              <w:rPr>
                <w:rFonts w:hint="eastAsia" w:ascii="宋体" w:hAnsi="宋体" w:cs="宋体"/>
                <w:sz w:val="24"/>
                <w:highlight w:val="none"/>
              </w:rPr>
              <w:t>分）</w:t>
            </w:r>
          </w:p>
        </w:tc>
        <w:tc>
          <w:tcPr>
            <w:tcW w:w="3710" w:type="pct"/>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hAnsi="宋体" w:cs="宋体"/>
                <w:sz w:val="24"/>
                <w:highlight w:val="none"/>
              </w:rPr>
            </w:pPr>
            <w:r>
              <w:rPr>
                <w:rFonts w:hint="eastAsia" w:ascii="宋体" w:hAnsi="宋体" w:cs="宋体"/>
                <w:sz w:val="24"/>
                <w:highlight w:val="none"/>
              </w:rPr>
              <w:t>1.</w:t>
            </w:r>
            <w:r>
              <w:rPr>
                <w:rFonts w:hint="eastAsia"/>
                <w:highlight w:val="none"/>
              </w:rPr>
              <w:t xml:space="preserve"> </w:t>
            </w:r>
            <w:r>
              <w:rPr>
                <w:rFonts w:hint="eastAsia" w:ascii="宋体" w:hAnsi="宋体" w:cs="宋体"/>
                <w:sz w:val="24"/>
                <w:highlight w:val="none"/>
              </w:rPr>
              <w:t>投标人提供近三年内同类项目业绩：提供合同或中标通知书复印件，每提供一项得2分，最多得8分。（满分8分）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491" w:type="pct"/>
            <w:vMerge w:val="continue"/>
            <w:tcBorders>
              <w:left w:val="single" w:color="auto" w:sz="4" w:space="0"/>
              <w:right w:val="single" w:color="auto" w:sz="4" w:space="0"/>
            </w:tcBorders>
            <w:vAlign w:val="center"/>
          </w:tcPr>
          <w:p>
            <w:pPr>
              <w:widowControl/>
              <w:spacing w:line="360" w:lineRule="auto"/>
              <w:jc w:val="left"/>
              <w:rPr>
                <w:rFonts w:ascii="宋体" w:hAnsi="宋体" w:cs="宋体"/>
                <w:sz w:val="24"/>
                <w:highlight w:val="none"/>
              </w:rPr>
            </w:pPr>
          </w:p>
        </w:tc>
        <w:tc>
          <w:tcPr>
            <w:tcW w:w="798" w:type="pct"/>
            <w:vMerge w:val="continue"/>
            <w:tcBorders>
              <w:left w:val="single" w:color="auto" w:sz="4" w:space="0"/>
              <w:right w:val="single" w:color="auto" w:sz="4" w:space="0"/>
            </w:tcBorders>
            <w:vAlign w:val="center"/>
          </w:tcPr>
          <w:p>
            <w:pPr>
              <w:widowControl/>
              <w:spacing w:line="360" w:lineRule="auto"/>
              <w:jc w:val="left"/>
              <w:rPr>
                <w:rFonts w:ascii="宋体" w:hAnsi="宋体" w:cs="宋体"/>
                <w:sz w:val="24"/>
                <w:highlight w:val="none"/>
              </w:rPr>
            </w:pPr>
          </w:p>
        </w:tc>
        <w:tc>
          <w:tcPr>
            <w:tcW w:w="3710" w:type="pct"/>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hAnsi="宋体" w:cs="宋体"/>
                <w:sz w:val="24"/>
                <w:highlight w:val="none"/>
              </w:rPr>
            </w:pPr>
            <w:r>
              <w:rPr>
                <w:rFonts w:hint="eastAsia" w:ascii="宋体" w:hAnsi="宋体" w:cs="宋体"/>
                <w:sz w:val="24"/>
                <w:highlight w:val="none"/>
                <w:lang w:val="en-US" w:eastAsia="zh-CN"/>
              </w:rPr>
              <w:t>2</w:t>
            </w:r>
            <w:r>
              <w:rPr>
                <w:rFonts w:hint="eastAsia" w:ascii="宋体" w:hAnsi="宋体" w:cs="宋体"/>
                <w:sz w:val="24"/>
                <w:highlight w:val="none"/>
              </w:rPr>
              <w:t>.</w:t>
            </w:r>
            <w:r>
              <w:rPr>
                <w:rFonts w:hint="eastAsia" w:ascii="宋体" w:hAnsi="宋体" w:cs="Arial"/>
                <w:color w:val="000000" w:themeColor="text1"/>
                <w:sz w:val="24"/>
                <w:highlight w:val="none"/>
              </w:rPr>
              <w:t xml:space="preserve"> 生产厂家获得医疗器械质量管理体系认证证书；环境管理体系认证证书；职业健康安全管理体系认证证书</w:t>
            </w:r>
            <w:r>
              <w:rPr>
                <w:rFonts w:hint="eastAsia" w:ascii="宋体" w:hAnsi="宋体" w:cs="Arial"/>
                <w:color w:val="000000" w:themeColor="text1"/>
                <w:sz w:val="24"/>
                <w:highlight w:val="none"/>
                <w:lang w:eastAsia="zh-CN"/>
              </w:rPr>
              <w:t>；</w:t>
            </w:r>
            <w:r>
              <w:rPr>
                <w:rFonts w:hint="eastAsia" w:ascii="宋体" w:hAnsi="宋体" w:cs="Arial"/>
                <w:color w:val="000000" w:themeColor="text1"/>
                <w:sz w:val="24"/>
                <w:highlight w:val="none"/>
              </w:rPr>
              <w:t>每提供一</w:t>
            </w:r>
            <w:r>
              <w:rPr>
                <w:rFonts w:hint="eastAsia" w:ascii="宋体" w:hAnsi="宋体" w:cs="Arial"/>
                <w:color w:val="000000" w:themeColor="text1"/>
                <w:sz w:val="24"/>
                <w:highlight w:val="none"/>
                <w:lang w:val="en-US" w:eastAsia="zh-CN"/>
              </w:rPr>
              <w:t>项</w:t>
            </w:r>
            <w:r>
              <w:rPr>
                <w:rFonts w:hint="eastAsia" w:ascii="宋体" w:hAnsi="宋体" w:cs="Arial"/>
                <w:color w:val="000000" w:themeColor="text1"/>
                <w:sz w:val="24"/>
                <w:highlight w:val="none"/>
              </w:rPr>
              <w:t>得1分。（提供复印件加盖公章）（满分</w:t>
            </w:r>
            <w:r>
              <w:rPr>
                <w:rFonts w:hint="eastAsia" w:ascii="宋体" w:hAnsi="宋体" w:cs="Arial"/>
                <w:color w:val="000000" w:themeColor="text1"/>
                <w:sz w:val="24"/>
                <w:highlight w:val="none"/>
                <w:lang w:val="en-US" w:eastAsia="zh-CN"/>
              </w:rPr>
              <w:t>3</w:t>
            </w:r>
            <w:r>
              <w:rPr>
                <w:rFonts w:hint="eastAsia" w:ascii="宋体" w:hAnsi="宋体" w:cs="Arial"/>
                <w:color w:val="000000" w:themeColor="text1"/>
                <w:sz w:val="24"/>
                <w:highlight w:val="none"/>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491" w:type="pct"/>
            <w:vMerge w:val="continue"/>
            <w:tcBorders>
              <w:left w:val="single" w:color="auto" w:sz="4" w:space="0"/>
              <w:right w:val="single" w:color="auto" w:sz="4" w:space="0"/>
            </w:tcBorders>
            <w:vAlign w:val="center"/>
          </w:tcPr>
          <w:p>
            <w:pPr>
              <w:widowControl/>
              <w:spacing w:line="360" w:lineRule="auto"/>
              <w:jc w:val="left"/>
              <w:rPr>
                <w:rFonts w:ascii="宋体" w:hAnsi="宋体" w:cs="宋体"/>
                <w:sz w:val="24"/>
                <w:highlight w:val="none"/>
              </w:rPr>
            </w:pPr>
          </w:p>
        </w:tc>
        <w:tc>
          <w:tcPr>
            <w:tcW w:w="798" w:type="pct"/>
            <w:vMerge w:val="continue"/>
            <w:tcBorders>
              <w:left w:val="single" w:color="auto" w:sz="4" w:space="0"/>
              <w:right w:val="single" w:color="auto" w:sz="4" w:space="0"/>
            </w:tcBorders>
            <w:vAlign w:val="center"/>
          </w:tcPr>
          <w:p>
            <w:pPr>
              <w:widowControl/>
              <w:spacing w:line="360" w:lineRule="auto"/>
              <w:jc w:val="left"/>
              <w:rPr>
                <w:rFonts w:ascii="宋体" w:hAnsi="宋体" w:cs="宋体"/>
                <w:sz w:val="24"/>
                <w:highlight w:val="none"/>
              </w:rPr>
            </w:pPr>
          </w:p>
        </w:tc>
        <w:tc>
          <w:tcPr>
            <w:tcW w:w="3710" w:type="pct"/>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hAnsi="宋体" w:cs="宋体"/>
                <w:sz w:val="24"/>
                <w:highlight w:val="none"/>
              </w:rPr>
            </w:pPr>
            <w:r>
              <w:rPr>
                <w:rFonts w:hint="eastAsia" w:ascii="宋体" w:hAnsi="宋体" w:cs="宋体"/>
                <w:sz w:val="24"/>
                <w:highlight w:val="none"/>
                <w:lang w:val="en-US" w:eastAsia="zh-CN"/>
              </w:rPr>
              <w:t>3</w:t>
            </w:r>
            <w:r>
              <w:rPr>
                <w:rFonts w:hint="eastAsia" w:ascii="宋体" w:hAnsi="宋体" w:cs="宋体"/>
                <w:sz w:val="24"/>
                <w:highlight w:val="none"/>
              </w:rPr>
              <w:t xml:space="preserve">.投标人提供所投产品生产厂家授权函原件得 </w:t>
            </w:r>
            <w:r>
              <w:rPr>
                <w:rFonts w:hint="eastAsia" w:ascii="宋体" w:hAnsi="宋体" w:cs="宋体"/>
                <w:sz w:val="24"/>
                <w:highlight w:val="none"/>
                <w:lang w:val="en-US" w:eastAsia="zh-CN"/>
              </w:rPr>
              <w:t>2</w:t>
            </w:r>
            <w:r>
              <w:rPr>
                <w:rFonts w:hint="eastAsia" w:ascii="宋体" w:hAnsi="宋体" w:cs="宋体"/>
                <w:sz w:val="24"/>
                <w:highlight w:val="none"/>
              </w:rPr>
              <w:t>分，否则不得分。 （满分</w:t>
            </w:r>
            <w:r>
              <w:rPr>
                <w:rFonts w:hint="eastAsia" w:ascii="宋体" w:hAnsi="宋体" w:cs="宋体"/>
                <w:sz w:val="24"/>
                <w:highlight w:val="none"/>
                <w:lang w:val="en-US" w:eastAsia="zh-CN"/>
              </w:rPr>
              <w:t>2</w:t>
            </w:r>
            <w:r>
              <w:rPr>
                <w:rFonts w:hint="eastAsia" w:ascii="宋体" w:hAnsi="宋体" w:cs="宋体"/>
                <w:sz w:val="24"/>
                <w:highlight w:val="none"/>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491" w:type="pct"/>
            <w:vMerge w:val="continue"/>
            <w:tcBorders>
              <w:left w:val="single" w:color="auto" w:sz="4" w:space="0"/>
              <w:right w:val="single" w:color="auto" w:sz="4" w:space="0"/>
            </w:tcBorders>
            <w:vAlign w:val="center"/>
          </w:tcPr>
          <w:p>
            <w:pPr>
              <w:widowControl/>
              <w:spacing w:line="360" w:lineRule="auto"/>
              <w:jc w:val="left"/>
              <w:rPr>
                <w:rFonts w:ascii="宋体" w:hAnsi="宋体" w:cs="宋体"/>
                <w:sz w:val="24"/>
                <w:highlight w:val="none"/>
              </w:rPr>
            </w:pPr>
          </w:p>
        </w:tc>
        <w:tc>
          <w:tcPr>
            <w:tcW w:w="798" w:type="pct"/>
            <w:vMerge w:val="continue"/>
            <w:tcBorders>
              <w:left w:val="single" w:color="auto" w:sz="4" w:space="0"/>
              <w:right w:val="single" w:color="auto" w:sz="4" w:space="0"/>
            </w:tcBorders>
            <w:vAlign w:val="center"/>
          </w:tcPr>
          <w:p>
            <w:pPr>
              <w:widowControl/>
              <w:spacing w:line="360" w:lineRule="auto"/>
              <w:jc w:val="left"/>
              <w:rPr>
                <w:rFonts w:ascii="宋体" w:hAnsi="宋体" w:cs="宋体"/>
                <w:sz w:val="24"/>
                <w:highlight w:val="none"/>
              </w:rPr>
            </w:pPr>
          </w:p>
        </w:tc>
        <w:tc>
          <w:tcPr>
            <w:tcW w:w="3710" w:type="pct"/>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hAnsi="宋体" w:cs="宋体"/>
                <w:sz w:val="24"/>
                <w:highlight w:val="none"/>
              </w:rPr>
            </w:pPr>
            <w:r>
              <w:rPr>
                <w:rFonts w:hint="eastAsia" w:ascii="宋体" w:hAnsi="宋体" w:cs="宋体"/>
                <w:sz w:val="24"/>
                <w:highlight w:val="none"/>
                <w:lang w:val="en-US" w:eastAsia="zh-CN"/>
              </w:rPr>
              <w:t>4</w:t>
            </w:r>
            <w:r>
              <w:rPr>
                <w:rFonts w:hint="eastAsia" w:ascii="宋体" w:hAnsi="宋体" w:cs="宋体"/>
                <w:sz w:val="24"/>
                <w:highlight w:val="none"/>
              </w:rPr>
              <w:t>.</w:t>
            </w:r>
            <w:r>
              <w:rPr>
                <w:rFonts w:hint="eastAsia" w:ascii="宋体" w:hAnsi="宋体"/>
                <w:sz w:val="24"/>
                <w:highlight w:val="none"/>
                <w:lang w:val="en-US" w:eastAsia="zh-CN"/>
              </w:rPr>
              <w:t>所投产品承诺质保期每增加一年得1分，最多得2分，需提供原厂质保承诺函原件。（满分2分）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491" w:type="pct"/>
            <w:vMerge w:val="continue"/>
            <w:tcBorders>
              <w:left w:val="single" w:color="auto" w:sz="4" w:space="0"/>
              <w:right w:val="single" w:color="auto" w:sz="4" w:space="0"/>
            </w:tcBorders>
            <w:vAlign w:val="center"/>
          </w:tcPr>
          <w:p>
            <w:pPr>
              <w:widowControl/>
              <w:spacing w:line="360" w:lineRule="auto"/>
              <w:jc w:val="left"/>
              <w:rPr>
                <w:rFonts w:ascii="宋体" w:hAnsi="宋体" w:cs="宋体"/>
                <w:sz w:val="24"/>
                <w:highlight w:val="none"/>
              </w:rPr>
            </w:pPr>
          </w:p>
        </w:tc>
        <w:tc>
          <w:tcPr>
            <w:tcW w:w="798" w:type="pct"/>
            <w:vMerge w:val="continue"/>
            <w:tcBorders>
              <w:left w:val="single" w:color="auto" w:sz="4" w:space="0"/>
              <w:right w:val="single" w:color="auto" w:sz="4" w:space="0"/>
            </w:tcBorders>
            <w:vAlign w:val="center"/>
          </w:tcPr>
          <w:p>
            <w:pPr>
              <w:widowControl/>
              <w:spacing w:line="360" w:lineRule="auto"/>
              <w:jc w:val="left"/>
              <w:rPr>
                <w:rFonts w:ascii="宋体" w:hAnsi="宋体" w:cs="宋体"/>
                <w:sz w:val="24"/>
                <w:highlight w:val="none"/>
              </w:rPr>
            </w:pPr>
          </w:p>
        </w:tc>
        <w:tc>
          <w:tcPr>
            <w:tcW w:w="3710" w:type="pct"/>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hAnsi="宋体" w:cs="宋体"/>
                <w:sz w:val="24"/>
                <w:highlight w:val="none"/>
              </w:rPr>
            </w:pPr>
            <w:r>
              <w:rPr>
                <w:rFonts w:hint="eastAsia" w:ascii="宋体" w:hAnsi="宋体"/>
                <w:sz w:val="24"/>
                <w:highlight w:val="none"/>
                <w:lang w:val="en-US" w:eastAsia="zh-CN"/>
              </w:rPr>
              <w:t>5</w:t>
            </w:r>
            <w:r>
              <w:rPr>
                <w:rFonts w:hint="eastAsia" w:ascii="宋体" w:hAnsi="宋体"/>
                <w:sz w:val="24"/>
                <w:highlight w:val="none"/>
              </w:rPr>
              <w:t>.承诺维修期间超过48小时的，提供同类型备用设备供医院使用，得</w:t>
            </w:r>
            <w:r>
              <w:rPr>
                <w:rFonts w:hint="eastAsia" w:ascii="宋体" w:hAnsi="宋体"/>
                <w:sz w:val="24"/>
                <w:highlight w:val="none"/>
                <w:lang w:val="en-US" w:eastAsia="zh-CN"/>
              </w:rPr>
              <w:t>2</w:t>
            </w:r>
            <w:r>
              <w:rPr>
                <w:rFonts w:hint="eastAsia" w:ascii="宋体" w:hAnsi="宋体"/>
                <w:sz w:val="24"/>
                <w:highlight w:val="none"/>
              </w:rPr>
              <w:t>分。（共计</w:t>
            </w:r>
            <w:r>
              <w:rPr>
                <w:rFonts w:hint="eastAsia" w:ascii="宋体" w:hAnsi="宋体"/>
                <w:sz w:val="24"/>
                <w:highlight w:val="none"/>
                <w:lang w:val="en-US" w:eastAsia="zh-CN"/>
              </w:rPr>
              <w:t>2</w:t>
            </w:r>
            <w:r>
              <w:rPr>
                <w:rFonts w:hint="eastAsia" w:ascii="宋体" w:hAnsi="宋体"/>
                <w:sz w:val="24"/>
                <w:highlight w:val="none"/>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491" w:type="pct"/>
            <w:vMerge w:val="continue"/>
            <w:tcBorders>
              <w:left w:val="single" w:color="auto" w:sz="4" w:space="0"/>
              <w:right w:val="single" w:color="auto" w:sz="4" w:space="0"/>
            </w:tcBorders>
            <w:vAlign w:val="center"/>
          </w:tcPr>
          <w:p>
            <w:pPr>
              <w:widowControl/>
              <w:spacing w:line="360" w:lineRule="auto"/>
              <w:jc w:val="left"/>
              <w:rPr>
                <w:rFonts w:hint="eastAsia" w:ascii="宋体" w:hAnsi="宋体" w:eastAsia="宋体" w:cs="宋体"/>
                <w:sz w:val="24"/>
                <w:highlight w:val="none"/>
                <w:lang w:val="en-US" w:eastAsia="zh-CN"/>
              </w:rPr>
            </w:pPr>
          </w:p>
        </w:tc>
        <w:tc>
          <w:tcPr>
            <w:tcW w:w="798" w:type="pct"/>
            <w:vMerge w:val="continue"/>
            <w:tcBorders>
              <w:left w:val="single" w:color="auto" w:sz="4" w:space="0"/>
              <w:right w:val="single" w:color="auto" w:sz="4" w:space="0"/>
            </w:tcBorders>
            <w:vAlign w:val="center"/>
          </w:tcPr>
          <w:p>
            <w:pPr>
              <w:widowControl/>
              <w:spacing w:line="360" w:lineRule="auto"/>
              <w:jc w:val="left"/>
              <w:rPr>
                <w:rFonts w:hint="eastAsia" w:ascii="宋体" w:hAnsi="宋体" w:eastAsia="宋体" w:cs="宋体"/>
                <w:sz w:val="24"/>
                <w:highlight w:val="none"/>
                <w:lang w:val="en-US" w:eastAsia="zh-CN"/>
              </w:rPr>
            </w:pPr>
          </w:p>
        </w:tc>
        <w:tc>
          <w:tcPr>
            <w:tcW w:w="3710" w:type="pct"/>
            <w:tcBorders>
              <w:top w:val="single" w:color="auto" w:sz="4" w:space="0"/>
              <w:left w:val="single" w:color="auto" w:sz="4" w:space="0"/>
              <w:bottom w:val="single" w:color="auto" w:sz="4" w:space="0"/>
              <w:right w:val="single" w:color="auto" w:sz="4" w:space="0"/>
            </w:tcBorders>
            <w:vAlign w:val="center"/>
          </w:tcPr>
          <w:p>
            <w:pPr>
              <w:spacing w:line="360" w:lineRule="auto"/>
              <w:rPr>
                <w:rFonts w:hint="eastAsia" w:ascii="宋体" w:hAnsi="宋体"/>
                <w:sz w:val="24"/>
                <w:highlight w:val="none"/>
              </w:rPr>
            </w:pPr>
            <w:r>
              <w:rPr>
                <w:rFonts w:hint="eastAsia" w:ascii="宋体" w:hAnsi="宋体" w:cs="宋体"/>
                <w:sz w:val="24"/>
                <w:highlight w:val="none"/>
                <w:lang w:val="en-US" w:eastAsia="zh-CN"/>
              </w:rPr>
              <w:t>6.</w:t>
            </w:r>
            <w:r>
              <w:rPr>
                <w:rFonts w:hint="eastAsia" w:ascii="宋体" w:hAnsi="宋体" w:cs="宋体"/>
                <w:sz w:val="24"/>
                <w:highlight w:val="none"/>
              </w:rPr>
              <w:t>根据投标人提供的售后服务承诺进行打分，包括但不限于服务内容、服务方式、服务团队、故障响应时间等；售后服务方案具体详细，且完全满足项目需求得</w:t>
            </w:r>
            <w:r>
              <w:rPr>
                <w:rFonts w:hint="eastAsia" w:ascii="宋体" w:hAnsi="宋体" w:cs="宋体"/>
                <w:sz w:val="24"/>
                <w:highlight w:val="none"/>
                <w:lang w:val="en-US" w:eastAsia="zh-CN"/>
              </w:rPr>
              <w:t>5</w:t>
            </w:r>
            <w:r>
              <w:rPr>
                <w:rFonts w:hint="eastAsia" w:ascii="宋体" w:hAnsi="宋体" w:cs="宋体"/>
                <w:sz w:val="24"/>
                <w:highlight w:val="none"/>
              </w:rPr>
              <w:t>分，售后服务方案较完善，基本满足项目需求得</w:t>
            </w:r>
            <w:r>
              <w:rPr>
                <w:rFonts w:hint="eastAsia" w:ascii="宋体" w:hAnsi="宋体" w:cs="宋体"/>
                <w:sz w:val="24"/>
                <w:highlight w:val="none"/>
                <w:lang w:val="en-US" w:eastAsia="zh-CN"/>
              </w:rPr>
              <w:t>3</w:t>
            </w:r>
            <w:r>
              <w:rPr>
                <w:rFonts w:hint="eastAsia" w:ascii="宋体" w:hAnsi="宋体" w:cs="宋体"/>
                <w:sz w:val="24"/>
                <w:highlight w:val="none"/>
              </w:rPr>
              <w:t>分，售后服务方案有漏洞，无法满足项目需求得1分；不提供不得分。（满分</w:t>
            </w:r>
            <w:r>
              <w:rPr>
                <w:rFonts w:hint="eastAsia" w:ascii="宋体" w:hAnsi="宋体" w:cs="宋体"/>
                <w:sz w:val="24"/>
                <w:highlight w:val="none"/>
                <w:lang w:val="en-US" w:eastAsia="zh-CN"/>
              </w:rPr>
              <w:t>5</w:t>
            </w:r>
            <w:r>
              <w:rPr>
                <w:rFonts w:hint="eastAsia" w:ascii="宋体" w:hAnsi="宋体" w:cs="宋体"/>
                <w:sz w:val="24"/>
                <w:highlight w:val="none"/>
              </w:rPr>
              <w:t>分）</w:t>
            </w:r>
          </w:p>
        </w:tc>
      </w:tr>
    </w:tbl>
    <w:p>
      <w:pPr>
        <w:pStyle w:val="22"/>
        <w:rPr>
          <w:rFonts w:hint="default"/>
          <w:highlight w:val="none"/>
          <w:lang w:val="en-US" w:eastAsia="zh-CN"/>
        </w:rPr>
      </w:pPr>
    </w:p>
    <w:p>
      <w:pPr>
        <w:spacing w:line="360" w:lineRule="auto"/>
        <w:ind w:firstLine="240" w:firstLineChars="100"/>
        <w:rPr>
          <w:rFonts w:ascii="宋体" w:hAnsi="宋体" w:cs="宋体"/>
          <w:sz w:val="24"/>
          <w:highlight w:val="none"/>
        </w:rPr>
      </w:pPr>
      <w:r>
        <w:rPr>
          <w:rFonts w:hint="eastAsia" w:ascii="宋体" w:hAnsi="宋体" w:cs="宋体"/>
          <w:sz w:val="24"/>
          <w:highlight w:val="none"/>
        </w:rPr>
        <w:t>（5）评标委员会将评标情况写出书面报告，推荐中标候选人。采用综合评分法的，按照综合得分由高到低标明排列顺序，依次推荐中标候选人。</w:t>
      </w:r>
    </w:p>
    <w:p>
      <w:pPr>
        <w:pStyle w:val="7"/>
        <w:jc w:val="left"/>
        <w:rPr>
          <w:rFonts w:ascii="宋体" w:hAnsi="宋体" w:cs="宋体"/>
          <w:sz w:val="24"/>
          <w:szCs w:val="24"/>
          <w:highlight w:val="none"/>
        </w:rPr>
      </w:pPr>
      <w:bookmarkStart w:id="400" w:name="_Toc183682432"/>
      <w:bookmarkStart w:id="401" w:name="_Toc217446105"/>
      <w:bookmarkStart w:id="402" w:name="_Toc183582297"/>
      <w:bookmarkStart w:id="403" w:name="_Toc208849022"/>
      <w:bookmarkStart w:id="404" w:name="_Toc30222"/>
      <w:bookmarkStart w:id="405" w:name="_Toc30936"/>
      <w:bookmarkStart w:id="406" w:name="_Toc10681"/>
      <w:bookmarkStart w:id="407" w:name="_Toc10445"/>
      <w:bookmarkStart w:id="408" w:name="_Toc26707"/>
      <w:bookmarkStart w:id="409" w:name="_Toc13033"/>
      <w:r>
        <w:rPr>
          <w:rFonts w:hint="eastAsia" w:ascii="宋体" w:hAnsi="宋体" w:cs="宋体"/>
          <w:sz w:val="24"/>
          <w:szCs w:val="24"/>
          <w:highlight w:val="none"/>
        </w:rPr>
        <w:t>3.</w:t>
      </w:r>
      <w:bookmarkEnd w:id="400"/>
      <w:bookmarkEnd w:id="401"/>
      <w:bookmarkEnd w:id="402"/>
      <w:bookmarkEnd w:id="403"/>
      <w:r>
        <w:rPr>
          <w:rFonts w:hint="eastAsia" w:ascii="宋体" w:hAnsi="宋体" w:cs="宋体"/>
          <w:sz w:val="24"/>
          <w:szCs w:val="24"/>
          <w:highlight w:val="none"/>
        </w:rPr>
        <w:t>评标专家在</w:t>
      </w:r>
      <w:r>
        <w:rPr>
          <w:rFonts w:hint="eastAsia" w:ascii="宋体" w:hAnsi="宋体" w:cs="宋体"/>
          <w:sz w:val="24"/>
          <w:szCs w:val="24"/>
          <w:highlight w:val="none"/>
          <w:lang w:eastAsia="zh-CN"/>
        </w:rPr>
        <w:t>采购</w:t>
      </w:r>
      <w:r>
        <w:rPr>
          <w:rFonts w:hint="eastAsia" w:ascii="宋体" w:hAnsi="宋体" w:cs="宋体"/>
          <w:sz w:val="24"/>
          <w:szCs w:val="24"/>
          <w:highlight w:val="none"/>
        </w:rPr>
        <w:t>活动中承担以下义务</w:t>
      </w:r>
      <w:bookmarkEnd w:id="404"/>
      <w:bookmarkEnd w:id="405"/>
      <w:bookmarkEnd w:id="406"/>
      <w:bookmarkEnd w:id="407"/>
      <w:bookmarkEnd w:id="408"/>
      <w:bookmarkEnd w:id="409"/>
    </w:p>
    <w:p>
      <w:pPr>
        <w:widowControl/>
        <w:autoSpaceDE w:val="0"/>
        <w:autoSpaceDN w:val="0"/>
        <w:spacing w:line="360" w:lineRule="auto"/>
        <w:textAlignment w:val="bottom"/>
        <w:rPr>
          <w:rFonts w:ascii="宋体" w:hAnsi="宋体" w:cs="宋体"/>
          <w:sz w:val="24"/>
          <w:highlight w:val="none"/>
        </w:rPr>
      </w:pPr>
      <w:r>
        <w:rPr>
          <w:rFonts w:hint="eastAsia" w:ascii="宋体" w:hAnsi="宋体" w:cs="宋体"/>
          <w:sz w:val="24"/>
          <w:highlight w:val="none"/>
        </w:rPr>
        <w:t>3.1遵纪守法，客观、公正、廉洁地履行职责。</w:t>
      </w:r>
    </w:p>
    <w:p>
      <w:pPr>
        <w:widowControl/>
        <w:autoSpaceDE w:val="0"/>
        <w:autoSpaceDN w:val="0"/>
        <w:spacing w:line="360" w:lineRule="auto"/>
        <w:textAlignment w:val="bottom"/>
        <w:rPr>
          <w:rFonts w:ascii="宋体" w:hAnsi="宋体" w:cs="宋体"/>
          <w:sz w:val="24"/>
          <w:highlight w:val="none"/>
        </w:rPr>
      </w:pPr>
      <w:r>
        <w:rPr>
          <w:rFonts w:hint="eastAsia" w:ascii="宋体" w:hAnsi="宋体" w:cs="宋体"/>
          <w:sz w:val="24"/>
          <w:highlight w:val="none"/>
        </w:rPr>
        <w:t>3.2按照</w:t>
      </w:r>
      <w:r>
        <w:rPr>
          <w:rFonts w:hint="eastAsia" w:ascii="宋体" w:hAnsi="宋体" w:cs="宋体"/>
          <w:sz w:val="24"/>
          <w:highlight w:val="none"/>
          <w:lang w:eastAsia="zh-CN"/>
        </w:rPr>
        <w:t>采购</w:t>
      </w:r>
      <w:r>
        <w:rPr>
          <w:rFonts w:hint="eastAsia" w:ascii="宋体" w:hAnsi="宋体" w:cs="宋体"/>
          <w:sz w:val="24"/>
          <w:highlight w:val="none"/>
        </w:rPr>
        <w:t>法律法规和采购文件的规定要求对投标人的资格条件和投标人提供的产品价格、技术、服务等方面严格进行评判，提供科学合理、公平公正的评审意见，参与起草评审报告，并予签字确认。</w:t>
      </w:r>
    </w:p>
    <w:p>
      <w:pPr>
        <w:widowControl/>
        <w:autoSpaceDE w:val="0"/>
        <w:autoSpaceDN w:val="0"/>
        <w:spacing w:line="360" w:lineRule="auto"/>
        <w:textAlignment w:val="bottom"/>
        <w:rPr>
          <w:rFonts w:ascii="宋体" w:hAnsi="宋体" w:cs="宋体"/>
          <w:sz w:val="24"/>
          <w:highlight w:val="none"/>
        </w:rPr>
      </w:pPr>
      <w:r>
        <w:rPr>
          <w:rFonts w:hint="eastAsia" w:ascii="宋体" w:hAnsi="宋体" w:cs="宋体"/>
          <w:sz w:val="24"/>
          <w:highlight w:val="none"/>
        </w:rPr>
        <w:t>3.3保守秘密。不得透露采购文件咨询情况，不得</w:t>
      </w:r>
      <w:r>
        <w:rPr>
          <w:rFonts w:hint="eastAsia" w:ascii="宋体" w:hAnsi="宋体" w:cs="宋体"/>
          <w:sz w:val="24"/>
          <w:highlight w:val="none"/>
          <w:lang w:eastAsia="zh-CN"/>
        </w:rPr>
        <w:t>泄露</w:t>
      </w:r>
      <w:r>
        <w:rPr>
          <w:rFonts w:hint="eastAsia" w:ascii="宋体" w:hAnsi="宋体" w:cs="宋体"/>
          <w:sz w:val="24"/>
          <w:highlight w:val="none"/>
        </w:rPr>
        <w:t>投标人的投标文件及知悉的商业秘密，不得向投标人透露评审情况。</w:t>
      </w:r>
    </w:p>
    <w:p>
      <w:pPr>
        <w:widowControl/>
        <w:autoSpaceDE w:val="0"/>
        <w:autoSpaceDN w:val="0"/>
        <w:spacing w:line="360" w:lineRule="auto"/>
        <w:textAlignment w:val="bottom"/>
        <w:rPr>
          <w:rFonts w:ascii="宋体" w:hAnsi="宋体" w:cs="宋体"/>
          <w:sz w:val="24"/>
          <w:highlight w:val="none"/>
        </w:rPr>
      </w:pPr>
      <w:r>
        <w:rPr>
          <w:rFonts w:hint="eastAsia" w:ascii="宋体" w:hAnsi="宋体" w:cs="宋体"/>
          <w:sz w:val="24"/>
          <w:highlight w:val="none"/>
        </w:rPr>
        <w:t>3.4发现投标人在</w:t>
      </w:r>
      <w:r>
        <w:rPr>
          <w:rFonts w:hint="eastAsia" w:ascii="宋体" w:hAnsi="宋体" w:cs="宋体"/>
          <w:sz w:val="24"/>
          <w:highlight w:val="none"/>
          <w:lang w:eastAsia="zh-CN"/>
        </w:rPr>
        <w:t>采购</w:t>
      </w:r>
      <w:r>
        <w:rPr>
          <w:rFonts w:hint="eastAsia" w:ascii="宋体" w:hAnsi="宋体" w:cs="宋体"/>
          <w:sz w:val="24"/>
          <w:highlight w:val="none"/>
        </w:rPr>
        <w:t>活动中有不正当竞争或恶意串通等违规行为，及时向</w:t>
      </w:r>
      <w:r>
        <w:rPr>
          <w:rFonts w:hint="eastAsia" w:ascii="宋体" w:hAnsi="宋体" w:cs="宋体"/>
          <w:sz w:val="24"/>
          <w:highlight w:val="none"/>
          <w:lang w:eastAsia="zh-CN"/>
        </w:rPr>
        <w:t>采购</w:t>
      </w:r>
      <w:r>
        <w:rPr>
          <w:rFonts w:hint="eastAsia" w:ascii="宋体" w:hAnsi="宋体" w:cs="宋体"/>
          <w:sz w:val="24"/>
          <w:highlight w:val="none"/>
        </w:rPr>
        <w:t>评审工作的组织者或行政监管部门报告并加以制止。</w:t>
      </w:r>
    </w:p>
    <w:p>
      <w:pPr>
        <w:widowControl/>
        <w:autoSpaceDE w:val="0"/>
        <w:autoSpaceDN w:val="0"/>
        <w:spacing w:line="360" w:lineRule="auto"/>
        <w:textAlignment w:val="bottom"/>
        <w:rPr>
          <w:rFonts w:ascii="宋体" w:hAnsi="宋体" w:cs="宋体"/>
          <w:sz w:val="24"/>
          <w:highlight w:val="none"/>
        </w:rPr>
      </w:pPr>
      <w:r>
        <w:rPr>
          <w:rFonts w:hint="eastAsia" w:ascii="宋体" w:hAnsi="宋体" w:cs="宋体"/>
          <w:sz w:val="24"/>
          <w:highlight w:val="none"/>
        </w:rPr>
        <w:t>3.5发现采购人、</w:t>
      </w:r>
      <w:r>
        <w:rPr>
          <w:rFonts w:hint="eastAsia" w:ascii="宋体" w:hAnsi="宋体" w:cs="宋体"/>
          <w:sz w:val="24"/>
          <w:highlight w:val="none"/>
          <w:lang w:eastAsia="zh-CN"/>
        </w:rPr>
        <w:t>采购人</w:t>
      </w:r>
      <w:r>
        <w:rPr>
          <w:rFonts w:hint="eastAsia" w:ascii="宋体" w:hAnsi="宋体" w:cs="宋体"/>
          <w:sz w:val="24"/>
          <w:highlight w:val="none"/>
        </w:rPr>
        <w:t>及其工作人员在</w:t>
      </w:r>
      <w:r>
        <w:rPr>
          <w:rFonts w:hint="eastAsia" w:ascii="宋体" w:hAnsi="宋体" w:cs="宋体"/>
          <w:sz w:val="24"/>
          <w:highlight w:val="none"/>
          <w:lang w:eastAsia="zh-CN"/>
        </w:rPr>
        <w:t>采购</w:t>
      </w:r>
      <w:r>
        <w:rPr>
          <w:rFonts w:hint="eastAsia" w:ascii="宋体" w:hAnsi="宋体" w:cs="宋体"/>
          <w:sz w:val="24"/>
          <w:highlight w:val="none"/>
        </w:rPr>
        <w:t>活动中有干预评审、发表倾向性和歧视性言论、受贿或者接受投标人的其他好处及其他违法违规行为，及时向行政监管部门报告。</w:t>
      </w:r>
    </w:p>
    <w:p>
      <w:pPr>
        <w:widowControl/>
        <w:autoSpaceDE w:val="0"/>
        <w:autoSpaceDN w:val="0"/>
        <w:spacing w:line="360" w:lineRule="auto"/>
        <w:textAlignment w:val="bottom"/>
        <w:rPr>
          <w:rFonts w:ascii="宋体" w:hAnsi="宋体" w:cs="宋体"/>
          <w:sz w:val="24"/>
          <w:highlight w:val="none"/>
        </w:rPr>
      </w:pPr>
      <w:r>
        <w:rPr>
          <w:rFonts w:hint="eastAsia" w:ascii="宋体" w:hAnsi="宋体" w:cs="宋体"/>
          <w:sz w:val="24"/>
          <w:highlight w:val="none"/>
        </w:rPr>
        <w:t>3.6解答有关方面对</w:t>
      </w:r>
      <w:r>
        <w:rPr>
          <w:rFonts w:hint="eastAsia" w:ascii="宋体" w:hAnsi="宋体" w:cs="宋体"/>
          <w:sz w:val="24"/>
          <w:highlight w:val="none"/>
          <w:lang w:eastAsia="zh-CN"/>
        </w:rPr>
        <w:t>采购</w:t>
      </w:r>
      <w:r>
        <w:rPr>
          <w:rFonts w:hint="eastAsia" w:ascii="宋体" w:hAnsi="宋体" w:cs="宋体"/>
          <w:sz w:val="24"/>
          <w:highlight w:val="none"/>
        </w:rPr>
        <w:t>评审工作中有关问题的询问，配合采购人或者</w:t>
      </w:r>
      <w:r>
        <w:rPr>
          <w:rFonts w:hint="eastAsia" w:ascii="宋体" w:hAnsi="宋体" w:cs="宋体"/>
          <w:sz w:val="24"/>
          <w:highlight w:val="none"/>
          <w:lang w:eastAsia="zh-CN"/>
        </w:rPr>
        <w:t>采购人</w:t>
      </w:r>
      <w:r>
        <w:rPr>
          <w:rFonts w:hint="eastAsia" w:ascii="宋体" w:hAnsi="宋体" w:cs="宋体"/>
          <w:sz w:val="24"/>
          <w:highlight w:val="none"/>
        </w:rPr>
        <w:t>答复投标人质疑，配合行政监管部门的投诉处理工作等事宜。</w:t>
      </w:r>
    </w:p>
    <w:p>
      <w:pPr>
        <w:widowControl/>
        <w:autoSpaceDE w:val="0"/>
        <w:autoSpaceDN w:val="0"/>
        <w:spacing w:line="360" w:lineRule="auto"/>
        <w:textAlignment w:val="bottom"/>
        <w:rPr>
          <w:rFonts w:ascii="宋体" w:hAnsi="宋体" w:cs="宋体"/>
          <w:sz w:val="24"/>
          <w:highlight w:val="none"/>
        </w:rPr>
      </w:pPr>
      <w:r>
        <w:rPr>
          <w:rFonts w:hint="eastAsia" w:ascii="宋体" w:hAnsi="宋体" w:cs="宋体"/>
          <w:sz w:val="24"/>
          <w:highlight w:val="none"/>
        </w:rPr>
        <w:t>3.7法律、法规和规章规定的其他义务。</w:t>
      </w:r>
    </w:p>
    <w:p>
      <w:pPr>
        <w:pStyle w:val="7"/>
        <w:jc w:val="left"/>
        <w:rPr>
          <w:rFonts w:ascii="宋体" w:hAnsi="宋体" w:cs="宋体"/>
          <w:sz w:val="24"/>
          <w:szCs w:val="24"/>
          <w:highlight w:val="none"/>
        </w:rPr>
      </w:pPr>
      <w:bookmarkStart w:id="410" w:name="_Toc32632"/>
      <w:bookmarkStart w:id="411" w:name="_Toc7963"/>
      <w:bookmarkStart w:id="412" w:name="_Toc7845"/>
      <w:bookmarkStart w:id="413" w:name="_Toc15945"/>
      <w:bookmarkStart w:id="414" w:name="_Toc25902"/>
      <w:bookmarkStart w:id="415" w:name="_Toc28446"/>
      <w:r>
        <w:rPr>
          <w:rFonts w:hint="eastAsia" w:ascii="宋体" w:hAnsi="宋体" w:cs="宋体"/>
          <w:sz w:val="24"/>
          <w:szCs w:val="24"/>
          <w:highlight w:val="none"/>
        </w:rPr>
        <w:t>4.评审专家在</w:t>
      </w:r>
      <w:r>
        <w:rPr>
          <w:rFonts w:hint="eastAsia" w:ascii="宋体" w:hAnsi="宋体" w:cs="宋体"/>
          <w:sz w:val="24"/>
          <w:szCs w:val="24"/>
          <w:highlight w:val="none"/>
          <w:lang w:eastAsia="zh-CN"/>
        </w:rPr>
        <w:t>采购</w:t>
      </w:r>
      <w:r>
        <w:rPr>
          <w:rFonts w:hint="eastAsia" w:ascii="宋体" w:hAnsi="宋体" w:cs="宋体"/>
          <w:sz w:val="24"/>
          <w:szCs w:val="24"/>
          <w:highlight w:val="none"/>
        </w:rPr>
        <w:t>活动中应当遵守以下工作纪律</w:t>
      </w:r>
      <w:bookmarkEnd w:id="410"/>
      <w:bookmarkEnd w:id="411"/>
      <w:bookmarkEnd w:id="412"/>
      <w:bookmarkEnd w:id="413"/>
      <w:bookmarkEnd w:id="414"/>
      <w:bookmarkEnd w:id="415"/>
    </w:p>
    <w:p>
      <w:pPr>
        <w:widowControl/>
        <w:autoSpaceDE w:val="0"/>
        <w:autoSpaceDN w:val="0"/>
        <w:spacing w:line="360" w:lineRule="auto"/>
        <w:textAlignment w:val="bottom"/>
        <w:rPr>
          <w:rFonts w:ascii="宋体" w:hAnsi="宋体" w:cs="宋体"/>
          <w:sz w:val="24"/>
          <w:highlight w:val="none"/>
        </w:rPr>
      </w:pPr>
      <w:r>
        <w:rPr>
          <w:rFonts w:hint="eastAsia" w:ascii="宋体" w:hAnsi="宋体" w:cs="宋体"/>
          <w:sz w:val="24"/>
          <w:highlight w:val="none"/>
        </w:rPr>
        <w:t>4.1应邀按时参加评审和咨询活动。遇特殊情况不能出席或途中遇阻不能按时参加评审或咨询的，应及时告知采购人或者</w:t>
      </w:r>
      <w:r>
        <w:rPr>
          <w:rFonts w:hint="eastAsia" w:ascii="宋体" w:hAnsi="宋体" w:cs="宋体"/>
          <w:sz w:val="24"/>
          <w:highlight w:val="none"/>
          <w:lang w:eastAsia="zh-CN"/>
        </w:rPr>
        <w:t>采购人</w:t>
      </w:r>
      <w:r>
        <w:rPr>
          <w:rFonts w:hint="eastAsia" w:ascii="宋体" w:hAnsi="宋体" w:cs="宋体"/>
          <w:sz w:val="24"/>
          <w:highlight w:val="none"/>
        </w:rPr>
        <w:t>，不得私自转托他人。</w:t>
      </w:r>
    </w:p>
    <w:p>
      <w:pPr>
        <w:widowControl/>
        <w:autoSpaceDE w:val="0"/>
        <w:autoSpaceDN w:val="0"/>
        <w:spacing w:line="360" w:lineRule="auto"/>
        <w:textAlignment w:val="bottom"/>
        <w:rPr>
          <w:rFonts w:ascii="宋体" w:hAnsi="宋体" w:cs="宋体"/>
          <w:sz w:val="24"/>
          <w:highlight w:val="none"/>
        </w:rPr>
      </w:pPr>
      <w:r>
        <w:rPr>
          <w:rFonts w:hint="eastAsia" w:ascii="宋体" w:hAnsi="宋体" w:cs="宋体"/>
          <w:sz w:val="24"/>
          <w:highlight w:val="none"/>
        </w:rPr>
        <w:t>4.2不得参加与自己有利害关系的</w:t>
      </w:r>
      <w:r>
        <w:rPr>
          <w:rFonts w:hint="eastAsia" w:ascii="宋体" w:hAnsi="宋体" w:cs="宋体"/>
          <w:sz w:val="24"/>
          <w:highlight w:val="none"/>
          <w:lang w:eastAsia="zh-CN"/>
        </w:rPr>
        <w:t>采购</w:t>
      </w:r>
      <w:r>
        <w:rPr>
          <w:rFonts w:hint="eastAsia" w:ascii="宋体" w:hAnsi="宋体" w:cs="宋体"/>
          <w:sz w:val="24"/>
          <w:highlight w:val="none"/>
        </w:rPr>
        <w:t>项目的评审活动。对与自己有利害关系的评审项目，如受到邀请，应主动提出回避。行政监管部门、采购人或</w:t>
      </w:r>
      <w:r>
        <w:rPr>
          <w:rFonts w:hint="eastAsia" w:ascii="宋体" w:hAnsi="宋体" w:cs="宋体"/>
          <w:sz w:val="24"/>
          <w:highlight w:val="none"/>
          <w:lang w:eastAsia="zh-CN"/>
        </w:rPr>
        <w:t>采购人</w:t>
      </w:r>
      <w:r>
        <w:rPr>
          <w:rFonts w:hint="eastAsia" w:ascii="宋体" w:hAnsi="宋体" w:cs="宋体"/>
          <w:sz w:val="24"/>
          <w:highlight w:val="none"/>
        </w:rPr>
        <w:t>也可要求该评审专家回避。</w:t>
      </w:r>
    </w:p>
    <w:p>
      <w:pPr>
        <w:widowControl/>
        <w:autoSpaceDE w:val="0"/>
        <w:autoSpaceDN w:val="0"/>
        <w:spacing w:line="360" w:lineRule="auto"/>
        <w:ind w:firstLine="480" w:firstLineChars="200"/>
        <w:textAlignment w:val="bottom"/>
        <w:rPr>
          <w:rFonts w:ascii="宋体" w:hAnsi="宋体" w:cs="宋体"/>
          <w:sz w:val="24"/>
          <w:highlight w:val="none"/>
        </w:rPr>
      </w:pPr>
      <w:r>
        <w:rPr>
          <w:rFonts w:hint="eastAsia" w:ascii="宋体" w:hAnsi="宋体" w:cs="宋体"/>
          <w:sz w:val="24"/>
          <w:highlight w:val="none"/>
        </w:rPr>
        <w:t>有利害关系主要是指三年内曾在参加该采购项目投标人中任职(包括一般工作)或担任顾问，配偶或直系亲属在参加该采购项目的投标人中任职或担任顾问，与参加该采购项目投标人发生过法律纠纷，以及其他可能影响公正评审的情况。</w:t>
      </w:r>
    </w:p>
    <w:p>
      <w:pPr>
        <w:widowControl/>
        <w:autoSpaceDE w:val="0"/>
        <w:autoSpaceDN w:val="0"/>
        <w:spacing w:line="360" w:lineRule="auto"/>
        <w:textAlignment w:val="bottom"/>
        <w:rPr>
          <w:rFonts w:ascii="宋体" w:hAnsi="宋体" w:cs="宋体"/>
          <w:sz w:val="24"/>
          <w:highlight w:val="none"/>
        </w:rPr>
      </w:pPr>
      <w:r>
        <w:rPr>
          <w:rFonts w:hint="eastAsia" w:ascii="宋体" w:hAnsi="宋体" w:cs="宋体"/>
          <w:sz w:val="24"/>
          <w:highlight w:val="none"/>
        </w:rPr>
        <w:t>4.3评审或咨询过程中关闭通讯设备，不得与外界联系。因发生不可预见情况，确实需要与外界联系的，应当有在场工作人员陪同。</w:t>
      </w:r>
    </w:p>
    <w:p>
      <w:pPr>
        <w:widowControl/>
        <w:autoSpaceDE w:val="0"/>
        <w:autoSpaceDN w:val="0"/>
        <w:spacing w:line="360" w:lineRule="auto"/>
        <w:textAlignment w:val="bottom"/>
        <w:rPr>
          <w:rFonts w:ascii="宋体" w:hAnsi="宋体" w:cs="宋体"/>
          <w:sz w:val="24"/>
          <w:highlight w:val="none"/>
        </w:rPr>
      </w:pPr>
      <w:r>
        <w:rPr>
          <w:rFonts w:hint="eastAsia" w:ascii="宋体" w:hAnsi="宋体" w:cs="宋体"/>
          <w:sz w:val="24"/>
          <w:highlight w:val="none"/>
        </w:rPr>
        <w:t>4.4评审过程中，不得发表影响评审公正的倾向性、歧视性言论；不得征询或者接受采购人的倾向性意见；不得以任何明示或暗示的方式要求参加该采购项目的投标人以澄清、说明或补正为借口，表达与其原投标文件原意不同的新意见；不得以采购文件没有规定的方法和标准作为评审的依据；不得违反规定的评审格式评分和撰写评审意见；不得拒绝对自己的评审意见签字确认。</w:t>
      </w:r>
    </w:p>
    <w:p>
      <w:pPr>
        <w:widowControl/>
        <w:autoSpaceDE w:val="0"/>
        <w:autoSpaceDN w:val="0"/>
        <w:spacing w:line="360" w:lineRule="auto"/>
        <w:textAlignment w:val="bottom"/>
        <w:rPr>
          <w:rFonts w:ascii="宋体" w:hAnsi="宋体" w:cs="宋体"/>
          <w:sz w:val="24"/>
          <w:highlight w:val="none"/>
        </w:rPr>
      </w:pPr>
      <w:r>
        <w:rPr>
          <w:rFonts w:hint="eastAsia" w:ascii="宋体" w:hAnsi="宋体" w:cs="宋体"/>
          <w:sz w:val="24"/>
          <w:highlight w:val="none"/>
        </w:rPr>
        <w:t>4.5在咨询工作中，严格执行国家产业政策和产品标准，认真听取咨询方的合理要求，提出科学合理的、无倾向性和歧视性的咨询方案，并对所提出的意见和建议承担个人责任。</w:t>
      </w:r>
    </w:p>
    <w:p>
      <w:pPr>
        <w:pStyle w:val="6"/>
        <w:jc w:val="both"/>
        <w:rPr>
          <w:rFonts w:ascii="宋体" w:hAnsi="宋体" w:cs="宋体"/>
          <w:b w:val="0"/>
          <w:bCs w:val="0"/>
          <w:sz w:val="32"/>
          <w:szCs w:val="32"/>
          <w:highlight w:val="none"/>
        </w:rPr>
      </w:pPr>
      <w:bookmarkStart w:id="416" w:name="_Toc20223"/>
      <w:bookmarkStart w:id="417" w:name="_Toc11807"/>
      <w:bookmarkStart w:id="418" w:name="_Toc23996"/>
      <w:bookmarkStart w:id="419" w:name="_Toc13382"/>
      <w:bookmarkStart w:id="420" w:name="_Toc3056"/>
      <w:bookmarkStart w:id="421" w:name="_Toc17764"/>
      <w:bookmarkStart w:id="422" w:name="_Toc12937"/>
      <w:r>
        <w:rPr>
          <w:rFonts w:hint="eastAsia" w:ascii="宋体" w:hAnsi="宋体" w:cs="宋体"/>
          <w:b w:val="0"/>
          <w:bCs w:val="0"/>
          <w:sz w:val="24"/>
          <w:highlight w:val="none"/>
        </w:rPr>
        <w:t>4.6有关部门（机构）制定的其他评审工作纪律。</w:t>
      </w:r>
      <w:bookmarkEnd w:id="416"/>
      <w:bookmarkEnd w:id="417"/>
      <w:bookmarkEnd w:id="418"/>
      <w:bookmarkEnd w:id="419"/>
      <w:bookmarkEnd w:id="420"/>
      <w:bookmarkEnd w:id="421"/>
      <w:bookmarkEnd w:id="422"/>
    </w:p>
    <w:bookmarkEnd w:id="374"/>
    <w:p>
      <w:pPr>
        <w:rPr>
          <w:rFonts w:hint="eastAsia" w:ascii="宋体" w:hAnsi="宋体" w:cs="宋体"/>
          <w:sz w:val="32"/>
          <w:szCs w:val="32"/>
          <w:highlight w:val="none"/>
        </w:rPr>
      </w:pPr>
      <w:bookmarkStart w:id="423" w:name="_Toc327439487"/>
      <w:bookmarkStart w:id="424" w:name="_Toc3928"/>
      <w:bookmarkStart w:id="425" w:name="_Toc23448"/>
      <w:bookmarkStart w:id="426" w:name="_Toc14921"/>
      <w:r>
        <w:rPr>
          <w:rFonts w:hint="eastAsia" w:ascii="宋体" w:hAnsi="宋体" w:cs="宋体"/>
          <w:sz w:val="32"/>
          <w:szCs w:val="32"/>
          <w:highlight w:val="none"/>
        </w:rPr>
        <w:br w:type="page"/>
      </w:r>
    </w:p>
    <w:p>
      <w:pPr>
        <w:pStyle w:val="6"/>
        <w:jc w:val="center"/>
        <w:rPr>
          <w:rFonts w:ascii="宋体" w:hAnsi="宋体" w:cs="宋体"/>
          <w:spacing w:val="10"/>
          <w:sz w:val="32"/>
          <w:szCs w:val="32"/>
          <w:highlight w:val="none"/>
        </w:rPr>
      </w:pPr>
      <w:r>
        <w:rPr>
          <w:rFonts w:hint="eastAsia" w:ascii="宋体" w:hAnsi="宋体" w:cs="宋体"/>
          <w:sz w:val="32"/>
          <w:szCs w:val="32"/>
          <w:highlight w:val="none"/>
        </w:rPr>
        <w:t>第六章</w:t>
      </w:r>
      <w:bookmarkEnd w:id="423"/>
      <w:r>
        <w:rPr>
          <w:rFonts w:hint="eastAsia" w:ascii="宋体" w:hAnsi="宋体" w:cs="宋体"/>
          <w:sz w:val="32"/>
          <w:szCs w:val="32"/>
          <w:highlight w:val="none"/>
        </w:rPr>
        <w:t xml:space="preserve">  投标文件格式</w:t>
      </w:r>
      <w:bookmarkEnd w:id="424"/>
      <w:bookmarkEnd w:id="425"/>
      <w:bookmarkEnd w:id="426"/>
    </w:p>
    <w:p>
      <w:pPr>
        <w:spacing w:line="360" w:lineRule="auto"/>
        <w:ind w:firstLine="520" w:firstLineChars="200"/>
        <w:rPr>
          <w:rFonts w:ascii="宋体" w:hAnsi="宋体" w:cs="宋体"/>
          <w:spacing w:val="10"/>
          <w:sz w:val="24"/>
          <w:highlight w:val="none"/>
        </w:rPr>
      </w:pPr>
      <w:r>
        <w:rPr>
          <w:rFonts w:hint="eastAsia" w:ascii="宋体" w:hAnsi="宋体" w:cs="宋体"/>
          <w:spacing w:val="10"/>
          <w:sz w:val="24"/>
          <w:highlight w:val="none"/>
        </w:rPr>
        <w:t>注：本章提供的格式只是投标文件的部分格式内容，其他未提供格式的附件，请自行拟写。</w:t>
      </w:r>
    </w:p>
    <w:p>
      <w:pPr>
        <w:pStyle w:val="7"/>
        <w:spacing w:before="0" w:after="0"/>
        <w:rPr>
          <w:highlight w:val="none"/>
        </w:rPr>
      </w:pPr>
      <w:bookmarkStart w:id="427" w:name="_Toc17089"/>
      <w:bookmarkStart w:id="428" w:name="_Toc23034"/>
      <w:bookmarkStart w:id="429" w:name="_Toc28645"/>
      <w:bookmarkStart w:id="430" w:name="_Toc22178"/>
      <w:bookmarkStart w:id="431" w:name="_Toc13676"/>
      <w:bookmarkStart w:id="432" w:name="_Toc21307"/>
      <w:bookmarkStart w:id="433" w:name="_Toc23429"/>
      <w:r>
        <w:rPr>
          <w:rFonts w:hint="eastAsia" w:ascii="宋体" w:hAnsi="宋体"/>
          <w:sz w:val="28"/>
          <w:szCs w:val="28"/>
          <w:highlight w:val="none"/>
        </w:rPr>
        <w:t>1.投 标 函</w:t>
      </w:r>
      <w:bookmarkEnd w:id="427"/>
      <w:bookmarkEnd w:id="428"/>
      <w:bookmarkEnd w:id="429"/>
      <w:bookmarkEnd w:id="430"/>
      <w:bookmarkEnd w:id="431"/>
      <w:bookmarkEnd w:id="432"/>
      <w:bookmarkEnd w:id="433"/>
    </w:p>
    <w:p>
      <w:pPr>
        <w:spacing w:line="380" w:lineRule="atLeast"/>
        <w:rPr>
          <w:rFonts w:hint="eastAsia" w:eastAsia="宋体"/>
          <w:sz w:val="24"/>
          <w:highlight w:val="none"/>
          <w:lang w:eastAsia="zh-CN"/>
        </w:rPr>
      </w:pPr>
      <w:bookmarkStart w:id="434" w:name="_Toc327439490"/>
      <w:bookmarkStart w:id="435" w:name="_Toc139965361"/>
      <w:r>
        <w:rPr>
          <w:rFonts w:hint="eastAsia"/>
          <w:sz w:val="24"/>
          <w:highlight w:val="none"/>
        </w:rPr>
        <w:t>致：</w:t>
      </w:r>
    </w:p>
    <w:p>
      <w:pPr>
        <w:spacing w:line="380" w:lineRule="atLeast"/>
        <w:ind w:left="120" w:hanging="120" w:hangingChars="50"/>
        <w:rPr>
          <w:rFonts w:ascii="宋体" w:hAnsi="宋体"/>
          <w:sz w:val="24"/>
          <w:highlight w:val="none"/>
        </w:rPr>
      </w:pPr>
      <w:r>
        <w:rPr>
          <w:rFonts w:hint="eastAsia" w:ascii="宋体" w:hAnsi="宋体"/>
          <w:sz w:val="24"/>
          <w:highlight w:val="none"/>
        </w:rPr>
        <w:t xml:space="preserve">    根据贵方招标编号为</w:t>
      </w:r>
      <w:r>
        <w:rPr>
          <w:rFonts w:hint="eastAsia" w:ascii="宋体" w:hAnsi="宋体"/>
          <w:sz w:val="24"/>
          <w:highlight w:val="none"/>
          <w:u w:val="single"/>
        </w:rPr>
        <w:t xml:space="preserve">        </w:t>
      </w:r>
      <w:r>
        <w:rPr>
          <w:rFonts w:hint="eastAsia" w:ascii="宋体" w:hAnsi="宋体"/>
          <w:sz w:val="24"/>
          <w:highlight w:val="none"/>
        </w:rPr>
        <w:t>的</w:t>
      </w:r>
      <w:r>
        <w:rPr>
          <w:rFonts w:hint="eastAsia" w:ascii="宋体" w:hAnsi="宋体"/>
          <w:sz w:val="24"/>
          <w:highlight w:val="none"/>
          <w:u w:val="single"/>
        </w:rPr>
        <w:t>（项目名称）</w:t>
      </w:r>
      <w:r>
        <w:rPr>
          <w:rFonts w:hint="eastAsia" w:ascii="宋体" w:hAnsi="宋体"/>
          <w:sz w:val="24"/>
          <w:highlight w:val="none"/>
        </w:rPr>
        <w:t>的投标邀请，我方授权</w:t>
      </w:r>
      <w:r>
        <w:rPr>
          <w:rFonts w:hint="eastAsia" w:ascii="宋体" w:hAnsi="宋体"/>
          <w:sz w:val="24"/>
          <w:highlight w:val="none"/>
          <w:u w:val="single"/>
        </w:rPr>
        <w:t xml:space="preserve">      </w:t>
      </w:r>
      <w:r>
        <w:rPr>
          <w:rFonts w:hint="eastAsia" w:ascii="宋体" w:hAnsi="宋体"/>
          <w:sz w:val="24"/>
          <w:highlight w:val="none"/>
        </w:rPr>
        <w:t xml:space="preserve">（全名、职务）代表我方 </w:t>
      </w:r>
      <w:r>
        <w:rPr>
          <w:rFonts w:hint="eastAsia" w:ascii="宋体" w:hAnsi="宋体"/>
          <w:sz w:val="24"/>
          <w:highlight w:val="none"/>
          <w:u w:val="single"/>
        </w:rPr>
        <w:t xml:space="preserve">                   </w:t>
      </w:r>
      <w:r>
        <w:rPr>
          <w:rFonts w:hint="eastAsia" w:ascii="宋体" w:hAnsi="宋体"/>
          <w:sz w:val="24"/>
          <w:highlight w:val="none"/>
        </w:rPr>
        <w:t>（投标人名称）全权处理本项目投标的有关事宜。</w:t>
      </w:r>
    </w:p>
    <w:p>
      <w:pPr>
        <w:spacing w:line="380" w:lineRule="atLeast"/>
        <w:ind w:firstLine="480" w:firstLineChars="200"/>
        <w:rPr>
          <w:rFonts w:ascii="宋体" w:hAnsi="宋体"/>
          <w:sz w:val="24"/>
          <w:highlight w:val="none"/>
        </w:rPr>
      </w:pPr>
      <w:r>
        <w:rPr>
          <w:rFonts w:hint="eastAsia" w:ascii="宋体" w:hAnsi="宋体"/>
          <w:sz w:val="24"/>
          <w:highlight w:val="none"/>
        </w:rPr>
        <w:t>1、我方自愿按照招标文件规定的各项要求向采购人提供所需货物/服务，总投标价为人民币</w:t>
      </w:r>
      <w:r>
        <w:rPr>
          <w:rFonts w:hint="eastAsia" w:ascii="宋体" w:hAnsi="宋体"/>
          <w:sz w:val="24"/>
          <w:highlight w:val="none"/>
          <w:u w:val="single"/>
        </w:rPr>
        <w:t xml:space="preserve">               </w:t>
      </w:r>
      <w:r>
        <w:rPr>
          <w:rFonts w:hint="eastAsia" w:ascii="宋体" w:hAnsi="宋体"/>
          <w:sz w:val="24"/>
          <w:highlight w:val="none"/>
        </w:rPr>
        <w:t>元（大写：</w:t>
      </w:r>
      <w:r>
        <w:rPr>
          <w:rFonts w:hint="eastAsia" w:ascii="宋体" w:hAnsi="宋体"/>
          <w:sz w:val="24"/>
          <w:highlight w:val="none"/>
          <w:u w:val="single"/>
        </w:rPr>
        <w:t xml:space="preserve">                          </w:t>
      </w:r>
      <w:r>
        <w:rPr>
          <w:rFonts w:hint="eastAsia" w:ascii="宋体" w:hAnsi="宋体"/>
          <w:sz w:val="24"/>
          <w:highlight w:val="none"/>
        </w:rPr>
        <w:t xml:space="preserve"> ）。</w:t>
      </w:r>
    </w:p>
    <w:p>
      <w:pPr>
        <w:spacing w:line="380" w:lineRule="atLeast"/>
        <w:ind w:firstLine="480" w:firstLineChars="200"/>
        <w:rPr>
          <w:rFonts w:ascii="宋体" w:hAnsi="宋体"/>
          <w:sz w:val="24"/>
          <w:highlight w:val="none"/>
        </w:rPr>
      </w:pPr>
      <w:r>
        <w:rPr>
          <w:rFonts w:hint="eastAsia" w:ascii="宋体" w:hAnsi="宋体"/>
          <w:sz w:val="24"/>
          <w:highlight w:val="none"/>
        </w:rPr>
        <w:t>2、一旦我方中标，我方将严格履行合同规定的责任和义务，保证于合同签字生效后     日内完成项目的所有相关工作，并交付采购人验收、使用。</w:t>
      </w:r>
    </w:p>
    <w:p>
      <w:pPr>
        <w:spacing w:line="380" w:lineRule="atLeast"/>
        <w:ind w:firstLine="480" w:firstLineChars="200"/>
        <w:rPr>
          <w:rFonts w:ascii="宋体" w:hAnsi="宋体"/>
          <w:sz w:val="24"/>
          <w:highlight w:val="none"/>
        </w:rPr>
      </w:pPr>
      <w:r>
        <w:rPr>
          <w:rFonts w:hint="eastAsia" w:ascii="宋体" w:hAnsi="宋体"/>
          <w:sz w:val="24"/>
          <w:highlight w:val="none"/>
        </w:rPr>
        <w:t>3、我方同意按照招标文件的要求，向贵单位</w:t>
      </w:r>
      <w:r>
        <w:rPr>
          <w:rFonts w:hint="eastAsia" w:ascii="宋体" w:hAnsi="宋体"/>
          <w:sz w:val="24"/>
          <w:highlight w:val="none"/>
          <w:lang w:eastAsia="zh-CN"/>
        </w:rPr>
        <w:t>缴纳</w:t>
      </w:r>
      <w:r>
        <w:rPr>
          <w:rFonts w:hint="eastAsia" w:ascii="宋体" w:hAnsi="宋体"/>
          <w:sz w:val="24"/>
          <w:highlight w:val="none"/>
        </w:rPr>
        <w:t>人民币</w:t>
      </w:r>
      <w:r>
        <w:rPr>
          <w:rFonts w:hint="eastAsia" w:ascii="宋体" w:hAnsi="宋体"/>
          <w:sz w:val="24"/>
          <w:highlight w:val="none"/>
          <w:u w:val="single"/>
        </w:rPr>
        <w:t xml:space="preserve">        </w:t>
      </w:r>
      <w:r>
        <w:rPr>
          <w:rFonts w:hint="eastAsia" w:ascii="宋体" w:hAnsi="宋体"/>
          <w:sz w:val="24"/>
          <w:highlight w:val="none"/>
        </w:rPr>
        <w:t>万元</w:t>
      </w:r>
      <w:r>
        <w:rPr>
          <w:rFonts w:hint="eastAsia" w:ascii="宋体" w:hAnsi="宋体"/>
          <w:sz w:val="24"/>
          <w:highlight w:val="none"/>
          <w:u w:val="single"/>
        </w:rPr>
        <w:t>（大写：            ）</w:t>
      </w:r>
      <w:r>
        <w:rPr>
          <w:rFonts w:hint="eastAsia" w:ascii="宋体" w:hAnsi="宋体"/>
          <w:sz w:val="24"/>
          <w:highlight w:val="none"/>
        </w:rPr>
        <w:t>的投标保证金。并承诺：下列任何情况发生时，我方将不要求退还投标保证金：</w:t>
      </w:r>
    </w:p>
    <w:p>
      <w:pPr>
        <w:spacing w:line="380" w:lineRule="atLeast"/>
        <w:ind w:firstLine="480" w:firstLineChars="200"/>
        <w:rPr>
          <w:rFonts w:ascii="宋体" w:hAnsi="宋体"/>
          <w:sz w:val="24"/>
          <w:highlight w:val="none"/>
        </w:rPr>
      </w:pPr>
      <w:r>
        <w:rPr>
          <w:rFonts w:hint="eastAsia" w:ascii="宋体" w:hAnsi="宋体"/>
          <w:sz w:val="24"/>
          <w:highlight w:val="none"/>
        </w:rPr>
        <w:t>（1）如果我方在投标有效期内撤回投标；</w:t>
      </w:r>
    </w:p>
    <w:p>
      <w:pPr>
        <w:spacing w:line="380" w:lineRule="atLeast"/>
        <w:ind w:firstLine="480" w:firstLineChars="200"/>
        <w:rPr>
          <w:rFonts w:ascii="宋体" w:hAnsi="宋体"/>
          <w:sz w:val="24"/>
          <w:highlight w:val="none"/>
        </w:rPr>
      </w:pPr>
      <w:r>
        <w:rPr>
          <w:rFonts w:hint="eastAsia" w:ascii="宋体" w:hAnsi="宋体"/>
          <w:sz w:val="24"/>
          <w:highlight w:val="none"/>
        </w:rPr>
        <w:t>（2）我方提供了虚假响应招标文件的投标文件；</w:t>
      </w:r>
    </w:p>
    <w:p>
      <w:pPr>
        <w:spacing w:line="380" w:lineRule="atLeast"/>
        <w:ind w:firstLine="480" w:firstLineChars="200"/>
        <w:rPr>
          <w:rFonts w:ascii="宋体" w:hAnsi="宋体"/>
          <w:sz w:val="24"/>
          <w:highlight w:val="none"/>
        </w:rPr>
      </w:pPr>
      <w:r>
        <w:rPr>
          <w:rFonts w:hint="eastAsia" w:ascii="宋体" w:hAnsi="宋体"/>
          <w:sz w:val="24"/>
          <w:highlight w:val="none"/>
        </w:rPr>
        <w:t>（3）在投标过程中有违规违纪行为；</w:t>
      </w:r>
    </w:p>
    <w:p>
      <w:pPr>
        <w:spacing w:line="380" w:lineRule="atLeast"/>
        <w:ind w:firstLine="480" w:firstLineChars="200"/>
        <w:rPr>
          <w:rFonts w:ascii="宋体" w:hAnsi="宋体"/>
          <w:sz w:val="24"/>
          <w:highlight w:val="none"/>
        </w:rPr>
      </w:pPr>
      <w:r>
        <w:rPr>
          <w:rFonts w:hint="eastAsia" w:ascii="宋体" w:hAnsi="宋体"/>
          <w:sz w:val="24"/>
          <w:highlight w:val="none"/>
        </w:rPr>
        <w:t>（4）我方在投标有效期内收到中标通知书后，由于我方原因未能按照招标文件要求提交履约保证金或与采购人签订并履行合同。</w:t>
      </w:r>
    </w:p>
    <w:p>
      <w:pPr>
        <w:spacing w:line="380" w:lineRule="atLeast"/>
        <w:ind w:firstLine="480" w:firstLineChars="200"/>
        <w:rPr>
          <w:rFonts w:ascii="宋体" w:hAnsi="宋体"/>
          <w:sz w:val="24"/>
          <w:highlight w:val="none"/>
        </w:rPr>
      </w:pPr>
      <w:r>
        <w:rPr>
          <w:rFonts w:hint="eastAsia" w:ascii="宋体" w:hAnsi="宋体"/>
          <w:sz w:val="24"/>
          <w:highlight w:val="none"/>
        </w:rPr>
        <w:t>4、本响应有效期为投标响应截止时间起</w:t>
      </w:r>
      <w:r>
        <w:rPr>
          <w:rFonts w:hint="eastAsia" w:ascii="宋体" w:hAnsi="宋体"/>
          <w:sz w:val="24"/>
          <w:highlight w:val="none"/>
          <w:u w:val="single"/>
        </w:rPr>
        <w:t xml:space="preserve">     </w:t>
      </w:r>
      <w:r>
        <w:rPr>
          <w:rFonts w:hint="eastAsia" w:ascii="宋体" w:hAnsi="宋体"/>
          <w:sz w:val="24"/>
          <w:highlight w:val="none"/>
        </w:rPr>
        <w:t>个日历日。</w:t>
      </w:r>
    </w:p>
    <w:p>
      <w:pPr>
        <w:spacing w:line="380" w:lineRule="atLeast"/>
        <w:ind w:firstLine="480" w:firstLineChars="200"/>
        <w:rPr>
          <w:rFonts w:ascii="宋体" w:hAnsi="宋体"/>
          <w:sz w:val="24"/>
          <w:highlight w:val="none"/>
        </w:rPr>
      </w:pPr>
      <w:r>
        <w:rPr>
          <w:rFonts w:hint="eastAsia" w:ascii="宋体" w:hAnsi="宋体"/>
          <w:sz w:val="24"/>
          <w:highlight w:val="none"/>
        </w:rPr>
        <w:t>5、我方为本项目提交的投标文件正本</w:t>
      </w:r>
      <w:r>
        <w:rPr>
          <w:rFonts w:hint="eastAsia" w:ascii="宋体" w:hAnsi="宋体"/>
          <w:sz w:val="24"/>
          <w:highlight w:val="none"/>
          <w:u w:val="single"/>
        </w:rPr>
        <w:t xml:space="preserve">    </w:t>
      </w:r>
      <w:r>
        <w:rPr>
          <w:rFonts w:hint="eastAsia" w:ascii="宋体" w:hAnsi="宋体"/>
          <w:sz w:val="24"/>
          <w:highlight w:val="none"/>
        </w:rPr>
        <w:t>份，副本</w:t>
      </w:r>
      <w:r>
        <w:rPr>
          <w:rFonts w:hint="eastAsia" w:ascii="宋体" w:hAnsi="宋体"/>
          <w:sz w:val="24"/>
          <w:highlight w:val="none"/>
          <w:u w:val="single"/>
        </w:rPr>
        <w:t xml:space="preserve">   </w:t>
      </w:r>
      <w:r>
        <w:rPr>
          <w:rFonts w:hint="eastAsia" w:ascii="宋体" w:hAnsi="宋体"/>
          <w:sz w:val="24"/>
          <w:highlight w:val="none"/>
        </w:rPr>
        <w:t>份，电子文档（U盘）</w:t>
      </w:r>
      <w:r>
        <w:rPr>
          <w:rFonts w:hint="eastAsia" w:ascii="宋体" w:hAnsi="宋体"/>
          <w:sz w:val="24"/>
          <w:highlight w:val="none"/>
          <w:u w:val="single"/>
        </w:rPr>
        <w:t xml:space="preserve">   </w:t>
      </w:r>
      <w:r>
        <w:rPr>
          <w:rFonts w:hint="eastAsia" w:ascii="宋体" w:hAnsi="宋体"/>
          <w:sz w:val="24"/>
          <w:highlight w:val="none"/>
        </w:rPr>
        <w:t>份，用于开标唱标的“开标一览表”</w:t>
      </w:r>
      <w:r>
        <w:rPr>
          <w:rFonts w:hint="eastAsia" w:ascii="宋体" w:hAnsi="宋体"/>
          <w:sz w:val="24"/>
          <w:highlight w:val="none"/>
          <w:u w:val="single"/>
        </w:rPr>
        <w:t xml:space="preserve">   </w:t>
      </w:r>
      <w:r>
        <w:rPr>
          <w:rFonts w:hint="eastAsia" w:ascii="宋体" w:hAnsi="宋体"/>
          <w:sz w:val="24"/>
          <w:highlight w:val="none"/>
        </w:rPr>
        <w:t>份。</w:t>
      </w:r>
    </w:p>
    <w:p>
      <w:pPr>
        <w:spacing w:line="380" w:lineRule="atLeast"/>
        <w:ind w:firstLine="480" w:firstLineChars="200"/>
        <w:rPr>
          <w:rFonts w:ascii="宋体" w:hAnsi="宋体"/>
          <w:sz w:val="24"/>
          <w:highlight w:val="none"/>
        </w:rPr>
      </w:pPr>
      <w:r>
        <w:rPr>
          <w:rFonts w:hint="eastAsia" w:ascii="宋体" w:hAnsi="宋体"/>
          <w:sz w:val="24"/>
          <w:highlight w:val="none"/>
        </w:rPr>
        <w:t>6、我方愿意提供</w:t>
      </w:r>
      <w:r>
        <w:rPr>
          <w:rFonts w:hint="eastAsia" w:ascii="宋体" w:hAnsi="宋体"/>
          <w:sz w:val="24"/>
          <w:highlight w:val="none"/>
          <w:lang w:eastAsia="zh-CN"/>
        </w:rPr>
        <w:t>采购人</w:t>
      </w:r>
      <w:r>
        <w:rPr>
          <w:rFonts w:hint="eastAsia" w:ascii="宋体" w:hAnsi="宋体"/>
          <w:sz w:val="24"/>
          <w:highlight w:val="none"/>
        </w:rPr>
        <w:t>可能另外要求的，与投标有关的文件资料，并保证我方已提供和将要提供的文件资料是真实、准确的。</w:t>
      </w:r>
    </w:p>
    <w:p>
      <w:pPr>
        <w:spacing w:line="380" w:lineRule="atLeast"/>
        <w:ind w:firstLine="480" w:firstLineChars="200"/>
        <w:rPr>
          <w:rFonts w:ascii="宋体" w:hAnsi="宋体"/>
          <w:sz w:val="24"/>
          <w:highlight w:val="none"/>
        </w:rPr>
      </w:pPr>
      <w:r>
        <w:rPr>
          <w:rFonts w:hint="eastAsia" w:ascii="宋体" w:hAnsi="宋体"/>
          <w:sz w:val="24"/>
          <w:highlight w:val="none"/>
        </w:rPr>
        <w:t>7、我方完全理解采购人不一定将合同授予最低报价的投标人的行为。</w:t>
      </w:r>
    </w:p>
    <w:p>
      <w:pPr>
        <w:spacing w:line="380" w:lineRule="atLeast"/>
        <w:ind w:firstLine="480" w:firstLineChars="200"/>
        <w:rPr>
          <w:rFonts w:ascii="宋体" w:hAnsi="宋体"/>
          <w:sz w:val="24"/>
          <w:highlight w:val="none"/>
        </w:rPr>
      </w:pPr>
      <w:r>
        <w:rPr>
          <w:rFonts w:hint="eastAsia" w:ascii="宋体" w:hAnsi="宋体"/>
          <w:sz w:val="24"/>
          <w:highlight w:val="none"/>
        </w:rPr>
        <w:t>8、我方为本项目的中标人后,按照招标文件的要求向支付代理服务费，且承担开标期间的一切费用。</w:t>
      </w:r>
    </w:p>
    <w:p>
      <w:pPr>
        <w:spacing w:line="380" w:lineRule="atLeast"/>
        <w:ind w:firstLine="480" w:firstLineChars="200"/>
        <w:rPr>
          <w:rFonts w:ascii="宋体" w:hAnsi="宋体"/>
          <w:sz w:val="24"/>
          <w:highlight w:val="none"/>
        </w:rPr>
      </w:pPr>
      <w:r>
        <w:rPr>
          <w:rFonts w:hint="eastAsia" w:ascii="宋体" w:hAnsi="宋体"/>
          <w:sz w:val="24"/>
          <w:highlight w:val="none"/>
        </w:rPr>
        <w:t>9、与本投标有关的一切正式</w:t>
      </w:r>
      <w:r>
        <w:rPr>
          <w:rFonts w:hint="eastAsia" w:ascii="宋体" w:hAnsi="宋体"/>
          <w:sz w:val="24"/>
          <w:highlight w:val="none"/>
          <w:lang w:eastAsia="zh-CN"/>
        </w:rPr>
        <w:t>往来通信请寄</w:t>
      </w:r>
      <w:r>
        <w:rPr>
          <w:rFonts w:hint="eastAsia" w:ascii="宋体" w:hAnsi="宋体"/>
          <w:sz w:val="24"/>
          <w:highlight w:val="none"/>
        </w:rPr>
        <w:t>：</w:t>
      </w:r>
    </w:p>
    <w:p>
      <w:pPr>
        <w:spacing w:line="380" w:lineRule="atLeast"/>
        <w:rPr>
          <w:rFonts w:ascii="宋体" w:hAnsi="宋体"/>
          <w:sz w:val="24"/>
          <w:highlight w:val="none"/>
        </w:rPr>
      </w:pPr>
      <w:r>
        <w:rPr>
          <w:rFonts w:hint="eastAsia" w:ascii="宋体" w:hAnsi="宋体"/>
          <w:sz w:val="24"/>
          <w:highlight w:val="none"/>
        </w:rPr>
        <w:t xml:space="preserve">      地址：_________________ 邮编：__________________</w:t>
      </w:r>
    </w:p>
    <w:p>
      <w:pPr>
        <w:spacing w:line="380" w:lineRule="atLeast"/>
        <w:rPr>
          <w:rFonts w:ascii="宋体" w:hAnsi="宋体"/>
          <w:sz w:val="24"/>
          <w:highlight w:val="none"/>
        </w:rPr>
      </w:pPr>
      <w:r>
        <w:rPr>
          <w:rFonts w:hint="eastAsia" w:ascii="宋体" w:hAnsi="宋体"/>
          <w:sz w:val="24"/>
          <w:highlight w:val="none"/>
        </w:rPr>
        <w:t xml:space="preserve">      电话：_________________ 传真：__________________</w:t>
      </w:r>
    </w:p>
    <w:p>
      <w:pPr>
        <w:spacing w:line="380" w:lineRule="atLeast"/>
        <w:rPr>
          <w:rFonts w:ascii="宋体" w:hAnsi="宋体"/>
          <w:sz w:val="24"/>
          <w:highlight w:val="none"/>
          <w:u w:val="single"/>
        </w:rPr>
      </w:pPr>
      <w:r>
        <w:rPr>
          <w:rFonts w:hint="eastAsia" w:ascii="宋体" w:hAnsi="宋体"/>
          <w:sz w:val="24"/>
          <w:highlight w:val="none"/>
        </w:rPr>
        <w:t xml:space="preserve">      投标人名称：</w:t>
      </w:r>
      <w:r>
        <w:rPr>
          <w:rFonts w:hint="eastAsia" w:ascii="宋体" w:hAnsi="宋体"/>
          <w:sz w:val="24"/>
          <w:highlight w:val="none"/>
          <w:u w:val="single"/>
        </w:rPr>
        <w:t xml:space="preserve">             （盖章）</w:t>
      </w:r>
    </w:p>
    <w:p>
      <w:pPr>
        <w:spacing w:line="380" w:lineRule="atLeast"/>
        <w:rPr>
          <w:rFonts w:ascii="宋体" w:hAnsi="宋体"/>
          <w:sz w:val="24"/>
          <w:highlight w:val="none"/>
        </w:rPr>
      </w:pPr>
      <w:r>
        <w:rPr>
          <w:rFonts w:hint="eastAsia" w:ascii="宋体" w:hAnsi="宋体"/>
          <w:sz w:val="24"/>
          <w:highlight w:val="none"/>
        </w:rPr>
        <w:t xml:space="preserve">      法定代表人或授权代表（签字或印章）：</w:t>
      </w:r>
      <w:r>
        <w:rPr>
          <w:rFonts w:hint="eastAsia" w:ascii="宋体" w:hAnsi="宋体"/>
          <w:sz w:val="24"/>
          <w:highlight w:val="none"/>
          <w:u w:val="single"/>
        </w:rPr>
        <w:t xml:space="preserve">                     </w:t>
      </w:r>
    </w:p>
    <w:p>
      <w:pPr>
        <w:pStyle w:val="30"/>
        <w:spacing w:line="360" w:lineRule="auto"/>
        <w:ind w:left="0" w:leftChars="0" w:firstLine="240" w:firstLineChars="100"/>
        <w:rPr>
          <w:b/>
          <w:bCs/>
          <w:sz w:val="24"/>
          <w:szCs w:val="32"/>
          <w:highlight w:val="none"/>
        </w:rPr>
        <w:sectPr>
          <w:headerReference r:id="rId11" w:type="first"/>
          <w:headerReference r:id="rId10" w:type="default"/>
          <w:pgSz w:w="11905" w:h="16838"/>
          <w:pgMar w:top="1077" w:right="1134" w:bottom="1077" w:left="1417" w:header="850" w:footer="992" w:gutter="0"/>
          <w:pgNumType w:fmt="decimal"/>
          <w:cols w:space="0" w:num="1"/>
          <w:titlePg/>
        </w:sectPr>
      </w:pPr>
      <w:r>
        <w:rPr>
          <w:rFonts w:hint="eastAsia" w:ascii="宋体" w:hAnsi="宋体"/>
          <w:sz w:val="24"/>
          <w:highlight w:val="none"/>
        </w:rPr>
        <w:t xml:space="preserve">    日      期：_____年____月____日</w:t>
      </w:r>
    </w:p>
    <w:bookmarkEnd w:id="434"/>
    <w:bookmarkEnd w:id="435"/>
    <w:p>
      <w:pPr>
        <w:pStyle w:val="7"/>
        <w:spacing w:before="0" w:after="0"/>
        <w:ind w:firstLine="1687" w:firstLineChars="600"/>
        <w:jc w:val="left"/>
        <w:rPr>
          <w:rFonts w:ascii="宋体" w:hAnsi="宋体" w:cs="宋体"/>
          <w:b w:val="0"/>
          <w:sz w:val="24"/>
          <w:szCs w:val="24"/>
          <w:highlight w:val="none"/>
        </w:rPr>
      </w:pPr>
      <w:bookmarkStart w:id="436" w:name="_Toc3146"/>
      <w:bookmarkStart w:id="437" w:name="_Toc23974"/>
      <w:bookmarkStart w:id="438" w:name="_Toc16816"/>
      <w:bookmarkStart w:id="439" w:name="_Toc4400"/>
      <w:bookmarkStart w:id="440" w:name="_Toc32417"/>
      <w:bookmarkStart w:id="441" w:name="_Toc10904"/>
      <w:bookmarkStart w:id="442" w:name="_Toc850"/>
      <w:bookmarkStart w:id="443" w:name="_Toc258923306"/>
      <w:r>
        <w:rPr>
          <w:rFonts w:hint="eastAsia" w:ascii="宋体" w:hAnsi="宋体" w:cs="宋体"/>
          <w:sz w:val="28"/>
          <w:szCs w:val="28"/>
          <w:highlight w:val="none"/>
        </w:rPr>
        <w:t>2.法定代表人身份证明(法定代表人参加投标时提供)</w:t>
      </w:r>
      <w:r>
        <w:rPr>
          <w:rFonts w:hint="eastAsia" w:ascii="宋体" w:hAnsi="宋体" w:cs="宋体"/>
          <w:sz w:val="28"/>
          <w:szCs w:val="28"/>
          <w:highlight w:val="none"/>
        </w:rPr>
        <w:br w:type="textWrapping"/>
      </w:r>
      <w:r>
        <w:rPr>
          <w:rFonts w:hint="eastAsia" w:ascii="宋体" w:hAnsi="宋体" w:cs="宋体"/>
          <w:b w:val="0"/>
          <w:sz w:val="24"/>
          <w:szCs w:val="24"/>
          <w:highlight w:val="none"/>
        </w:rPr>
        <w:t>投标人名称：</w:t>
      </w:r>
      <w:r>
        <w:rPr>
          <w:rFonts w:hint="eastAsia" w:ascii="宋体" w:hAnsi="宋体" w:cs="宋体"/>
          <w:b w:val="0"/>
          <w:sz w:val="24"/>
          <w:szCs w:val="24"/>
          <w:highlight w:val="none"/>
        </w:rPr>
        <w:br w:type="textWrapping"/>
      </w:r>
      <w:r>
        <w:rPr>
          <w:rFonts w:hint="eastAsia" w:ascii="宋体" w:hAnsi="宋体" w:cs="宋体"/>
          <w:b w:val="0"/>
          <w:sz w:val="24"/>
          <w:szCs w:val="24"/>
          <w:highlight w:val="none"/>
        </w:rPr>
        <w:t>注册号：</w:t>
      </w:r>
      <w:r>
        <w:rPr>
          <w:rFonts w:hint="eastAsia" w:ascii="宋体" w:hAnsi="宋体" w:cs="宋体"/>
          <w:b w:val="0"/>
          <w:sz w:val="24"/>
          <w:szCs w:val="24"/>
          <w:highlight w:val="none"/>
        </w:rPr>
        <w:br w:type="textWrapping"/>
      </w:r>
      <w:r>
        <w:rPr>
          <w:rFonts w:hint="eastAsia" w:ascii="宋体" w:hAnsi="宋体" w:cs="宋体"/>
          <w:b w:val="0"/>
          <w:sz w:val="24"/>
          <w:szCs w:val="24"/>
          <w:highlight w:val="none"/>
        </w:rPr>
        <w:t>注册地址：</w:t>
      </w:r>
      <w:r>
        <w:rPr>
          <w:rFonts w:hint="eastAsia" w:ascii="宋体" w:hAnsi="宋体" w:cs="宋体"/>
          <w:b w:val="0"/>
          <w:sz w:val="24"/>
          <w:szCs w:val="24"/>
          <w:highlight w:val="none"/>
        </w:rPr>
        <w:br w:type="textWrapping"/>
      </w:r>
      <w:r>
        <w:rPr>
          <w:rFonts w:hint="eastAsia" w:ascii="宋体" w:hAnsi="宋体" w:cs="宋体"/>
          <w:b w:val="0"/>
          <w:sz w:val="24"/>
          <w:szCs w:val="24"/>
          <w:highlight w:val="none"/>
        </w:rPr>
        <w:t>成立时间：年月日</w:t>
      </w:r>
      <w:r>
        <w:rPr>
          <w:rFonts w:hint="eastAsia" w:ascii="宋体" w:hAnsi="宋体" w:cs="宋体"/>
          <w:b w:val="0"/>
          <w:sz w:val="24"/>
          <w:szCs w:val="24"/>
          <w:highlight w:val="none"/>
        </w:rPr>
        <w:br w:type="textWrapping"/>
      </w:r>
      <w:r>
        <w:rPr>
          <w:rFonts w:hint="eastAsia" w:ascii="宋体" w:hAnsi="宋体" w:cs="宋体"/>
          <w:b w:val="0"/>
          <w:sz w:val="24"/>
          <w:szCs w:val="24"/>
          <w:highlight w:val="none"/>
        </w:rPr>
        <w:t>经营期限：</w:t>
      </w:r>
      <w:r>
        <w:rPr>
          <w:rFonts w:hint="eastAsia" w:ascii="宋体" w:hAnsi="宋体" w:cs="宋体"/>
          <w:b w:val="0"/>
          <w:sz w:val="24"/>
          <w:szCs w:val="24"/>
          <w:highlight w:val="none"/>
        </w:rPr>
        <w:br w:type="textWrapping"/>
      </w:r>
      <w:r>
        <w:rPr>
          <w:rFonts w:hint="eastAsia" w:ascii="宋体" w:hAnsi="宋体" w:cs="宋体"/>
          <w:b w:val="0"/>
          <w:sz w:val="24"/>
          <w:szCs w:val="24"/>
          <w:highlight w:val="none"/>
        </w:rPr>
        <w:t>经营范围：</w:t>
      </w:r>
      <w:bookmarkEnd w:id="436"/>
      <w:bookmarkEnd w:id="437"/>
      <w:bookmarkEnd w:id="438"/>
      <w:bookmarkEnd w:id="439"/>
      <w:bookmarkEnd w:id="440"/>
      <w:bookmarkEnd w:id="441"/>
      <w:bookmarkEnd w:id="442"/>
      <w:bookmarkStart w:id="444" w:name="_Toc17840"/>
      <w:bookmarkStart w:id="445" w:name="_Toc9513"/>
      <w:bookmarkStart w:id="446" w:name="_Toc15783"/>
      <w:bookmarkStart w:id="447" w:name="_Toc19135"/>
      <w:bookmarkStart w:id="448" w:name="_Toc19965"/>
      <w:bookmarkStart w:id="449" w:name="_Toc10366"/>
      <w:bookmarkStart w:id="450" w:name="_Toc19360"/>
      <w:bookmarkStart w:id="451" w:name="_Toc3177"/>
      <w:bookmarkStart w:id="452" w:name="_Toc29384"/>
      <w:r>
        <w:rPr>
          <w:rFonts w:hint="eastAsia" w:ascii="宋体" w:hAnsi="宋体" w:cs="宋体"/>
          <w:b w:val="0"/>
          <w:sz w:val="24"/>
          <w:szCs w:val="24"/>
          <w:highlight w:val="none"/>
        </w:rPr>
        <w:br w:type="textWrapping"/>
      </w:r>
      <w:r>
        <w:rPr>
          <w:rFonts w:hint="eastAsia" w:ascii="宋体" w:hAnsi="宋体" w:cs="宋体"/>
          <w:b w:val="0"/>
          <w:sz w:val="24"/>
          <w:szCs w:val="24"/>
          <w:highlight w:val="none"/>
        </w:rPr>
        <w:t>姓名：性别：年龄：系（投标人名称）的法定代表人。</w:t>
      </w:r>
      <w:r>
        <w:rPr>
          <w:rFonts w:hint="eastAsia" w:ascii="宋体" w:hAnsi="宋体" w:cs="宋体"/>
          <w:b w:val="0"/>
          <w:sz w:val="24"/>
          <w:szCs w:val="24"/>
          <w:highlight w:val="none"/>
        </w:rPr>
        <w:br w:type="textWrapping"/>
      </w:r>
      <w:bookmarkEnd w:id="444"/>
      <w:bookmarkEnd w:id="445"/>
      <w:bookmarkEnd w:id="446"/>
      <w:bookmarkEnd w:id="447"/>
      <w:bookmarkEnd w:id="448"/>
      <w:bookmarkEnd w:id="449"/>
      <w:bookmarkEnd w:id="450"/>
      <w:bookmarkEnd w:id="451"/>
      <w:bookmarkEnd w:id="452"/>
    </w:p>
    <w:p>
      <w:pPr>
        <w:pStyle w:val="7"/>
        <w:spacing w:before="0" w:after="0"/>
        <w:jc w:val="left"/>
        <w:rPr>
          <w:rFonts w:ascii="宋体" w:hAnsi="宋体" w:cs="宋体"/>
          <w:b w:val="0"/>
          <w:sz w:val="24"/>
          <w:szCs w:val="24"/>
          <w:highlight w:val="none"/>
        </w:rPr>
      </w:pPr>
      <w:bookmarkStart w:id="453" w:name="_Toc2653"/>
      <w:bookmarkStart w:id="454" w:name="_Toc24265"/>
      <w:bookmarkStart w:id="455" w:name="_Toc22060"/>
      <w:bookmarkStart w:id="456" w:name="_Toc20718"/>
      <w:bookmarkStart w:id="457" w:name="_Toc12895"/>
      <w:bookmarkStart w:id="458" w:name="_Toc12383"/>
      <w:bookmarkStart w:id="459" w:name="_Toc19163"/>
      <w:bookmarkStart w:id="460" w:name="_Toc6475"/>
      <w:r>
        <w:rPr>
          <w:rFonts w:hint="eastAsia" w:ascii="宋体" w:hAnsi="宋体" w:cs="宋体"/>
          <w:b w:val="0"/>
          <w:sz w:val="24"/>
          <w:szCs w:val="24"/>
          <w:highlight w:val="none"/>
        </w:rPr>
        <w:t>特此证明。</w:t>
      </w:r>
      <w:r>
        <w:rPr>
          <w:rFonts w:hint="eastAsia" w:ascii="宋体" w:hAnsi="宋体" w:cs="宋体"/>
          <w:b w:val="0"/>
          <w:sz w:val="24"/>
          <w:szCs w:val="24"/>
          <w:highlight w:val="none"/>
        </w:rPr>
        <w:br w:type="textWrapping"/>
      </w:r>
      <w:bookmarkEnd w:id="453"/>
      <w:bookmarkEnd w:id="454"/>
      <w:bookmarkEnd w:id="455"/>
      <w:bookmarkEnd w:id="456"/>
      <w:bookmarkEnd w:id="457"/>
      <w:bookmarkEnd w:id="458"/>
      <w:bookmarkEnd w:id="459"/>
      <w:bookmarkEnd w:id="460"/>
    </w:p>
    <w:tbl>
      <w:tblPr>
        <w:tblStyle w:val="37"/>
        <w:tblW w:w="956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726"/>
        <w:gridCol w:w="48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62" w:hRule="atLeast"/>
        </w:trPr>
        <w:tc>
          <w:tcPr>
            <w:tcW w:w="4726" w:type="dxa"/>
            <w:vAlign w:val="center"/>
          </w:tcPr>
          <w:p>
            <w:pPr>
              <w:spacing w:line="360" w:lineRule="auto"/>
              <w:jc w:val="center"/>
              <w:rPr>
                <w:rFonts w:ascii="宋体" w:hAnsi="宋体" w:cs="宋体"/>
                <w:b/>
                <w:sz w:val="24"/>
                <w:highlight w:val="none"/>
              </w:rPr>
            </w:pPr>
            <w:r>
              <w:rPr>
                <w:rFonts w:hint="eastAsia" w:ascii="宋体" w:hAnsi="宋体" w:cs="宋体"/>
                <w:b/>
                <w:sz w:val="24"/>
                <w:highlight w:val="none"/>
              </w:rPr>
              <w:t>法定代表人身份证</w:t>
            </w:r>
          </w:p>
          <w:p>
            <w:pPr>
              <w:spacing w:line="360" w:lineRule="auto"/>
              <w:jc w:val="center"/>
              <w:rPr>
                <w:rFonts w:ascii="宋体" w:hAnsi="宋体" w:cs="宋体"/>
                <w:b/>
                <w:sz w:val="24"/>
                <w:highlight w:val="none"/>
              </w:rPr>
            </w:pPr>
            <w:r>
              <w:rPr>
                <w:rFonts w:hint="eastAsia" w:ascii="宋体" w:hAnsi="宋体" w:cs="宋体"/>
                <w:b/>
                <w:sz w:val="24"/>
                <w:highlight w:val="none"/>
              </w:rPr>
              <w:t>复印件加盖公章（正面）</w:t>
            </w:r>
          </w:p>
        </w:tc>
        <w:tc>
          <w:tcPr>
            <w:tcW w:w="4843" w:type="dxa"/>
            <w:vAlign w:val="center"/>
          </w:tcPr>
          <w:p>
            <w:pPr>
              <w:spacing w:line="360" w:lineRule="auto"/>
              <w:jc w:val="center"/>
              <w:rPr>
                <w:rFonts w:ascii="宋体" w:hAnsi="宋体" w:cs="宋体"/>
                <w:b/>
                <w:sz w:val="24"/>
                <w:highlight w:val="none"/>
              </w:rPr>
            </w:pPr>
            <w:r>
              <w:rPr>
                <w:rFonts w:hint="eastAsia" w:ascii="宋体" w:hAnsi="宋体" w:cs="宋体"/>
                <w:b/>
                <w:sz w:val="24"/>
                <w:highlight w:val="none"/>
              </w:rPr>
              <w:t>法定代表人身份证</w:t>
            </w:r>
          </w:p>
          <w:p>
            <w:pPr>
              <w:spacing w:line="360" w:lineRule="auto"/>
              <w:jc w:val="center"/>
              <w:rPr>
                <w:rFonts w:ascii="宋体" w:hAnsi="宋体" w:cs="宋体"/>
                <w:b/>
                <w:sz w:val="24"/>
                <w:highlight w:val="none"/>
              </w:rPr>
            </w:pPr>
            <w:r>
              <w:rPr>
                <w:rFonts w:hint="eastAsia" w:ascii="宋体" w:hAnsi="宋体" w:cs="宋体"/>
                <w:b/>
                <w:sz w:val="24"/>
                <w:highlight w:val="none"/>
              </w:rPr>
              <w:t>复印件加盖公章（背面）</w:t>
            </w:r>
          </w:p>
        </w:tc>
      </w:tr>
    </w:tbl>
    <w:p>
      <w:pPr>
        <w:pStyle w:val="16"/>
        <w:rPr>
          <w:rFonts w:ascii="宋体" w:hAnsi="宋体" w:cs="宋体"/>
          <w:szCs w:val="24"/>
          <w:highlight w:val="none"/>
        </w:rPr>
      </w:pPr>
    </w:p>
    <w:p>
      <w:pPr>
        <w:pStyle w:val="16"/>
        <w:ind w:firstLine="0"/>
        <w:rPr>
          <w:rFonts w:ascii="宋体" w:hAnsi="宋体" w:cs="宋体"/>
          <w:szCs w:val="24"/>
          <w:highlight w:val="none"/>
        </w:rPr>
      </w:pPr>
    </w:p>
    <w:p>
      <w:pPr>
        <w:pStyle w:val="16"/>
        <w:ind w:firstLine="0"/>
        <w:rPr>
          <w:rFonts w:ascii="宋体" w:hAnsi="宋体" w:cs="宋体"/>
          <w:szCs w:val="24"/>
          <w:highlight w:val="none"/>
        </w:rPr>
      </w:pPr>
      <w:r>
        <w:rPr>
          <w:rFonts w:hint="eastAsia" w:ascii="宋体" w:hAnsi="宋体" w:cs="宋体"/>
          <w:szCs w:val="24"/>
          <w:highlight w:val="none"/>
        </w:rPr>
        <w:t>投标人（盖章）：</w:t>
      </w:r>
      <w:r>
        <w:rPr>
          <w:rFonts w:hint="eastAsia" w:ascii="宋体" w:hAnsi="宋体" w:cs="宋体"/>
          <w:szCs w:val="24"/>
          <w:highlight w:val="none"/>
        </w:rPr>
        <w:br w:type="textWrapping"/>
      </w:r>
      <w:r>
        <w:rPr>
          <w:rFonts w:hint="eastAsia" w:ascii="宋体" w:hAnsi="宋体" w:cs="宋体"/>
          <w:szCs w:val="24"/>
          <w:highlight w:val="none"/>
        </w:rPr>
        <w:t>法定代表人（签字）：</w:t>
      </w:r>
      <w:r>
        <w:rPr>
          <w:rFonts w:hint="eastAsia" w:ascii="宋体" w:hAnsi="宋体" w:cs="宋体"/>
          <w:szCs w:val="24"/>
          <w:highlight w:val="none"/>
        </w:rPr>
        <w:br w:type="textWrapping"/>
      </w:r>
      <w:r>
        <w:rPr>
          <w:rFonts w:hint="eastAsia" w:ascii="宋体" w:hAnsi="宋体" w:cs="宋体"/>
          <w:szCs w:val="24"/>
          <w:highlight w:val="none"/>
        </w:rPr>
        <w:t>日期：年月日</w:t>
      </w:r>
    </w:p>
    <w:p>
      <w:pPr>
        <w:pStyle w:val="7"/>
        <w:spacing w:before="0" w:after="0"/>
        <w:rPr>
          <w:rFonts w:ascii="宋体" w:hAnsi="宋体" w:cs="宋体"/>
          <w:sz w:val="28"/>
          <w:szCs w:val="28"/>
          <w:highlight w:val="none"/>
        </w:rPr>
      </w:pPr>
      <w:bookmarkStart w:id="461" w:name="_Toc1230"/>
    </w:p>
    <w:p>
      <w:pPr>
        <w:pStyle w:val="16"/>
        <w:rPr>
          <w:rFonts w:ascii="宋体" w:hAnsi="宋体" w:cs="宋体"/>
          <w:sz w:val="28"/>
          <w:szCs w:val="28"/>
          <w:highlight w:val="none"/>
        </w:rPr>
      </w:pPr>
    </w:p>
    <w:p>
      <w:pPr>
        <w:pStyle w:val="16"/>
        <w:rPr>
          <w:rFonts w:ascii="宋体" w:hAnsi="宋体" w:cs="宋体"/>
          <w:sz w:val="28"/>
          <w:szCs w:val="28"/>
          <w:highlight w:val="none"/>
        </w:rPr>
      </w:pPr>
    </w:p>
    <w:p>
      <w:pPr>
        <w:rPr>
          <w:rFonts w:ascii="宋体" w:hAnsi="宋体" w:cs="宋体"/>
          <w:sz w:val="28"/>
          <w:szCs w:val="28"/>
          <w:highlight w:val="none"/>
        </w:rPr>
      </w:pPr>
    </w:p>
    <w:p>
      <w:pPr>
        <w:pStyle w:val="22"/>
        <w:rPr>
          <w:highlight w:val="none"/>
        </w:rPr>
      </w:pPr>
    </w:p>
    <w:p>
      <w:pPr>
        <w:pStyle w:val="30"/>
        <w:rPr>
          <w:rFonts w:ascii="宋体" w:hAnsi="宋体" w:cs="宋体"/>
          <w:highlight w:val="none"/>
        </w:rPr>
      </w:pPr>
    </w:p>
    <w:p>
      <w:pPr>
        <w:pStyle w:val="7"/>
        <w:spacing w:before="0" w:after="0"/>
        <w:rPr>
          <w:rFonts w:ascii="宋体" w:hAnsi="宋体" w:cs="宋体"/>
          <w:sz w:val="24"/>
          <w:szCs w:val="24"/>
          <w:highlight w:val="none"/>
          <w:u w:val="single"/>
        </w:rPr>
      </w:pPr>
      <w:bookmarkStart w:id="462" w:name="_Toc19858"/>
      <w:bookmarkStart w:id="463" w:name="_Toc9559"/>
      <w:bookmarkStart w:id="464" w:name="_Toc16103"/>
      <w:bookmarkStart w:id="465" w:name="_Toc6497"/>
      <w:bookmarkStart w:id="466" w:name="_Toc21867"/>
      <w:bookmarkStart w:id="467" w:name="_Toc20910"/>
      <w:r>
        <w:rPr>
          <w:rFonts w:hint="eastAsia" w:ascii="宋体" w:hAnsi="宋体" w:cs="宋体"/>
          <w:sz w:val="28"/>
          <w:szCs w:val="28"/>
          <w:highlight w:val="none"/>
        </w:rPr>
        <w:t>3.法人授权函(委托代理人参加投标时提供)</w:t>
      </w:r>
      <w:bookmarkEnd w:id="461"/>
      <w:bookmarkEnd w:id="462"/>
      <w:bookmarkEnd w:id="463"/>
      <w:bookmarkEnd w:id="464"/>
      <w:bookmarkEnd w:id="465"/>
      <w:bookmarkEnd w:id="466"/>
      <w:bookmarkEnd w:id="467"/>
    </w:p>
    <w:p>
      <w:pPr>
        <w:spacing w:line="360" w:lineRule="auto"/>
        <w:rPr>
          <w:rFonts w:hint="eastAsia" w:ascii="宋体" w:hAnsi="宋体" w:eastAsia="宋体" w:cs="宋体"/>
          <w:sz w:val="24"/>
          <w:highlight w:val="none"/>
          <w:lang w:eastAsia="zh-CN"/>
        </w:rPr>
      </w:pPr>
      <w:r>
        <w:rPr>
          <w:rFonts w:hint="eastAsia" w:ascii="宋体" w:hAnsi="宋体" w:cs="宋体"/>
          <w:sz w:val="24"/>
          <w:highlight w:val="none"/>
        </w:rPr>
        <w:t>致：</w:t>
      </w:r>
    </w:p>
    <w:p>
      <w:pPr>
        <w:spacing w:line="360" w:lineRule="auto"/>
        <w:ind w:firstLine="480" w:firstLineChars="200"/>
        <w:rPr>
          <w:rFonts w:ascii="宋体" w:hAnsi="宋体" w:cs="宋体"/>
          <w:sz w:val="24"/>
          <w:highlight w:val="none"/>
        </w:rPr>
      </w:pPr>
      <w:r>
        <w:rPr>
          <w:rFonts w:hint="eastAsia" w:ascii="宋体" w:hAnsi="宋体" w:cs="宋体"/>
          <w:sz w:val="24"/>
          <w:highlight w:val="none"/>
        </w:rPr>
        <w:t>本授权函声明：本人</w:t>
      </w:r>
      <w:r>
        <w:rPr>
          <w:rFonts w:hint="eastAsia" w:ascii="宋体" w:hAnsi="宋体" w:cs="宋体"/>
          <w:sz w:val="24"/>
          <w:highlight w:val="none"/>
          <w:u w:val="single"/>
        </w:rPr>
        <w:t>（法定代表人姓名）</w:t>
      </w:r>
      <w:r>
        <w:rPr>
          <w:rFonts w:hint="eastAsia" w:ascii="宋体" w:hAnsi="宋体" w:cs="宋体"/>
          <w:sz w:val="24"/>
          <w:highlight w:val="none"/>
        </w:rPr>
        <w:t>系</w:t>
      </w:r>
      <w:r>
        <w:rPr>
          <w:rFonts w:hint="eastAsia" w:ascii="宋体" w:hAnsi="宋体" w:cs="宋体"/>
          <w:sz w:val="24"/>
          <w:highlight w:val="none"/>
          <w:u w:val="single"/>
        </w:rPr>
        <w:t>（投标人全称）</w:t>
      </w:r>
      <w:r>
        <w:rPr>
          <w:rFonts w:hint="eastAsia" w:ascii="宋体" w:hAnsi="宋体" w:cs="宋体"/>
          <w:sz w:val="24"/>
          <w:highlight w:val="none"/>
        </w:rPr>
        <w:t>法人，现任命</w:t>
      </w:r>
      <w:r>
        <w:rPr>
          <w:rFonts w:hint="eastAsia" w:ascii="宋体" w:hAnsi="宋体" w:cs="宋体"/>
          <w:sz w:val="24"/>
          <w:highlight w:val="none"/>
          <w:u w:val="single"/>
        </w:rPr>
        <w:t>（被授权人姓名、职务）</w:t>
      </w:r>
      <w:r>
        <w:rPr>
          <w:rFonts w:hint="eastAsia" w:ascii="宋体" w:hAnsi="宋体" w:cs="宋体"/>
          <w:sz w:val="24"/>
          <w:highlight w:val="none"/>
        </w:rPr>
        <w:t>为我公司的授权代表人，参与招标编号为“XXX”的“XXX（项目名称）”投标活动，以投标人的名义签署投标文件、进行合同谈判、签署合同和全权处理与之有关的一切事务。</w:t>
      </w:r>
    </w:p>
    <w:p>
      <w:pPr>
        <w:spacing w:line="360" w:lineRule="auto"/>
        <w:rPr>
          <w:rFonts w:ascii="宋体" w:hAnsi="宋体" w:cs="宋体"/>
          <w:sz w:val="24"/>
          <w:highlight w:val="none"/>
          <w:shd w:val="clear" w:color="auto" w:fill="FFFFFF"/>
        </w:rPr>
      </w:pPr>
      <w:r>
        <w:rPr>
          <w:rFonts w:hint="eastAsia" w:ascii="宋体" w:hAnsi="宋体" w:cs="宋体"/>
          <w:sz w:val="24"/>
          <w:highlight w:val="none"/>
          <w:shd w:val="clear" w:color="auto" w:fill="FFFFFF"/>
        </w:rPr>
        <w:tab/>
      </w:r>
      <w:r>
        <w:rPr>
          <w:rFonts w:hint="eastAsia" w:ascii="宋体" w:hAnsi="宋体" w:cs="宋体"/>
          <w:sz w:val="24"/>
          <w:highlight w:val="none"/>
          <w:shd w:val="clear" w:color="auto" w:fill="FFFFFF"/>
        </w:rPr>
        <w:t>本授权书于年月日签字生效，特此声明。</w:t>
      </w:r>
    </w:p>
    <w:p>
      <w:pPr>
        <w:spacing w:line="360" w:lineRule="auto"/>
        <w:rPr>
          <w:rFonts w:ascii="宋体" w:hAnsi="宋体" w:cs="宋体"/>
          <w:sz w:val="24"/>
          <w:highlight w:val="none"/>
          <w:shd w:val="clear" w:color="auto" w:fill="FFFFFF"/>
        </w:rPr>
      </w:pPr>
    </w:p>
    <w:p>
      <w:pPr>
        <w:spacing w:line="360" w:lineRule="auto"/>
        <w:rPr>
          <w:rFonts w:ascii="宋体" w:hAnsi="宋体" w:cs="宋体"/>
          <w:sz w:val="24"/>
          <w:highlight w:val="none"/>
          <w:u w:val="single"/>
          <w:shd w:val="clear" w:color="auto" w:fill="FFFFFF"/>
        </w:rPr>
      </w:pPr>
      <w:r>
        <w:rPr>
          <w:rFonts w:hint="eastAsia" w:ascii="宋体" w:hAnsi="宋体" w:cs="宋体"/>
          <w:sz w:val="24"/>
          <w:highlight w:val="none"/>
          <w:shd w:val="clear" w:color="auto" w:fill="FFFFFF"/>
        </w:rPr>
        <w:t>法定代表人（签字或印章）：</w:t>
      </w:r>
    </w:p>
    <w:p>
      <w:pPr>
        <w:spacing w:line="360" w:lineRule="auto"/>
        <w:rPr>
          <w:rFonts w:ascii="宋体" w:hAnsi="宋体" w:cs="宋体"/>
          <w:sz w:val="24"/>
          <w:highlight w:val="none"/>
          <w:shd w:val="clear" w:color="auto" w:fill="FFFFFF"/>
        </w:rPr>
      </w:pPr>
    </w:p>
    <w:p>
      <w:pPr>
        <w:spacing w:line="360" w:lineRule="auto"/>
        <w:rPr>
          <w:rFonts w:ascii="宋体" w:hAnsi="宋体" w:cs="宋体"/>
          <w:sz w:val="24"/>
          <w:highlight w:val="none"/>
          <w:u w:val="single"/>
          <w:shd w:val="clear" w:color="auto" w:fill="FFFFFF"/>
        </w:rPr>
      </w:pPr>
      <w:r>
        <w:rPr>
          <w:rFonts w:hint="eastAsia" w:ascii="宋体" w:hAnsi="宋体" w:cs="宋体"/>
          <w:sz w:val="24"/>
          <w:highlight w:val="none"/>
          <w:shd w:val="clear" w:color="auto" w:fill="FFFFFF"/>
        </w:rPr>
        <w:t>被授权人</w:t>
      </w:r>
      <w:r>
        <w:rPr>
          <w:rFonts w:hint="eastAsia" w:ascii="宋体" w:hAnsi="宋体" w:cs="宋体"/>
          <w:sz w:val="24"/>
          <w:highlight w:val="none"/>
        </w:rPr>
        <w:t>（签字或印章）</w:t>
      </w:r>
      <w:r>
        <w:rPr>
          <w:rFonts w:hint="eastAsia" w:ascii="宋体" w:hAnsi="宋体" w:cs="宋体"/>
          <w:sz w:val="24"/>
          <w:highlight w:val="none"/>
          <w:shd w:val="clear" w:color="auto" w:fill="FFFFFF"/>
        </w:rPr>
        <w:t>：</w:t>
      </w:r>
    </w:p>
    <w:p>
      <w:pPr>
        <w:spacing w:line="360" w:lineRule="auto"/>
        <w:rPr>
          <w:rFonts w:ascii="宋体" w:hAnsi="宋体" w:cs="宋体"/>
          <w:sz w:val="24"/>
          <w:highlight w:val="none"/>
          <w:u w:val="single"/>
          <w:shd w:val="clear" w:color="auto" w:fill="FFFFFF"/>
        </w:rPr>
      </w:pPr>
    </w:p>
    <w:p>
      <w:pPr>
        <w:spacing w:line="360" w:lineRule="auto"/>
        <w:jc w:val="left"/>
        <w:rPr>
          <w:rFonts w:ascii="宋体" w:hAnsi="宋体" w:cs="宋体"/>
          <w:sz w:val="24"/>
          <w:highlight w:val="none"/>
        </w:rPr>
      </w:pPr>
      <w:r>
        <w:rPr>
          <w:rFonts w:hint="eastAsia" w:ascii="宋体" w:hAnsi="宋体" w:cs="宋体"/>
          <w:sz w:val="24"/>
          <w:highlight w:val="none"/>
          <w:shd w:val="clear" w:color="auto" w:fill="FFFFFF"/>
        </w:rPr>
        <w:t>投标人名称：</w:t>
      </w:r>
      <w:r>
        <w:rPr>
          <w:rFonts w:hint="eastAsia" w:ascii="宋体" w:hAnsi="宋体" w:cs="宋体"/>
          <w:sz w:val="24"/>
          <w:highlight w:val="none"/>
          <w:u w:val="single"/>
          <w:shd w:val="clear" w:color="auto" w:fill="FFFFFF"/>
        </w:rPr>
        <w:t>（加盖公章）</w:t>
      </w:r>
    </w:p>
    <w:p>
      <w:pPr>
        <w:spacing w:line="360" w:lineRule="auto"/>
        <w:jc w:val="left"/>
        <w:rPr>
          <w:rFonts w:ascii="宋体" w:hAnsi="宋体" w:cs="宋体"/>
          <w:sz w:val="24"/>
          <w:highlight w:val="none"/>
        </w:rPr>
      </w:pPr>
    </w:p>
    <w:p>
      <w:pPr>
        <w:spacing w:line="360" w:lineRule="auto"/>
        <w:jc w:val="left"/>
        <w:rPr>
          <w:rFonts w:ascii="宋体" w:hAnsi="宋体" w:cs="宋体"/>
          <w:sz w:val="24"/>
          <w:highlight w:val="none"/>
        </w:rPr>
      </w:pPr>
      <w:r>
        <w:rPr>
          <w:rFonts w:hint="eastAsia" w:ascii="宋体" w:hAnsi="宋体" w:cs="宋体"/>
          <w:sz w:val="24"/>
          <w:highlight w:val="none"/>
        </w:rPr>
        <w:t>日期：</w:t>
      </w:r>
    </w:p>
    <w:tbl>
      <w:tblPr>
        <w:tblStyle w:val="37"/>
        <w:tblW w:w="956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726"/>
        <w:gridCol w:w="48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17" w:hRule="atLeast"/>
        </w:trPr>
        <w:tc>
          <w:tcPr>
            <w:tcW w:w="4726" w:type="dxa"/>
            <w:vAlign w:val="center"/>
          </w:tcPr>
          <w:p>
            <w:pPr>
              <w:spacing w:line="360" w:lineRule="auto"/>
              <w:jc w:val="center"/>
              <w:rPr>
                <w:rFonts w:ascii="宋体" w:hAnsi="宋体" w:cs="宋体"/>
                <w:b/>
                <w:sz w:val="24"/>
                <w:highlight w:val="none"/>
              </w:rPr>
            </w:pPr>
            <w:r>
              <w:rPr>
                <w:rFonts w:hint="eastAsia" w:ascii="宋体" w:hAnsi="宋体" w:cs="宋体"/>
                <w:b/>
                <w:sz w:val="24"/>
                <w:highlight w:val="none"/>
              </w:rPr>
              <w:t>法定代表人身份证</w:t>
            </w:r>
          </w:p>
          <w:p>
            <w:pPr>
              <w:spacing w:line="360" w:lineRule="auto"/>
              <w:jc w:val="center"/>
              <w:rPr>
                <w:rFonts w:ascii="宋体" w:hAnsi="宋体" w:cs="宋体"/>
                <w:b/>
                <w:sz w:val="24"/>
                <w:highlight w:val="none"/>
              </w:rPr>
            </w:pPr>
            <w:r>
              <w:rPr>
                <w:rFonts w:hint="eastAsia" w:ascii="宋体" w:hAnsi="宋体" w:cs="宋体"/>
                <w:b/>
                <w:sz w:val="24"/>
                <w:highlight w:val="none"/>
              </w:rPr>
              <w:t>复印件加盖公章（正面）</w:t>
            </w:r>
          </w:p>
        </w:tc>
        <w:tc>
          <w:tcPr>
            <w:tcW w:w="4843" w:type="dxa"/>
            <w:vAlign w:val="center"/>
          </w:tcPr>
          <w:p>
            <w:pPr>
              <w:spacing w:line="360" w:lineRule="auto"/>
              <w:jc w:val="center"/>
              <w:rPr>
                <w:rFonts w:ascii="宋体" w:hAnsi="宋体" w:cs="宋体"/>
                <w:b/>
                <w:sz w:val="24"/>
                <w:highlight w:val="none"/>
              </w:rPr>
            </w:pPr>
            <w:r>
              <w:rPr>
                <w:rFonts w:hint="eastAsia" w:ascii="宋体" w:hAnsi="宋体" w:cs="宋体"/>
                <w:b/>
                <w:sz w:val="24"/>
                <w:highlight w:val="none"/>
              </w:rPr>
              <w:t>法定代表人身份证</w:t>
            </w:r>
          </w:p>
          <w:p>
            <w:pPr>
              <w:spacing w:line="360" w:lineRule="auto"/>
              <w:jc w:val="center"/>
              <w:rPr>
                <w:rFonts w:ascii="宋体" w:hAnsi="宋体" w:cs="宋体"/>
                <w:b/>
                <w:sz w:val="24"/>
                <w:highlight w:val="none"/>
              </w:rPr>
            </w:pPr>
            <w:r>
              <w:rPr>
                <w:rFonts w:hint="eastAsia" w:ascii="宋体" w:hAnsi="宋体" w:cs="宋体"/>
                <w:b/>
                <w:sz w:val="24"/>
                <w:highlight w:val="none"/>
              </w:rPr>
              <w:t>复印件加盖公章（背面）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17" w:hRule="atLeast"/>
        </w:trPr>
        <w:tc>
          <w:tcPr>
            <w:tcW w:w="4726" w:type="dxa"/>
            <w:vAlign w:val="center"/>
          </w:tcPr>
          <w:p>
            <w:pPr>
              <w:spacing w:line="360" w:lineRule="auto"/>
              <w:jc w:val="center"/>
              <w:rPr>
                <w:rFonts w:ascii="宋体" w:hAnsi="宋体" w:cs="宋体"/>
                <w:b/>
                <w:sz w:val="24"/>
                <w:highlight w:val="none"/>
              </w:rPr>
            </w:pPr>
            <w:r>
              <w:rPr>
                <w:rFonts w:hint="eastAsia" w:ascii="宋体" w:hAnsi="宋体" w:cs="宋体"/>
                <w:b/>
                <w:sz w:val="24"/>
                <w:highlight w:val="none"/>
              </w:rPr>
              <w:t>被授权人身份证</w:t>
            </w:r>
          </w:p>
          <w:p>
            <w:pPr>
              <w:spacing w:line="360" w:lineRule="auto"/>
              <w:jc w:val="center"/>
              <w:rPr>
                <w:rFonts w:ascii="宋体" w:hAnsi="宋体" w:cs="宋体"/>
                <w:b/>
                <w:sz w:val="24"/>
                <w:highlight w:val="none"/>
              </w:rPr>
            </w:pPr>
            <w:r>
              <w:rPr>
                <w:rFonts w:hint="eastAsia" w:ascii="宋体" w:hAnsi="宋体" w:cs="宋体"/>
                <w:b/>
                <w:sz w:val="24"/>
                <w:highlight w:val="none"/>
              </w:rPr>
              <w:t>复印件加盖公章（正面）</w:t>
            </w:r>
          </w:p>
        </w:tc>
        <w:tc>
          <w:tcPr>
            <w:tcW w:w="4843" w:type="dxa"/>
            <w:vAlign w:val="center"/>
          </w:tcPr>
          <w:p>
            <w:pPr>
              <w:spacing w:line="360" w:lineRule="auto"/>
              <w:jc w:val="center"/>
              <w:rPr>
                <w:rFonts w:ascii="宋体" w:hAnsi="宋体" w:cs="宋体"/>
                <w:b/>
                <w:sz w:val="24"/>
                <w:highlight w:val="none"/>
              </w:rPr>
            </w:pPr>
            <w:r>
              <w:rPr>
                <w:rFonts w:hint="eastAsia" w:ascii="宋体" w:hAnsi="宋体" w:cs="宋体"/>
                <w:b/>
                <w:sz w:val="24"/>
                <w:highlight w:val="none"/>
              </w:rPr>
              <w:t>被授权人身份证</w:t>
            </w:r>
          </w:p>
          <w:p>
            <w:pPr>
              <w:spacing w:line="360" w:lineRule="auto"/>
              <w:jc w:val="center"/>
              <w:rPr>
                <w:rFonts w:ascii="宋体" w:hAnsi="宋体" w:cs="宋体"/>
                <w:b/>
                <w:sz w:val="24"/>
                <w:highlight w:val="none"/>
              </w:rPr>
            </w:pPr>
            <w:r>
              <w:rPr>
                <w:rFonts w:hint="eastAsia" w:ascii="宋体" w:hAnsi="宋体" w:cs="宋体"/>
                <w:b/>
                <w:sz w:val="24"/>
                <w:highlight w:val="none"/>
              </w:rPr>
              <w:t>复印件加盖公章（背面）</w:t>
            </w:r>
          </w:p>
        </w:tc>
      </w:tr>
    </w:tbl>
    <w:p>
      <w:pPr>
        <w:spacing w:line="360" w:lineRule="auto"/>
        <w:textAlignment w:val="baseline"/>
        <w:rPr>
          <w:rFonts w:ascii="宋体" w:hAnsi="宋体" w:cs="宋体"/>
          <w:b/>
          <w:sz w:val="24"/>
          <w:highlight w:val="none"/>
        </w:rPr>
      </w:pPr>
    </w:p>
    <w:bookmarkEnd w:id="443"/>
    <w:p>
      <w:pPr>
        <w:pStyle w:val="9"/>
        <w:spacing w:before="0" w:line="246" w:lineRule="exact"/>
        <w:jc w:val="left"/>
        <w:rPr>
          <w:rFonts w:ascii="宋体" w:hAnsi="宋体" w:cs="宋体"/>
          <w:spacing w:val="10"/>
          <w:highlight w:val="none"/>
        </w:rPr>
      </w:pPr>
    </w:p>
    <w:p>
      <w:pPr>
        <w:rPr>
          <w:highlight w:val="none"/>
        </w:rPr>
      </w:pPr>
    </w:p>
    <w:p>
      <w:pPr>
        <w:pStyle w:val="22"/>
        <w:rPr>
          <w:highlight w:val="none"/>
        </w:rPr>
      </w:pPr>
    </w:p>
    <w:p>
      <w:pPr>
        <w:pStyle w:val="22"/>
        <w:rPr>
          <w:highlight w:val="none"/>
        </w:rPr>
      </w:pPr>
    </w:p>
    <w:p>
      <w:pPr>
        <w:rPr>
          <w:highlight w:val="none"/>
        </w:rPr>
      </w:pPr>
    </w:p>
    <w:p>
      <w:pPr>
        <w:pStyle w:val="7"/>
        <w:spacing w:before="0" w:after="0"/>
        <w:rPr>
          <w:rFonts w:ascii="宋体" w:hAnsi="宋体" w:cs="宋体"/>
          <w:sz w:val="18"/>
          <w:szCs w:val="18"/>
          <w:highlight w:val="none"/>
        </w:rPr>
      </w:pPr>
      <w:bookmarkStart w:id="468" w:name="_Toc7988"/>
      <w:bookmarkStart w:id="469" w:name="_Toc8565"/>
      <w:bookmarkStart w:id="470" w:name="_Toc26866"/>
      <w:bookmarkStart w:id="471" w:name="_Toc17466"/>
      <w:bookmarkStart w:id="472" w:name="_Toc20796"/>
      <w:bookmarkStart w:id="473" w:name="_Toc27432"/>
      <w:r>
        <w:rPr>
          <w:rFonts w:hint="eastAsia" w:ascii="宋体" w:hAnsi="宋体" w:cs="宋体"/>
          <w:sz w:val="28"/>
          <w:szCs w:val="28"/>
          <w:highlight w:val="none"/>
        </w:rPr>
        <w:t>4.投标文件应答表格式</w:t>
      </w:r>
      <w:bookmarkEnd w:id="468"/>
      <w:bookmarkEnd w:id="469"/>
      <w:bookmarkEnd w:id="470"/>
      <w:bookmarkEnd w:id="471"/>
      <w:bookmarkEnd w:id="472"/>
      <w:bookmarkEnd w:id="473"/>
    </w:p>
    <w:p>
      <w:pPr>
        <w:pStyle w:val="3"/>
        <w:spacing w:before="34" w:line="712" w:lineRule="auto"/>
        <w:jc w:val="center"/>
        <w:rPr>
          <w:rFonts w:ascii="宋体" w:hAnsi="宋体" w:cs="宋体"/>
          <w:sz w:val="12"/>
          <w:szCs w:val="12"/>
          <w:highlight w:val="none"/>
        </w:rPr>
      </w:pPr>
      <w:r>
        <w:rPr>
          <w:rFonts w:hint="eastAsia" w:ascii="宋体" w:hAnsi="宋体" w:cs="宋体"/>
          <w:bCs/>
          <w:kern w:val="2"/>
          <w:highlight w:val="none"/>
        </w:rPr>
        <w:t>(投标人根据投标文件的内容将重要内容填写在此表中，方便专家查找)</w:t>
      </w:r>
    </w:p>
    <w:tbl>
      <w:tblPr>
        <w:tblStyle w:val="37"/>
        <w:tblW w:w="9365" w:type="dxa"/>
        <w:tblInd w:w="-5" w:type="dxa"/>
        <w:tblLayout w:type="fixed"/>
        <w:tblCellMar>
          <w:top w:w="0" w:type="dxa"/>
          <w:left w:w="0" w:type="dxa"/>
          <w:bottom w:w="0" w:type="dxa"/>
          <w:right w:w="0" w:type="dxa"/>
        </w:tblCellMar>
      </w:tblPr>
      <w:tblGrid>
        <w:gridCol w:w="4669"/>
        <w:gridCol w:w="1703"/>
        <w:gridCol w:w="2993"/>
      </w:tblGrid>
      <w:tr>
        <w:tblPrEx>
          <w:tblCellMar>
            <w:top w:w="0" w:type="dxa"/>
            <w:left w:w="0" w:type="dxa"/>
            <w:bottom w:w="0" w:type="dxa"/>
            <w:right w:w="0" w:type="dxa"/>
          </w:tblCellMar>
        </w:tblPrEx>
        <w:trPr>
          <w:trHeight w:val="23" w:hRule="atLeast"/>
        </w:trPr>
        <w:tc>
          <w:tcPr>
            <w:tcW w:w="4669" w:type="dxa"/>
            <w:tcBorders>
              <w:top w:val="single" w:color="000000" w:sz="4" w:space="0"/>
              <w:left w:val="single" w:color="000000" w:sz="4" w:space="0"/>
              <w:bottom w:val="single" w:color="000000" w:sz="4" w:space="0"/>
              <w:right w:val="single" w:color="000000" w:sz="4" w:space="0"/>
            </w:tcBorders>
          </w:tcPr>
          <w:p>
            <w:pPr>
              <w:pStyle w:val="223"/>
              <w:spacing w:line="360" w:lineRule="auto"/>
              <w:jc w:val="center"/>
              <w:rPr>
                <w:sz w:val="24"/>
                <w:highlight w:val="none"/>
              </w:rPr>
            </w:pPr>
            <w:r>
              <w:rPr>
                <w:rFonts w:hint="eastAsia"/>
                <w:sz w:val="24"/>
                <w:highlight w:val="none"/>
              </w:rPr>
              <w:t>投标文件的重要内容</w:t>
            </w:r>
          </w:p>
        </w:tc>
        <w:tc>
          <w:tcPr>
            <w:tcW w:w="1703" w:type="dxa"/>
            <w:tcBorders>
              <w:top w:val="single" w:color="000000" w:sz="4" w:space="0"/>
              <w:left w:val="single" w:color="000000" w:sz="4" w:space="0"/>
              <w:bottom w:val="single" w:color="000000" w:sz="4" w:space="0"/>
              <w:right w:val="single" w:color="000000" w:sz="4" w:space="0"/>
            </w:tcBorders>
          </w:tcPr>
          <w:p>
            <w:pPr>
              <w:pStyle w:val="223"/>
              <w:spacing w:line="360" w:lineRule="auto"/>
              <w:ind w:left="436"/>
              <w:jc w:val="left"/>
              <w:rPr>
                <w:sz w:val="24"/>
                <w:highlight w:val="none"/>
              </w:rPr>
            </w:pPr>
            <w:r>
              <w:rPr>
                <w:rFonts w:hint="eastAsia"/>
                <w:sz w:val="24"/>
                <w:highlight w:val="none"/>
              </w:rPr>
              <w:t>是否有</w:t>
            </w:r>
          </w:p>
        </w:tc>
        <w:tc>
          <w:tcPr>
            <w:tcW w:w="2993" w:type="dxa"/>
            <w:tcBorders>
              <w:top w:val="single" w:color="000000" w:sz="4" w:space="0"/>
              <w:left w:val="single" w:color="000000" w:sz="4" w:space="0"/>
              <w:bottom w:val="single" w:color="000000" w:sz="4" w:space="0"/>
              <w:right w:val="single" w:color="000000" w:sz="4" w:space="0"/>
            </w:tcBorders>
          </w:tcPr>
          <w:p>
            <w:pPr>
              <w:pStyle w:val="223"/>
              <w:spacing w:line="360" w:lineRule="auto"/>
              <w:ind w:left="695"/>
              <w:jc w:val="left"/>
              <w:rPr>
                <w:sz w:val="24"/>
                <w:highlight w:val="none"/>
              </w:rPr>
            </w:pPr>
            <w:r>
              <w:rPr>
                <w:rFonts w:hint="eastAsia"/>
                <w:sz w:val="24"/>
                <w:highlight w:val="none"/>
              </w:rPr>
              <w:t>投标文件页码</w:t>
            </w:r>
          </w:p>
        </w:tc>
      </w:tr>
      <w:tr>
        <w:tblPrEx>
          <w:tblCellMar>
            <w:top w:w="0" w:type="dxa"/>
            <w:left w:w="0" w:type="dxa"/>
            <w:bottom w:w="0" w:type="dxa"/>
            <w:right w:w="0" w:type="dxa"/>
          </w:tblCellMar>
        </w:tblPrEx>
        <w:trPr>
          <w:trHeight w:val="23" w:hRule="atLeast"/>
        </w:trPr>
        <w:tc>
          <w:tcPr>
            <w:tcW w:w="4669" w:type="dxa"/>
            <w:tcBorders>
              <w:top w:val="single" w:color="000000" w:sz="4" w:space="0"/>
              <w:left w:val="single" w:color="000000" w:sz="4" w:space="0"/>
              <w:bottom w:val="single" w:color="000000" w:sz="4" w:space="0"/>
              <w:right w:val="single" w:color="000000" w:sz="4" w:space="0"/>
            </w:tcBorders>
          </w:tcPr>
          <w:p>
            <w:pPr>
              <w:pStyle w:val="223"/>
              <w:spacing w:line="360" w:lineRule="auto"/>
              <w:jc w:val="center"/>
              <w:rPr>
                <w:sz w:val="24"/>
                <w:highlight w:val="none"/>
              </w:rPr>
            </w:pPr>
            <w:r>
              <w:rPr>
                <w:rFonts w:hint="eastAsia"/>
                <w:sz w:val="24"/>
                <w:highlight w:val="none"/>
              </w:rPr>
              <w:t>投标函</w:t>
            </w:r>
          </w:p>
        </w:tc>
        <w:tc>
          <w:tcPr>
            <w:tcW w:w="1703" w:type="dxa"/>
            <w:tcBorders>
              <w:top w:val="single" w:color="000000" w:sz="4" w:space="0"/>
              <w:left w:val="single" w:color="000000" w:sz="4" w:space="0"/>
              <w:bottom w:val="single" w:color="000000" w:sz="4" w:space="0"/>
              <w:right w:val="single" w:color="000000" w:sz="4" w:space="0"/>
            </w:tcBorders>
          </w:tcPr>
          <w:p>
            <w:pPr>
              <w:spacing w:line="360" w:lineRule="auto"/>
              <w:rPr>
                <w:rFonts w:ascii="宋体" w:hAnsi="宋体" w:cs="宋体"/>
                <w:sz w:val="24"/>
                <w:highlight w:val="none"/>
              </w:rPr>
            </w:pPr>
          </w:p>
        </w:tc>
        <w:tc>
          <w:tcPr>
            <w:tcW w:w="2993" w:type="dxa"/>
            <w:tcBorders>
              <w:top w:val="single" w:color="000000" w:sz="4" w:space="0"/>
              <w:left w:val="single" w:color="000000" w:sz="4" w:space="0"/>
              <w:bottom w:val="single" w:color="000000" w:sz="4" w:space="0"/>
              <w:right w:val="single" w:color="000000" w:sz="4" w:space="0"/>
            </w:tcBorders>
          </w:tcPr>
          <w:p>
            <w:pPr>
              <w:spacing w:line="360" w:lineRule="auto"/>
              <w:rPr>
                <w:rFonts w:ascii="宋体" w:hAnsi="宋体" w:cs="宋体"/>
                <w:sz w:val="24"/>
                <w:highlight w:val="none"/>
              </w:rPr>
            </w:pPr>
          </w:p>
        </w:tc>
      </w:tr>
      <w:tr>
        <w:tblPrEx>
          <w:tblCellMar>
            <w:top w:w="0" w:type="dxa"/>
            <w:left w:w="0" w:type="dxa"/>
            <w:bottom w:w="0" w:type="dxa"/>
            <w:right w:w="0" w:type="dxa"/>
          </w:tblCellMar>
        </w:tblPrEx>
        <w:trPr>
          <w:trHeight w:val="23" w:hRule="atLeast"/>
        </w:trPr>
        <w:tc>
          <w:tcPr>
            <w:tcW w:w="4669" w:type="dxa"/>
            <w:tcBorders>
              <w:top w:val="single" w:color="000000" w:sz="4" w:space="0"/>
              <w:left w:val="single" w:color="000000" w:sz="4" w:space="0"/>
              <w:bottom w:val="single" w:color="000000" w:sz="4" w:space="0"/>
              <w:right w:val="single" w:color="000000" w:sz="4" w:space="0"/>
            </w:tcBorders>
          </w:tcPr>
          <w:p>
            <w:pPr>
              <w:pStyle w:val="223"/>
              <w:spacing w:line="360" w:lineRule="auto"/>
              <w:jc w:val="center"/>
              <w:rPr>
                <w:sz w:val="24"/>
                <w:highlight w:val="none"/>
              </w:rPr>
            </w:pPr>
            <w:r>
              <w:rPr>
                <w:rFonts w:hint="eastAsia"/>
                <w:sz w:val="24"/>
                <w:highlight w:val="none"/>
              </w:rPr>
              <w:t>开标一览表</w:t>
            </w:r>
          </w:p>
        </w:tc>
        <w:tc>
          <w:tcPr>
            <w:tcW w:w="1703" w:type="dxa"/>
            <w:tcBorders>
              <w:top w:val="single" w:color="000000" w:sz="4" w:space="0"/>
              <w:left w:val="single" w:color="000000" w:sz="4" w:space="0"/>
              <w:bottom w:val="single" w:color="000000" w:sz="4" w:space="0"/>
              <w:right w:val="single" w:color="000000" w:sz="4" w:space="0"/>
            </w:tcBorders>
          </w:tcPr>
          <w:p>
            <w:pPr>
              <w:spacing w:line="360" w:lineRule="auto"/>
              <w:rPr>
                <w:rFonts w:ascii="宋体" w:hAnsi="宋体" w:cs="宋体"/>
                <w:sz w:val="24"/>
                <w:highlight w:val="none"/>
              </w:rPr>
            </w:pPr>
          </w:p>
        </w:tc>
        <w:tc>
          <w:tcPr>
            <w:tcW w:w="2993" w:type="dxa"/>
            <w:tcBorders>
              <w:top w:val="single" w:color="000000" w:sz="4" w:space="0"/>
              <w:left w:val="single" w:color="000000" w:sz="4" w:space="0"/>
              <w:bottom w:val="single" w:color="000000" w:sz="4" w:space="0"/>
              <w:right w:val="single" w:color="000000" w:sz="4" w:space="0"/>
            </w:tcBorders>
          </w:tcPr>
          <w:p>
            <w:pPr>
              <w:spacing w:line="360" w:lineRule="auto"/>
              <w:rPr>
                <w:rFonts w:ascii="宋体" w:hAnsi="宋体" w:cs="宋体"/>
                <w:sz w:val="24"/>
                <w:highlight w:val="none"/>
              </w:rPr>
            </w:pPr>
          </w:p>
        </w:tc>
      </w:tr>
      <w:tr>
        <w:tblPrEx>
          <w:tblCellMar>
            <w:top w:w="0" w:type="dxa"/>
            <w:left w:w="0" w:type="dxa"/>
            <w:bottom w:w="0" w:type="dxa"/>
            <w:right w:w="0" w:type="dxa"/>
          </w:tblCellMar>
        </w:tblPrEx>
        <w:trPr>
          <w:trHeight w:val="1544" w:hRule="atLeast"/>
        </w:trPr>
        <w:tc>
          <w:tcPr>
            <w:tcW w:w="4669" w:type="dxa"/>
            <w:tcBorders>
              <w:top w:val="single" w:color="000000" w:sz="4" w:space="0"/>
              <w:left w:val="single" w:color="000000" w:sz="4" w:space="0"/>
              <w:bottom w:val="single" w:color="000000" w:sz="4" w:space="0"/>
              <w:right w:val="single" w:color="000000" w:sz="4" w:space="0"/>
            </w:tcBorders>
          </w:tcPr>
          <w:p>
            <w:pPr>
              <w:keepNext w:val="0"/>
              <w:keepLines w:val="0"/>
              <w:pageBreakBefore w:val="0"/>
              <w:widowControl/>
              <w:kinsoku w:val="0"/>
              <w:wordWrap/>
              <w:overflowPunct/>
              <w:topLinePunct w:val="0"/>
              <w:autoSpaceDE w:val="0"/>
              <w:autoSpaceDN w:val="0"/>
              <w:bidi w:val="0"/>
              <w:adjustRightInd w:val="0"/>
              <w:snapToGrid w:val="0"/>
              <w:spacing w:line="480" w:lineRule="auto"/>
              <w:ind w:right="141" w:firstLine="248" w:firstLineChars="100"/>
              <w:textAlignment w:val="baseline"/>
              <w:rPr>
                <w:sz w:val="24"/>
                <w:highlight w:val="none"/>
              </w:rPr>
            </w:pPr>
            <w:r>
              <w:rPr>
                <w:rFonts w:hint="eastAsia" w:ascii="宋体" w:hAnsi="宋体" w:eastAsia="宋体" w:cs="宋体"/>
                <w:b w:val="0"/>
                <w:bCs w:val="0"/>
                <w:color w:val="000000"/>
                <w:spacing w:val="4"/>
                <w:sz w:val="24"/>
                <w:szCs w:val="24"/>
                <w:highlight w:val="none"/>
              </w:rPr>
              <w:t>投标人有效的营业执照，或事业单位法人证书，或自然人身份证明，或其他非企业组织证明独立承担民事责任能力的文件</w:t>
            </w:r>
          </w:p>
        </w:tc>
        <w:tc>
          <w:tcPr>
            <w:tcW w:w="1703" w:type="dxa"/>
            <w:tcBorders>
              <w:top w:val="single" w:color="000000" w:sz="4" w:space="0"/>
              <w:left w:val="single" w:color="000000" w:sz="4" w:space="0"/>
              <w:bottom w:val="single" w:color="000000" w:sz="4" w:space="0"/>
              <w:right w:val="single" w:color="000000" w:sz="4" w:space="0"/>
            </w:tcBorders>
          </w:tcPr>
          <w:p>
            <w:pPr>
              <w:spacing w:line="360" w:lineRule="auto"/>
              <w:rPr>
                <w:rFonts w:ascii="宋体" w:hAnsi="宋体" w:cs="宋体"/>
                <w:sz w:val="24"/>
                <w:highlight w:val="none"/>
              </w:rPr>
            </w:pPr>
          </w:p>
        </w:tc>
        <w:tc>
          <w:tcPr>
            <w:tcW w:w="2993" w:type="dxa"/>
            <w:tcBorders>
              <w:top w:val="single" w:color="000000" w:sz="4" w:space="0"/>
              <w:left w:val="single" w:color="000000" w:sz="4" w:space="0"/>
              <w:bottom w:val="single" w:color="000000" w:sz="4" w:space="0"/>
              <w:right w:val="single" w:color="000000" w:sz="4" w:space="0"/>
            </w:tcBorders>
          </w:tcPr>
          <w:p>
            <w:pPr>
              <w:spacing w:line="360" w:lineRule="auto"/>
              <w:rPr>
                <w:rFonts w:ascii="宋体" w:hAnsi="宋体" w:cs="宋体"/>
                <w:sz w:val="24"/>
                <w:highlight w:val="none"/>
              </w:rPr>
            </w:pPr>
          </w:p>
        </w:tc>
      </w:tr>
      <w:tr>
        <w:tblPrEx>
          <w:tblCellMar>
            <w:top w:w="0" w:type="dxa"/>
            <w:left w:w="0" w:type="dxa"/>
            <w:bottom w:w="0" w:type="dxa"/>
            <w:right w:w="0" w:type="dxa"/>
          </w:tblCellMar>
        </w:tblPrEx>
        <w:trPr>
          <w:trHeight w:val="960" w:hRule="atLeast"/>
        </w:trPr>
        <w:tc>
          <w:tcPr>
            <w:tcW w:w="466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480" w:lineRule="auto"/>
              <w:ind w:right="141" w:firstLine="248" w:firstLineChars="100"/>
              <w:textAlignment w:val="baseline"/>
              <w:rPr>
                <w:sz w:val="24"/>
                <w:highlight w:val="none"/>
              </w:rPr>
            </w:pPr>
            <w:r>
              <w:rPr>
                <w:rFonts w:hint="eastAsia" w:ascii="宋体" w:hAnsi="宋体" w:eastAsia="宋体" w:cs="宋体"/>
                <w:b w:val="0"/>
                <w:bCs w:val="0"/>
                <w:color w:val="000000"/>
                <w:spacing w:val="4"/>
                <w:sz w:val="24"/>
                <w:szCs w:val="24"/>
                <w:highlight w:val="none"/>
              </w:rPr>
              <w:t>法定代表人身份证</w:t>
            </w:r>
            <w:r>
              <w:rPr>
                <w:rFonts w:hint="eastAsia" w:ascii="宋体" w:hAnsi="宋体" w:eastAsia="宋体" w:cs="宋体"/>
                <w:b w:val="0"/>
                <w:bCs w:val="0"/>
                <w:color w:val="000000"/>
                <w:spacing w:val="4"/>
                <w:sz w:val="24"/>
                <w:szCs w:val="24"/>
                <w:highlight w:val="none"/>
                <w:lang w:eastAsia="zh-CN"/>
              </w:rPr>
              <w:t>、</w:t>
            </w:r>
            <w:r>
              <w:rPr>
                <w:rFonts w:hint="eastAsia" w:ascii="宋体" w:hAnsi="宋体" w:eastAsia="宋体" w:cs="宋体"/>
                <w:b w:val="0"/>
                <w:bCs w:val="0"/>
                <w:color w:val="000000"/>
                <w:spacing w:val="4"/>
                <w:sz w:val="24"/>
                <w:szCs w:val="24"/>
                <w:highlight w:val="none"/>
              </w:rPr>
              <w:t>法定代表人授权函（原件）及被授权人身份证</w:t>
            </w:r>
          </w:p>
        </w:tc>
        <w:tc>
          <w:tcPr>
            <w:tcW w:w="1703" w:type="dxa"/>
            <w:tcBorders>
              <w:top w:val="single" w:color="000000" w:sz="4" w:space="0"/>
              <w:left w:val="single" w:color="000000" w:sz="4" w:space="0"/>
              <w:bottom w:val="single" w:color="000000" w:sz="4" w:space="0"/>
              <w:right w:val="single" w:color="000000" w:sz="4" w:space="0"/>
            </w:tcBorders>
          </w:tcPr>
          <w:p>
            <w:pPr>
              <w:spacing w:line="360" w:lineRule="auto"/>
              <w:rPr>
                <w:rFonts w:ascii="宋体" w:hAnsi="宋体" w:cs="宋体"/>
                <w:sz w:val="24"/>
                <w:highlight w:val="none"/>
              </w:rPr>
            </w:pPr>
          </w:p>
        </w:tc>
        <w:tc>
          <w:tcPr>
            <w:tcW w:w="2993" w:type="dxa"/>
            <w:tcBorders>
              <w:top w:val="single" w:color="000000" w:sz="4" w:space="0"/>
              <w:left w:val="single" w:color="000000" w:sz="4" w:space="0"/>
              <w:bottom w:val="single" w:color="000000" w:sz="4" w:space="0"/>
              <w:right w:val="single" w:color="000000" w:sz="4" w:space="0"/>
            </w:tcBorders>
          </w:tcPr>
          <w:p>
            <w:pPr>
              <w:spacing w:line="360" w:lineRule="auto"/>
              <w:rPr>
                <w:rFonts w:ascii="宋体" w:hAnsi="宋体" w:cs="宋体"/>
                <w:sz w:val="24"/>
                <w:highlight w:val="none"/>
              </w:rPr>
            </w:pPr>
          </w:p>
        </w:tc>
      </w:tr>
      <w:tr>
        <w:tblPrEx>
          <w:tblCellMar>
            <w:top w:w="0" w:type="dxa"/>
            <w:left w:w="0" w:type="dxa"/>
            <w:bottom w:w="0" w:type="dxa"/>
            <w:right w:w="0" w:type="dxa"/>
          </w:tblCellMar>
        </w:tblPrEx>
        <w:trPr>
          <w:trHeight w:val="960" w:hRule="atLeast"/>
        </w:trPr>
        <w:tc>
          <w:tcPr>
            <w:tcW w:w="466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480" w:lineRule="auto"/>
              <w:ind w:right="141"/>
              <w:textAlignment w:val="baseline"/>
              <w:rPr>
                <w:rFonts w:hint="default" w:ascii="宋体" w:hAnsi="宋体" w:eastAsia="宋体" w:cs="宋体"/>
                <w:b w:val="0"/>
                <w:bCs w:val="0"/>
                <w:color w:val="000000"/>
                <w:spacing w:val="4"/>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2021或2022年度财务</w:t>
            </w:r>
            <w:r>
              <w:rPr>
                <w:rFonts w:hint="eastAsia" w:ascii="宋体" w:hAnsi="宋体" w:eastAsia="宋体" w:cs="宋体"/>
                <w:b w:val="0"/>
                <w:bCs w:val="0"/>
                <w:color w:val="auto"/>
                <w:sz w:val="24"/>
                <w:szCs w:val="24"/>
                <w:highlight w:val="none"/>
              </w:rPr>
              <w:t>审计报告</w:t>
            </w:r>
            <w:r>
              <w:rPr>
                <w:rFonts w:hint="eastAsia" w:ascii="宋体" w:hAnsi="宋体" w:eastAsia="宋体" w:cs="宋体"/>
                <w:b w:val="0"/>
                <w:bCs w:val="0"/>
                <w:color w:val="auto"/>
                <w:sz w:val="24"/>
                <w:szCs w:val="24"/>
                <w:highlight w:val="none"/>
                <w:lang w:val="en-US" w:eastAsia="zh-CN"/>
              </w:rPr>
              <w:t>或资信证明</w:t>
            </w:r>
          </w:p>
        </w:tc>
        <w:tc>
          <w:tcPr>
            <w:tcW w:w="1703" w:type="dxa"/>
            <w:tcBorders>
              <w:top w:val="single" w:color="000000" w:sz="4" w:space="0"/>
              <w:left w:val="single" w:color="000000" w:sz="4" w:space="0"/>
              <w:bottom w:val="single" w:color="000000" w:sz="4" w:space="0"/>
              <w:right w:val="single" w:color="000000" w:sz="4" w:space="0"/>
            </w:tcBorders>
          </w:tcPr>
          <w:p>
            <w:pPr>
              <w:spacing w:line="360" w:lineRule="auto"/>
              <w:rPr>
                <w:rFonts w:ascii="宋体" w:hAnsi="宋体" w:cs="宋体"/>
                <w:sz w:val="24"/>
                <w:highlight w:val="none"/>
              </w:rPr>
            </w:pPr>
          </w:p>
        </w:tc>
        <w:tc>
          <w:tcPr>
            <w:tcW w:w="2993" w:type="dxa"/>
            <w:tcBorders>
              <w:top w:val="single" w:color="000000" w:sz="4" w:space="0"/>
              <w:left w:val="single" w:color="000000" w:sz="4" w:space="0"/>
              <w:bottom w:val="single" w:color="000000" w:sz="4" w:space="0"/>
              <w:right w:val="single" w:color="000000" w:sz="4" w:space="0"/>
            </w:tcBorders>
          </w:tcPr>
          <w:p>
            <w:pPr>
              <w:spacing w:line="360" w:lineRule="auto"/>
              <w:rPr>
                <w:rFonts w:ascii="宋体" w:hAnsi="宋体" w:cs="宋体"/>
                <w:sz w:val="24"/>
                <w:highlight w:val="none"/>
              </w:rPr>
            </w:pPr>
          </w:p>
        </w:tc>
      </w:tr>
      <w:tr>
        <w:tblPrEx>
          <w:tblCellMar>
            <w:top w:w="0" w:type="dxa"/>
            <w:left w:w="0" w:type="dxa"/>
            <w:bottom w:w="0" w:type="dxa"/>
            <w:right w:w="0" w:type="dxa"/>
          </w:tblCellMar>
        </w:tblPrEx>
        <w:trPr>
          <w:trHeight w:val="23" w:hRule="atLeast"/>
        </w:trPr>
        <w:tc>
          <w:tcPr>
            <w:tcW w:w="4669" w:type="dxa"/>
            <w:tcBorders>
              <w:top w:val="single" w:color="000000" w:sz="4" w:space="0"/>
              <w:left w:val="single" w:color="000000" w:sz="4" w:space="0"/>
              <w:bottom w:val="single" w:color="000000" w:sz="4" w:space="0"/>
              <w:right w:val="single" w:color="000000" w:sz="4" w:space="0"/>
            </w:tcBorders>
          </w:tcPr>
          <w:p>
            <w:pPr>
              <w:pStyle w:val="223"/>
              <w:spacing w:before="133" w:line="360" w:lineRule="auto"/>
              <w:ind w:right="2"/>
              <w:jc w:val="center"/>
              <w:rPr>
                <w:sz w:val="24"/>
                <w:highlight w:val="none"/>
              </w:rPr>
            </w:pPr>
            <w:r>
              <w:rPr>
                <w:rFonts w:hint="eastAsia"/>
                <w:sz w:val="24"/>
                <w:highlight w:val="none"/>
              </w:rPr>
              <w:t>财务状况报告</w:t>
            </w:r>
          </w:p>
        </w:tc>
        <w:tc>
          <w:tcPr>
            <w:tcW w:w="1703" w:type="dxa"/>
            <w:tcBorders>
              <w:top w:val="single" w:color="000000" w:sz="4" w:space="0"/>
              <w:left w:val="single" w:color="000000" w:sz="4" w:space="0"/>
              <w:bottom w:val="single" w:color="000000" w:sz="4" w:space="0"/>
              <w:right w:val="single" w:color="000000" w:sz="4" w:space="0"/>
            </w:tcBorders>
          </w:tcPr>
          <w:p>
            <w:pPr>
              <w:spacing w:line="360" w:lineRule="auto"/>
              <w:rPr>
                <w:rFonts w:ascii="宋体" w:hAnsi="宋体" w:cs="宋体"/>
                <w:sz w:val="24"/>
                <w:highlight w:val="none"/>
              </w:rPr>
            </w:pPr>
          </w:p>
        </w:tc>
        <w:tc>
          <w:tcPr>
            <w:tcW w:w="2993" w:type="dxa"/>
            <w:tcBorders>
              <w:top w:val="single" w:color="000000" w:sz="4" w:space="0"/>
              <w:left w:val="single" w:color="000000" w:sz="4" w:space="0"/>
              <w:bottom w:val="single" w:color="000000" w:sz="4" w:space="0"/>
              <w:right w:val="single" w:color="000000" w:sz="4" w:space="0"/>
            </w:tcBorders>
          </w:tcPr>
          <w:p>
            <w:pPr>
              <w:spacing w:line="360" w:lineRule="auto"/>
              <w:rPr>
                <w:rFonts w:ascii="宋体" w:hAnsi="宋体" w:cs="宋体"/>
                <w:sz w:val="24"/>
                <w:highlight w:val="none"/>
              </w:rPr>
            </w:pPr>
          </w:p>
        </w:tc>
      </w:tr>
      <w:tr>
        <w:tblPrEx>
          <w:tblCellMar>
            <w:top w:w="0" w:type="dxa"/>
            <w:left w:w="0" w:type="dxa"/>
            <w:bottom w:w="0" w:type="dxa"/>
            <w:right w:w="0" w:type="dxa"/>
          </w:tblCellMar>
        </w:tblPrEx>
        <w:trPr>
          <w:trHeight w:val="23" w:hRule="atLeast"/>
        </w:trPr>
        <w:tc>
          <w:tcPr>
            <w:tcW w:w="4669" w:type="dxa"/>
            <w:tcBorders>
              <w:top w:val="single" w:color="000000" w:sz="4" w:space="0"/>
              <w:left w:val="single" w:color="000000" w:sz="4" w:space="0"/>
              <w:bottom w:val="single" w:color="000000" w:sz="4" w:space="0"/>
              <w:right w:val="single" w:color="000000" w:sz="4" w:space="0"/>
            </w:tcBorders>
          </w:tcPr>
          <w:p>
            <w:pPr>
              <w:pStyle w:val="223"/>
              <w:spacing w:line="360" w:lineRule="auto"/>
              <w:jc w:val="center"/>
              <w:rPr>
                <w:sz w:val="24"/>
                <w:highlight w:val="none"/>
              </w:rPr>
            </w:pPr>
            <w:r>
              <w:rPr>
                <w:rFonts w:hint="eastAsia" w:ascii="宋体" w:hAnsi="宋体" w:cs="宋体"/>
                <w:color w:val="auto"/>
                <w:kern w:val="2"/>
                <w:sz w:val="24"/>
                <w:szCs w:val="24"/>
                <w:highlight w:val="none"/>
                <w:lang w:val="en-US" w:eastAsia="zh-CN" w:bidi="ar-SA"/>
              </w:rPr>
              <w:t>投标人医疗器械生产或经营许可证(备案证)</w:t>
            </w:r>
          </w:p>
        </w:tc>
        <w:tc>
          <w:tcPr>
            <w:tcW w:w="1703" w:type="dxa"/>
            <w:tcBorders>
              <w:top w:val="single" w:color="000000" w:sz="4" w:space="0"/>
              <w:left w:val="single" w:color="000000" w:sz="4" w:space="0"/>
              <w:bottom w:val="single" w:color="000000" w:sz="4" w:space="0"/>
              <w:right w:val="single" w:color="000000" w:sz="4" w:space="0"/>
            </w:tcBorders>
          </w:tcPr>
          <w:p>
            <w:pPr>
              <w:spacing w:line="360" w:lineRule="auto"/>
              <w:rPr>
                <w:rFonts w:ascii="宋体" w:hAnsi="宋体" w:cs="宋体"/>
                <w:sz w:val="24"/>
                <w:highlight w:val="none"/>
              </w:rPr>
            </w:pPr>
          </w:p>
        </w:tc>
        <w:tc>
          <w:tcPr>
            <w:tcW w:w="2993" w:type="dxa"/>
            <w:tcBorders>
              <w:top w:val="single" w:color="000000" w:sz="4" w:space="0"/>
              <w:left w:val="single" w:color="000000" w:sz="4" w:space="0"/>
              <w:bottom w:val="single" w:color="000000" w:sz="4" w:space="0"/>
              <w:right w:val="single" w:color="000000" w:sz="4" w:space="0"/>
            </w:tcBorders>
          </w:tcPr>
          <w:p>
            <w:pPr>
              <w:spacing w:line="360" w:lineRule="auto"/>
              <w:rPr>
                <w:rFonts w:ascii="宋体" w:hAnsi="宋体" w:cs="宋体"/>
                <w:sz w:val="24"/>
                <w:highlight w:val="none"/>
              </w:rPr>
            </w:pPr>
          </w:p>
        </w:tc>
      </w:tr>
      <w:tr>
        <w:tblPrEx>
          <w:tblCellMar>
            <w:top w:w="0" w:type="dxa"/>
            <w:left w:w="0" w:type="dxa"/>
            <w:bottom w:w="0" w:type="dxa"/>
            <w:right w:w="0" w:type="dxa"/>
          </w:tblCellMar>
        </w:tblPrEx>
        <w:trPr>
          <w:trHeight w:val="23" w:hRule="atLeast"/>
        </w:trPr>
        <w:tc>
          <w:tcPr>
            <w:tcW w:w="4669" w:type="dxa"/>
            <w:tcBorders>
              <w:top w:val="single" w:color="000000" w:sz="4" w:space="0"/>
              <w:left w:val="single" w:color="000000" w:sz="4" w:space="0"/>
              <w:bottom w:val="single" w:color="000000" w:sz="4" w:space="0"/>
              <w:right w:val="single" w:color="000000" w:sz="4" w:space="0"/>
            </w:tcBorders>
          </w:tcPr>
          <w:p>
            <w:pPr>
              <w:pStyle w:val="223"/>
              <w:spacing w:line="360" w:lineRule="auto"/>
              <w:jc w:val="center"/>
              <w:rPr>
                <w:sz w:val="24"/>
                <w:highlight w:val="none"/>
              </w:rPr>
            </w:pPr>
            <w:r>
              <w:rPr>
                <w:rFonts w:hint="eastAsia" w:ascii="宋体" w:hAnsi="宋体" w:eastAsia="宋体" w:cs="宋体"/>
                <w:b w:val="0"/>
                <w:bCs w:val="0"/>
                <w:kern w:val="0"/>
                <w:sz w:val="24"/>
                <w:szCs w:val="24"/>
                <w:highlight w:val="none"/>
              </w:rPr>
              <w:t>产品的医疗器械注册证</w:t>
            </w:r>
          </w:p>
        </w:tc>
        <w:tc>
          <w:tcPr>
            <w:tcW w:w="1703" w:type="dxa"/>
            <w:tcBorders>
              <w:top w:val="single" w:color="000000" w:sz="4" w:space="0"/>
              <w:left w:val="single" w:color="000000" w:sz="4" w:space="0"/>
              <w:bottom w:val="single" w:color="000000" w:sz="4" w:space="0"/>
              <w:right w:val="single" w:color="000000" w:sz="4" w:space="0"/>
            </w:tcBorders>
          </w:tcPr>
          <w:p>
            <w:pPr>
              <w:spacing w:line="360" w:lineRule="auto"/>
              <w:rPr>
                <w:rFonts w:ascii="宋体" w:hAnsi="宋体" w:cs="宋体"/>
                <w:sz w:val="24"/>
                <w:highlight w:val="none"/>
              </w:rPr>
            </w:pPr>
          </w:p>
        </w:tc>
        <w:tc>
          <w:tcPr>
            <w:tcW w:w="2993" w:type="dxa"/>
            <w:tcBorders>
              <w:top w:val="single" w:color="000000" w:sz="4" w:space="0"/>
              <w:left w:val="single" w:color="000000" w:sz="4" w:space="0"/>
              <w:bottom w:val="single" w:color="000000" w:sz="4" w:space="0"/>
              <w:right w:val="single" w:color="000000" w:sz="4" w:space="0"/>
            </w:tcBorders>
          </w:tcPr>
          <w:p>
            <w:pPr>
              <w:spacing w:line="360" w:lineRule="auto"/>
              <w:rPr>
                <w:rFonts w:ascii="宋体" w:hAnsi="宋体" w:cs="宋体"/>
                <w:sz w:val="24"/>
                <w:highlight w:val="none"/>
              </w:rPr>
            </w:pPr>
          </w:p>
        </w:tc>
      </w:tr>
      <w:tr>
        <w:tblPrEx>
          <w:tblCellMar>
            <w:top w:w="0" w:type="dxa"/>
            <w:left w:w="0" w:type="dxa"/>
            <w:bottom w:w="0" w:type="dxa"/>
            <w:right w:w="0" w:type="dxa"/>
          </w:tblCellMar>
        </w:tblPrEx>
        <w:trPr>
          <w:trHeight w:val="23" w:hRule="atLeast"/>
        </w:trPr>
        <w:tc>
          <w:tcPr>
            <w:tcW w:w="4669" w:type="dxa"/>
            <w:tcBorders>
              <w:top w:val="single" w:color="000000" w:sz="4" w:space="0"/>
              <w:left w:val="single" w:color="000000" w:sz="4" w:space="0"/>
              <w:bottom w:val="single" w:color="000000" w:sz="4" w:space="0"/>
              <w:right w:val="single" w:color="000000" w:sz="4" w:space="0"/>
            </w:tcBorders>
          </w:tcPr>
          <w:p>
            <w:pPr>
              <w:pStyle w:val="223"/>
              <w:spacing w:line="360" w:lineRule="auto"/>
              <w:jc w:val="center"/>
              <w:rPr>
                <w:rFonts w:hint="eastAsia" w:ascii="宋体" w:hAnsi="宋体" w:eastAsia="宋体" w:cs="宋体"/>
                <w:b w:val="0"/>
                <w:bCs w:val="0"/>
                <w:kern w:val="0"/>
                <w:sz w:val="24"/>
                <w:szCs w:val="24"/>
                <w:highlight w:val="none"/>
                <w:lang w:eastAsia="zh-CN"/>
              </w:rPr>
            </w:pPr>
            <w:r>
              <w:rPr>
                <w:rFonts w:hint="eastAsia" w:ascii="宋体" w:hAnsi="宋体" w:eastAsia="宋体" w:cs="宋体"/>
                <w:b w:val="0"/>
                <w:bCs w:val="0"/>
                <w:color w:val="auto"/>
                <w:kern w:val="0"/>
                <w:sz w:val="24"/>
                <w:szCs w:val="24"/>
                <w:highlight w:val="none"/>
              </w:rPr>
              <w:t>生产厂家的营业执照及医疗器械生产许可证</w:t>
            </w:r>
          </w:p>
        </w:tc>
        <w:tc>
          <w:tcPr>
            <w:tcW w:w="1703" w:type="dxa"/>
            <w:tcBorders>
              <w:top w:val="single" w:color="000000" w:sz="4" w:space="0"/>
              <w:left w:val="single" w:color="000000" w:sz="4" w:space="0"/>
              <w:bottom w:val="single" w:color="000000" w:sz="4" w:space="0"/>
              <w:right w:val="single" w:color="000000" w:sz="4" w:space="0"/>
            </w:tcBorders>
          </w:tcPr>
          <w:p>
            <w:pPr>
              <w:spacing w:line="360" w:lineRule="auto"/>
              <w:rPr>
                <w:rFonts w:ascii="宋体" w:hAnsi="宋体" w:cs="宋体"/>
                <w:sz w:val="24"/>
                <w:highlight w:val="none"/>
              </w:rPr>
            </w:pPr>
          </w:p>
        </w:tc>
        <w:tc>
          <w:tcPr>
            <w:tcW w:w="2993" w:type="dxa"/>
            <w:tcBorders>
              <w:top w:val="single" w:color="000000" w:sz="4" w:space="0"/>
              <w:left w:val="single" w:color="000000" w:sz="4" w:space="0"/>
              <w:bottom w:val="single" w:color="000000" w:sz="4" w:space="0"/>
              <w:right w:val="single" w:color="000000" w:sz="4" w:space="0"/>
            </w:tcBorders>
          </w:tcPr>
          <w:p>
            <w:pPr>
              <w:spacing w:line="360" w:lineRule="auto"/>
              <w:rPr>
                <w:rFonts w:ascii="宋体" w:hAnsi="宋体" w:cs="宋体"/>
                <w:sz w:val="24"/>
                <w:highlight w:val="none"/>
              </w:rPr>
            </w:pPr>
          </w:p>
        </w:tc>
      </w:tr>
      <w:tr>
        <w:tblPrEx>
          <w:tblCellMar>
            <w:top w:w="0" w:type="dxa"/>
            <w:left w:w="0" w:type="dxa"/>
            <w:bottom w:w="0" w:type="dxa"/>
            <w:right w:w="0" w:type="dxa"/>
          </w:tblCellMar>
        </w:tblPrEx>
        <w:trPr>
          <w:trHeight w:val="23" w:hRule="atLeast"/>
        </w:trPr>
        <w:tc>
          <w:tcPr>
            <w:tcW w:w="4669" w:type="dxa"/>
            <w:tcBorders>
              <w:top w:val="single" w:color="000000" w:sz="4" w:space="0"/>
              <w:left w:val="single" w:color="000000" w:sz="4" w:space="0"/>
              <w:bottom w:val="single" w:color="000000" w:sz="4" w:space="0"/>
              <w:right w:val="single" w:color="000000" w:sz="4" w:space="0"/>
            </w:tcBorders>
          </w:tcPr>
          <w:p>
            <w:pPr>
              <w:pStyle w:val="223"/>
              <w:spacing w:before="71" w:line="360" w:lineRule="auto"/>
              <w:jc w:val="center"/>
              <w:rPr>
                <w:sz w:val="24"/>
                <w:highlight w:val="none"/>
              </w:rPr>
            </w:pPr>
            <w:r>
              <w:rPr>
                <w:rFonts w:hint="eastAsia"/>
                <w:sz w:val="24"/>
                <w:highlight w:val="none"/>
              </w:rPr>
              <w:t>技术偏离表</w:t>
            </w:r>
          </w:p>
        </w:tc>
        <w:tc>
          <w:tcPr>
            <w:tcW w:w="1703" w:type="dxa"/>
            <w:tcBorders>
              <w:top w:val="single" w:color="000000" w:sz="4" w:space="0"/>
              <w:left w:val="single" w:color="000000" w:sz="4" w:space="0"/>
              <w:bottom w:val="single" w:color="000000" w:sz="4" w:space="0"/>
              <w:right w:val="single" w:color="000000" w:sz="4" w:space="0"/>
            </w:tcBorders>
          </w:tcPr>
          <w:p>
            <w:pPr>
              <w:spacing w:line="360" w:lineRule="auto"/>
              <w:rPr>
                <w:rFonts w:ascii="宋体" w:hAnsi="宋体" w:cs="宋体"/>
                <w:sz w:val="24"/>
                <w:highlight w:val="none"/>
              </w:rPr>
            </w:pPr>
          </w:p>
        </w:tc>
        <w:tc>
          <w:tcPr>
            <w:tcW w:w="2993" w:type="dxa"/>
            <w:tcBorders>
              <w:top w:val="single" w:color="000000" w:sz="4" w:space="0"/>
              <w:left w:val="single" w:color="000000" w:sz="4" w:space="0"/>
              <w:bottom w:val="single" w:color="000000" w:sz="4" w:space="0"/>
              <w:right w:val="single" w:color="000000" w:sz="4" w:space="0"/>
            </w:tcBorders>
          </w:tcPr>
          <w:p>
            <w:pPr>
              <w:spacing w:line="360" w:lineRule="auto"/>
              <w:rPr>
                <w:rFonts w:ascii="宋体" w:hAnsi="宋体" w:cs="宋体"/>
                <w:sz w:val="24"/>
                <w:highlight w:val="none"/>
              </w:rPr>
            </w:pPr>
          </w:p>
        </w:tc>
      </w:tr>
      <w:tr>
        <w:tblPrEx>
          <w:tblCellMar>
            <w:top w:w="0" w:type="dxa"/>
            <w:left w:w="0" w:type="dxa"/>
            <w:bottom w:w="0" w:type="dxa"/>
            <w:right w:w="0" w:type="dxa"/>
          </w:tblCellMar>
        </w:tblPrEx>
        <w:trPr>
          <w:trHeight w:val="23" w:hRule="atLeast"/>
        </w:trPr>
        <w:tc>
          <w:tcPr>
            <w:tcW w:w="4669" w:type="dxa"/>
            <w:tcBorders>
              <w:top w:val="single" w:color="000000" w:sz="4" w:space="0"/>
              <w:left w:val="single" w:color="000000" w:sz="4" w:space="0"/>
              <w:bottom w:val="single" w:color="000000" w:sz="4" w:space="0"/>
              <w:right w:val="single" w:color="000000" w:sz="4" w:space="0"/>
            </w:tcBorders>
          </w:tcPr>
          <w:p>
            <w:pPr>
              <w:pStyle w:val="223"/>
              <w:spacing w:before="74" w:line="360" w:lineRule="auto"/>
              <w:jc w:val="center"/>
              <w:rPr>
                <w:sz w:val="24"/>
                <w:highlight w:val="none"/>
              </w:rPr>
            </w:pPr>
            <w:r>
              <w:rPr>
                <w:rFonts w:hint="eastAsia"/>
                <w:sz w:val="24"/>
                <w:highlight w:val="none"/>
              </w:rPr>
              <w:t>商务偏离表</w:t>
            </w:r>
          </w:p>
        </w:tc>
        <w:tc>
          <w:tcPr>
            <w:tcW w:w="1703" w:type="dxa"/>
            <w:tcBorders>
              <w:top w:val="single" w:color="000000" w:sz="4" w:space="0"/>
              <w:left w:val="single" w:color="000000" w:sz="4" w:space="0"/>
              <w:bottom w:val="single" w:color="000000" w:sz="4" w:space="0"/>
              <w:right w:val="single" w:color="000000" w:sz="4" w:space="0"/>
            </w:tcBorders>
          </w:tcPr>
          <w:p>
            <w:pPr>
              <w:spacing w:line="360" w:lineRule="auto"/>
              <w:rPr>
                <w:rFonts w:ascii="宋体" w:hAnsi="宋体" w:cs="宋体"/>
                <w:sz w:val="24"/>
                <w:highlight w:val="none"/>
              </w:rPr>
            </w:pPr>
          </w:p>
        </w:tc>
        <w:tc>
          <w:tcPr>
            <w:tcW w:w="2993" w:type="dxa"/>
            <w:tcBorders>
              <w:top w:val="single" w:color="000000" w:sz="4" w:space="0"/>
              <w:left w:val="single" w:color="000000" w:sz="4" w:space="0"/>
              <w:bottom w:val="single" w:color="000000" w:sz="4" w:space="0"/>
              <w:right w:val="single" w:color="000000" w:sz="4" w:space="0"/>
            </w:tcBorders>
          </w:tcPr>
          <w:p>
            <w:pPr>
              <w:spacing w:line="360" w:lineRule="auto"/>
              <w:rPr>
                <w:rFonts w:ascii="宋体" w:hAnsi="宋体" w:cs="宋体"/>
                <w:sz w:val="24"/>
                <w:highlight w:val="none"/>
              </w:rPr>
            </w:pPr>
          </w:p>
        </w:tc>
      </w:tr>
      <w:tr>
        <w:tblPrEx>
          <w:tblCellMar>
            <w:top w:w="0" w:type="dxa"/>
            <w:left w:w="0" w:type="dxa"/>
            <w:bottom w:w="0" w:type="dxa"/>
            <w:right w:w="0" w:type="dxa"/>
          </w:tblCellMar>
        </w:tblPrEx>
        <w:trPr>
          <w:trHeight w:val="23" w:hRule="atLeast"/>
        </w:trPr>
        <w:tc>
          <w:tcPr>
            <w:tcW w:w="4669" w:type="dxa"/>
            <w:tcBorders>
              <w:top w:val="single" w:color="000000" w:sz="4" w:space="0"/>
              <w:left w:val="single" w:color="000000" w:sz="4" w:space="0"/>
              <w:bottom w:val="single" w:color="000000" w:sz="4" w:space="0"/>
              <w:right w:val="single" w:color="000000" w:sz="4" w:space="0"/>
            </w:tcBorders>
          </w:tcPr>
          <w:p>
            <w:pPr>
              <w:pStyle w:val="223"/>
              <w:spacing w:line="360" w:lineRule="auto"/>
              <w:ind w:left="1"/>
              <w:jc w:val="center"/>
              <w:rPr>
                <w:rFonts w:hint="eastAsia" w:eastAsia="宋体"/>
                <w:sz w:val="24"/>
                <w:highlight w:val="none"/>
                <w:lang w:eastAsia="zh-CN"/>
              </w:rPr>
            </w:pPr>
            <w:r>
              <w:rPr>
                <w:rFonts w:hint="eastAsia"/>
                <w:sz w:val="24"/>
                <w:highlight w:val="none"/>
                <w:lang w:val="en-US" w:eastAsia="zh-CN"/>
              </w:rPr>
              <w:t>符合性审查表</w:t>
            </w:r>
          </w:p>
        </w:tc>
        <w:tc>
          <w:tcPr>
            <w:tcW w:w="1703" w:type="dxa"/>
            <w:tcBorders>
              <w:top w:val="single" w:color="000000" w:sz="4" w:space="0"/>
              <w:left w:val="single" w:color="000000" w:sz="4" w:space="0"/>
              <w:bottom w:val="single" w:color="000000" w:sz="4" w:space="0"/>
              <w:right w:val="single" w:color="000000" w:sz="4" w:space="0"/>
            </w:tcBorders>
          </w:tcPr>
          <w:p>
            <w:pPr>
              <w:spacing w:line="360" w:lineRule="auto"/>
              <w:rPr>
                <w:rFonts w:ascii="宋体" w:hAnsi="宋体" w:cs="宋体"/>
                <w:sz w:val="24"/>
                <w:highlight w:val="none"/>
              </w:rPr>
            </w:pPr>
          </w:p>
        </w:tc>
        <w:tc>
          <w:tcPr>
            <w:tcW w:w="2993" w:type="dxa"/>
            <w:tcBorders>
              <w:top w:val="single" w:color="000000" w:sz="4" w:space="0"/>
              <w:left w:val="single" w:color="000000" w:sz="4" w:space="0"/>
              <w:bottom w:val="single" w:color="000000" w:sz="4" w:space="0"/>
              <w:right w:val="single" w:color="000000" w:sz="4" w:space="0"/>
            </w:tcBorders>
          </w:tcPr>
          <w:p>
            <w:pPr>
              <w:spacing w:line="360" w:lineRule="auto"/>
              <w:rPr>
                <w:rFonts w:ascii="宋体" w:hAnsi="宋体" w:cs="宋体"/>
                <w:sz w:val="24"/>
                <w:highlight w:val="none"/>
              </w:rPr>
            </w:pPr>
          </w:p>
        </w:tc>
      </w:tr>
      <w:tr>
        <w:tblPrEx>
          <w:tblCellMar>
            <w:top w:w="0" w:type="dxa"/>
            <w:left w:w="0" w:type="dxa"/>
            <w:bottom w:w="0" w:type="dxa"/>
            <w:right w:w="0" w:type="dxa"/>
          </w:tblCellMar>
        </w:tblPrEx>
        <w:trPr>
          <w:trHeight w:val="23" w:hRule="atLeast"/>
        </w:trPr>
        <w:tc>
          <w:tcPr>
            <w:tcW w:w="4669" w:type="dxa"/>
            <w:tcBorders>
              <w:top w:val="single" w:color="000000" w:sz="4" w:space="0"/>
              <w:left w:val="single" w:color="000000" w:sz="4" w:space="0"/>
              <w:bottom w:val="single" w:color="000000" w:sz="4" w:space="0"/>
              <w:right w:val="single" w:color="000000" w:sz="4" w:space="0"/>
            </w:tcBorders>
          </w:tcPr>
          <w:p>
            <w:pPr>
              <w:pStyle w:val="223"/>
              <w:spacing w:line="360" w:lineRule="auto"/>
              <w:ind w:left="1"/>
              <w:jc w:val="center"/>
              <w:rPr>
                <w:sz w:val="24"/>
                <w:highlight w:val="none"/>
              </w:rPr>
            </w:pPr>
            <w:r>
              <w:rPr>
                <w:rFonts w:hint="eastAsia"/>
                <w:sz w:val="24"/>
                <w:highlight w:val="none"/>
              </w:rPr>
              <w:t>....</w:t>
            </w:r>
          </w:p>
        </w:tc>
        <w:tc>
          <w:tcPr>
            <w:tcW w:w="1703" w:type="dxa"/>
            <w:tcBorders>
              <w:top w:val="single" w:color="000000" w:sz="4" w:space="0"/>
              <w:left w:val="single" w:color="000000" w:sz="4" w:space="0"/>
              <w:bottom w:val="single" w:color="000000" w:sz="4" w:space="0"/>
              <w:right w:val="single" w:color="000000" w:sz="4" w:space="0"/>
            </w:tcBorders>
          </w:tcPr>
          <w:p>
            <w:pPr>
              <w:spacing w:line="360" w:lineRule="auto"/>
              <w:rPr>
                <w:rFonts w:ascii="宋体" w:hAnsi="宋体" w:cs="宋体"/>
                <w:sz w:val="24"/>
                <w:highlight w:val="none"/>
              </w:rPr>
            </w:pPr>
          </w:p>
        </w:tc>
        <w:tc>
          <w:tcPr>
            <w:tcW w:w="2993" w:type="dxa"/>
            <w:tcBorders>
              <w:top w:val="single" w:color="000000" w:sz="4" w:space="0"/>
              <w:left w:val="single" w:color="000000" w:sz="4" w:space="0"/>
              <w:bottom w:val="single" w:color="000000" w:sz="4" w:space="0"/>
              <w:right w:val="single" w:color="000000" w:sz="4" w:space="0"/>
            </w:tcBorders>
          </w:tcPr>
          <w:p>
            <w:pPr>
              <w:spacing w:line="360" w:lineRule="auto"/>
              <w:rPr>
                <w:rFonts w:ascii="宋体" w:hAnsi="宋体" w:cs="宋体"/>
                <w:sz w:val="24"/>
                <w:highlight w:val="none"/>
              </w:rPr>
            </w:pPr>
          </w:p>
        </w:tc>
      </w:tr>
      <w:tr>
        <w:tblPrEx>
          <w:tblCellMar>
            <w:top w:w="0" w:type="dxa"/>
            <w:left w:w="0" w:type="dxa"/>
            <w:bottom w:w="0" w:type="dxa"/>
            <w:right w:w="0" w:type="dxa"/>
          </w:tblCellMar>
        </w:tblPrEx>
        <w:trPr>
          <w:trHeight w:val="23" w:hRule="atLeast"/>
        </w:trPr>
        <w:tc>
          <w:tcPr>
            <w:tcW w:w="4669" w:type="dxa"/>
            <w:tcBorders>
              <w:top w:val="single" w:color="000000" w:sz="4" w:space="0"/>
              <w:left w:val="single" w:color="000000" w:sz="4" w:space="0"/>
              <w:bottom w:val="single" w:color="000000" w:sz="4" w:space="0"/>
              <w:right w:val="single" w:color="000000" w:sz="4" w:space="0"/>
            </w:tcBorders>
          </w:tcPr>
          <w:p>
            <w:pPr>
              <w:pStyle w:val="223"/>
              <w:spacing w:line="360" w:lineRule="auto"/>
              <w:ind w:left="1"/>
              <w:jc w:val="center"/>
              <w:rPr>
                <w:sz w:val="24"/>
                <w:highlight w:val="none"/>
              </w:rPr>
            </w:pPr>
            <w:r>
              <w:rPr>
                <w:rFonts w:hint="eastAsia"/>
                <w:sz w:val="24"/>
                <w:highlight w:val="none"/>
              </w:rPr>
              <w:t>....</w:t>
            </w:r>
          </w:p>
        </w:tc>
        <w:tc>
          <w:tcPr>
            <w:tcW w:w="1703" w:type="dxa"/>
            <w:tcBorders>
              <w:top w:val="single" w:color="000000" w:sz="4" w:space="0"/>
              <w:left w:val="single" w:color="000000" w:sz="4" w:space="0"/>
              <w:bottom w:val="single" w:color="000000" w:sz="4" w:space="0"/>
              <w:right w:val="single" w:color="000000" w:sz="4" w:space="0"/>
            </w:tcBorders>
          </w:tcPr>
          <w:p>
            <w:pPr>
              <w:spacing w:line="360" w:lineRule="auto"/>
              <w:rPr>
                <w:rFonts w:ascii="宋体" w:hAnsi="宋体" w:cs="宋体"/>
                <w:sz w:val="24"/>
                <w:highlight w:val="none"/>
              </w:rPr>
            </w:pPr>
          </w:p>
        </w:tc>
        <w:tc>
          <w:tcPr>
            <w:tcW w:w="2993" w:type="dxa"/>
            <w:tcBorders>
              <w:top w:val="single" w:color="000000" w:sz="4" w:space="0"/>
              <w:left w:val="single" w:color="000000" w:sz="4" w:space="0"/>
              <w:bottom w:val="single" w:color="000000" w:sz="4" w:space="0"/>
              <w:right w:val="single" w:color="000000" w:sz="4" w:space="0"/>
            </w:tcBorders>
          </w:tcPr>
          <w:p>
            <w:pPr>
              <w:spacing w:line="360" w:lineRule="auto"/>
              <w:rPr>
                <w:rFonts w:ascii="宋体" w:hAnsi="宋体" w:cs="宋体"/>
                <w:sz w:val="24"/>
                <w:highlight w:val="none"/>
              </w:rPr>
            </w:pPr>
          </w:p>
        </w:tc>
      </w:tr>
      <w:tr>
        <w:tblPrEx>
          <w:tblCellMar>
            <w:top w:w="0" w:type="dxa"/>
            <w:left w:w="0" w:type="dxa"/>
            <w:bottom w:w="0" w:type="dxa"/>
            <w:right w:w="0" w:type="dxa"/>
          </w:tblCellMar>
        </w:tblPrEx>
        <w:trPr>
          <w:trHeight w:val="23" w:hRule="atLeast"/>
        </w:trPr>
        <w:tc>
          <w:tcPr>
            <w:tcW w:w="4669" w:type="dxa"/>
            <w:tcBorders>
              <w:top w:val="single" w:color="000000" w:sz="4" w:space="0"/>
              <w:left w:val="single" w:color="000000" w:sz="4" w:space="0"/>
              <w:bottom w:val="single" w:color="000000" w:sz="4" w:space="0"/>
              <w:right w:val="single" w:color="000000" w:sz="4" w:space="0"/>
            </w:tcBorders>
          </w:tcPr>
          <w:p>
            <w:pPr>
              <w:spacing w:line="360" w:lineRule="auto"/>
              <w:rPr>
                <w:rFonts w:ascii="宋体" w:hAnsi="宋体" w:cs="宋体"/>
                <w:sz w:val="24"/>
                <w:highlight w:val="none"/>
              </w:rPr>
            </w:pPr>
          </w:p>
        </w:tc>
        <w:tc>
          <w:tcPr>
            <w:tcW w:w="1703" w:type="dxa"/>
            <w:tcBorders>
              <w:top w:val="single" w:color="000000" w:sz="4" w:space="0"/>
              <w:left w:val="single" w:color="000000" w:sz="4" w:space="0"/>
              <w:bottom w:val="single" w:color="000000" w:sz="4" w:space="0"/>
              <w:right w:val="single" w:color="000000" w:sz="4" w:space="0"/>
            </w:tcBorders>
          </w:tcPr>
          <w:p>
            <w:pPr>
              <w:spacing w:line="360" w:lineRule="auto"/>
              <w:rPr>
                <w:rFonts w:ascii="宋体" w:hAnsi="宋体" w:cs="宋体"/>
                <w:sz w:val="24"/>
                <w:highlight w:val="none"/>
              </w:rPr>
            </w:pPr>
          </w:p>
        </w:tc>
        <w:tc>
          <w:tcPr>
            <w:tcW w:w="2993" w:type="dxa"/>
            <w:tcBorders>
              <w:top w:val="single" w:color="000000" w:sz="4" w:space="0"/>
              <w:left w:val="single" w:color="000000" w:sz="4" w:space="0"/>
              <w:bottom w:val="single" w:color="000000" w:sz="4" w:space="0"/>
              <w:right w:val="single" w:color="000000" w:sz="4" w:space="0"/>
            </w:tcBorders>
          </w:tcPr>
          <w:p>
            <w:pPr>
              <w:spacing w:line="360" w:lineRule="auto"/>
              <w:rPr>
                <w:rFonts w:ascii="宋体" w:hAnsi="宋体" w:cs="宋体"/>
                <w:sz w:val="24"/>
                <w:highlight w:val="none"/>
              </w:rPr>
            </w:pPr>
          </w:p>
        </w:tc>
      </w:tr>
      <w:tr>
        <w:tblPrEx>
          <w:tblCellMar>
            <w:top w:w="0" w:type="dxa"/>
            <w:left w:w="0" w:type="dxa"/>
            <w:bottom w:w="0" w:type="dxa"/>
            <w:right w:w="0" w:type="dxa"/>
          </w:tblCellMar>
        </w:tblPrEx>
        <w:trPr>
          <w:trHeight w:val="23" w:hRule="atLeast"/>
        </w:trPr>
        <w:tc>
          <w:tcPr>
            <w:tcW w:w="4669" w:type="dxa"/>
            <w:tcBorders>
              <w:top w:val="single" w:color="000000" w:sz="4" w:space="0"/>
              <w:left w:val="single" w:color="000000" w:sz="4" w:space="0"/>
              <w:bottom w:val="single" w:color="000000" w:sz="4" w:space="0"/>
              <w:right w:val="single" w:color="000000" w:sz="4" w:space="0"/>
            </w:tcBorders>
          </w:tcPr>
          <w:p>
            <w:pPr>
              <w:spacing w:line="360" w:lineRule="auto"/>
              <w:rPr>
                <w:rFonts w:ascii="宋体" w:hAnsi="宋体" w:cs="宋体"/>
                <w:sz w:val="24"/>
                <w:highlight w:val="none"/>
              </w:rPr>
            </w:pPr>
          </w:p>
        </w:tc>
        <w:tc>
          <w:tcPr>
            <w:tcW w:w="1703" w:type="dxa"/>
            <w:tcBorders>
              <w:top w:val="single" w:color="000000" w:sz="4" w:space="0"/>
              <w:left w:val="single" w:color="000000" w:sz="4" w:space="0"/>
              <w:bottom w:val="single" w:color="000000" w:sz="4" w:space="0"/>
              <w:right w:val="single" w:color="000000" w:sz="4" w:space="0"/>
            </w:tcBorders>
          </w:tcPr>
          <w:p>
            <w:pPr>
              <w:spacing w:line="360" w:lineRule="auto"/>
              <w:rPr>
                <w:rFonts w:ascii="宋体" w:hAnsi="宋体" w:cs="宋体"/>
                <w:sz w:val="24"/>
                <w:highlight w:val="none"/>
              </w:rPr>
            </w:pPr>
          </w:p>
        </w:tc>
        <w:tc>
          <w:tcPr>
            <w:tcW w:w="2993" w:type="dxa"/>
            <w:tcBorders>
              <w:top w:val="single" w:color="000000" w:sz="4" w:space="0"/>
              <w:left w:val="single" w:color="000000" w:sz="4" w:space="0"/>
              <w:bottom w:val="single" w:color="000000" w:sz="4" w:space="0"/>
              <w:right w:val="single" w:color="000000" w:sz="4" w:space="0"/>
            </w:tcBorders>
          </w:tcPr>
          <w:p>
            <w:pPr>
              <w:spacing w:line="360" w:lineRule="auto"/>
              <w:rPr>
                <w:rFonts w:ascii="宋体" w:hAnsi="宋体" w:cs="宋体"/>
                <w:sz w:val="24"/>
                <w:highlight w:val="none"/>
              </w:rPr>
            </w:pPr>
          </w:p>
        </w:tc>
      </w:tr>
      <w:tr>
        <w:tblPrEx>
          <w:tblCellMar>
            <w:top w:w="0" w:type="dxa"/>
            <w:left w:w="0" w:type="dxa"/>
            <w:bottom w:w="0" w:type="dxa"/>
            <w:right w:w="0" w:type="dxa"/>
          </w:tblCellMar>
        </w:tblPrEx>
        <w:trPr>
          <w:trHeight w:val="23" w:hRule="atLeast"/>
        </w:trPr>
        <w:tc>
          <w:tcPr>
            <w:tcW w:w="4669" w:type="dxa"/>
            <w:tcBorders>
              <w:top w:val="single" w:color="000000" w:sz="4" w:space="0"/>
              <w:left w:val="single" w:color="000000" w:sz="4" w:space="0"/>
              <w:bottom w:val="single" w:color="000000" w:sz="4" w:space="0"/>
              <w:right w:val="single" w:color="000000" w:sz="4" w:space="0"/>
            </w:tcBorders>
          </w:tcPr>
          <w:p>
            <w:pPr>
              <w:spacing w:line="360" w:lineRule="auto"/>
              <w:rPr>
                <w:rFonts w:ascii="宋体" w:hAnsi="宋体" w:cs="宋体"/>
                <w:sz w:val="24"/>
                <w:highlight w:val="none"/>
              </w:rPr>
            </w:pPr>
          </w:p>
        </w:tc>
        <w:tc>
          <w:tcPr>
            <w:tcW w:w="1703" w:type="dxa"/>
            <w:tcBorders>
              <w:top w:val="single" w:color="000000" w:sz="4" w:space="0"/>
              <w:left w:val="single" w:color="000000" w:sz="4" w:space="0"/>
              <w:bottom w:val="single" w:color="000000" w:sz="4" w:space="0"/>
              <w:right w:val="single" w:color="000000" w:sz="4" w:space="0"/>
            </w:tcBorders>
          </w:tcPr>
          <w:p>
            <w:pPr>
              <w:spacing w:line="360" w:lineRule="auto"/>
              <w:rPr>
                <w:rFonts w:ascii="宋体" w:hAnsi="宋体" w:cs="宋体"/>
                <w:sz w:val="24"/>
                <w:highlight w:val="none"/>
              </w:rPr>
            </w:pPr>
          </w:p>
        </w:tc>
        <w:tc>
          <w:tcPr>
            <w:tcW w:w="2993" w:type="dxa"/>
            <w:tcBorders>
              <w:top w:val="single" w:color="000000" w:sz="4" w:space="0"/>
              <w:left w:val="single" w:color="000000" w:sz="4" w:space="0"/>
              <w:bottom w:val="single" w:color="000000" w:sz="4" w:space="0"/>
              <w:right w:val="single" w:color="000000" w:sz="4" w:space="0"/>
            </w:tcBorders>
          </w:tcPr>
          <w:p>
            <w:pPr>
              <w:spacing w:line="360" w:lineRule="auto"/>
              <w:rPr>
                <w:rFonts w:ascii="宋体" w:hAnsi="宋体" w:cs="宋体"/>
                <w:sz w:val="24"/>
                <w:highlight w:val="none"/>
              </w:rPr>
            </w:pPr>
          </w:p>
        </w:tc>
      </w:tr>
      <w:tr>
        <w:tblPrEx>
          <w:tblCellMar>
            <w:top w:w="0" w:type="dxa"/>
            <w:left w:w="0" w:type="dxa"/>
            <w:bottom w:w="0" w:type="dxa"/>
            <w:right w:w="0" w:type="dxa"/>
          </w:tblCellMar>
        </w:tblPrEx>
        <w:trPr>
          <w:trHeight w:val="23" w:hRule="atLeast"/>
        </w:trPr>
        <w:tc>
          <w:tcPr>
            <w:tcW w:w="4669" w:type="dxa"/>
            <w:tcBorders>
              <w:top w:val="single" w:color="000000" w:sz="4" w:space="0"/>
              <w:left w:val="single" w:color="000000" w:sz="4" w:space="0"/>
              <w:bottom w:val="single" w:color="000000" w:sz="4" w:space="0"/>
              <w:right w:val="single" w:color="000000" w:sz="4" w:space="0"/>
            </w:tcBorders>
          </w:tcPr>
          <w:p>
            <w:pPr>
              <w:spacing w:line="360" w:lineRule="auto"/>
              <w:rPr>
                <w:rFonts w:ascii="宋体" w:hAnsi="宋体" w:cs="宋体"/>
                <w:sz w:val="24"/>
                <w:highlight w:val="none"/>
              </w:rPr>
            </w:pPr>
          </w:p>
        </w:tc>
        <w:tc>
          <w:tcPr>
            <w:tcW w:w="1703" w:type="dxa"/>
            <w:tcBorders>
              <w:top w:val="single" w:color="000000" w:sz="4" w:space="0"/>
              <w:left w:val="single" w:color="000000" w:sz="4" w:space="0"/>
              <w:bottom w:val="single" w:color="000000" w:sz="4" w:space="0"/>
              <w:right w:val="single" w:color="000000" w:sz="4" w:space="0"/>
            </w:tcBorders>
          </w:tcPr>
          <w:p>
            <w:pPr>
              <w:spacing w:line="360" w:lineRule="auto"/>
              <w:rPr>
                <w:rFonts w:ascii="宋体" w:hAnsi="宋体" w:cs="宋体"/>
                <w:sz w:val="24"/>
                <w:highlight w:val="none"/>
              </w:rPr>
            </w:pPr>
          </w:p>
        </w:tc>
        <w:tc>
          <w:tcPr>
            <w:tcW w:w="2993" w:type="dxa"/>
            <w:tcBorders>
              <w:top w:val="single" w:color="000000" w:sz="4" w:space="0"/>
              <w:left w:val="single" w:color="000000" w:sz="4" w:space="0"/>
              <w:bottom w:val="single" w:color="000000" w:sz="4" w:space="0"/>
              <w:right w:val="single" w:color="000000" w:sz="4" w:space="0"/>
            </w:tcBorders>
          </w:tcPr>
          <w:p>
            <w:pPr>
              <w:spacing w:line="360" w:lineRule="auto"/>
              <w:rPr>
                <w:rFonts w:ascii="宋体" w:hAnsi="宋体" w:cs="宋体"/>
                <w:sz w:val="24"/>
                <w:highlight w:val="none"/>
              </w:rPr>
            </w:pPr>
          </w:p>
        </w:tc>
      </w:tr>
    </w:tbl>
    <w:p>
      <w:pPr>
        <w:pStyle w:val="3"/>
        <w:spacing w:line="241" w:lineRule="exact"/>
        <w:ind w:left="137"/>
        <w:jc w:val="left"/>
        <w:rPr>
          <w:highlight w:val="none"/>
        </w:rPr>
      </w:pPr>
    </w:p>
    <w:p>
      <w:pPr>
        <w:pStyle w:val="3"/>
        <w:spacing w:line="360" w:lineRule="auto"/>
        <w:jc w:val="left"/>
        <w:rPr>
          <w:highlight w:val="none"/>
        </w:rPr>
      </w:pPr>
      <w:r>
        <w:rPr>
          <w:highlight w:val="none"/>
        </w:rPr>
        <w:t>投标人（签字、盖章）：</w:t>
      </w:r>
    </w:p>
    <w:p>
      <w:pPr>
        <w:pStyle w:val="3"/>
        <w:spacing w:line="360" w:lineRule="auto"/>
        <w:jc w:val="left"/>
        <w:rPr>
          <w:highlight w:val="none"/>
          <w:u w:val="single"/>
        </w:rPr>
      </w:pPr>
      <w:r>
        <w:rPr>
          <w:highlight w:val="none"/>
        </w:rPr>
        <w:t>日期：</w:t>
      </w:r>
    </w:p>
    <w:p>
      <w:pPr>
        <w:pStyle w:val="3"/>
        <w:spacing w:line="360" w:lineRule="auto"/>
        <w:ind w:left="137" w:firstLine="480" w:firstLineChars="200"/>
        <w:jc w:val="left"/>
        <w:rPr>
          <w:highlight w:val="none"/>
          <w:u w:val="single"/>
        </w:rPr>
      </w:pPr>
    </w:p>
    <w:p>
      <w:pPr>
        <w:pStyle w:val="7"/>
        <w:spacing w:before="0" w:after="100" w:afterAutospacing="1"/>
        <w:rPr>
          <w:rFonts w:ascii="宋体" w:hAnsi="宋体" w:cs="宋体"/>
          <w:spacing w:val="10"/>
          <w:highlight w:val="none"/>
        </w:rPr>
      </w:pPr>
      <w:bookmarkStart w:id="474" w:name="_Toc32474"/>
      <w:bookmarkStart w:id="475" w:name="_Toc17704"/>
      <w:bookmarkStart w:id="476" w:name="_Toc25013"/>
      <w:bookmarkStart w:id="477" w:name="_Toc22310"/>
      <w:bookmarkStart w:id="478" w:name="_Toc28553"/>
      <w:bookmarkStart w:id="479" w:name="_Toc17348"/>
      <w:r>
        <w:rPr>
          <w:rFonts w:hint="eastAsia" w:ascii="宋体" w:hAnsi="宋体" w:cs="宋体"/>
          <w:spacing w:val="10"/>
          <w:highlight w:val="none"/>
        </w:rPr>
        <w:t>5.开标信封封面格式</w:t>
      </w:r>
      <w:bookmarkEnd w:id="474"/>
      <w:bookmarkEnd w:id="475"/>
      <w:bookmarkEnd w:id="476"/>
      <w:bookmarkEnd w:id="477"/>
      <w:bookmarkEnd w:id="478"/>
      <w:bookmarkEnd w:id="479"/>
    </w:p>
    <w:p>
      <w:pPr>
        <w:spacing w:line="360" w:lineRule="auto"/>
        <w:textAlignment w:val="baseline"/>
        <w:rPr>
          <w:rFonts w:ascii="宋体" w:hAnsi="宋体" w:cs="宋体"/>
          <w:spacing w:val="10"/>
          <w:sz w:val="24"/>
          <w:highlight w:val="none"/>
        </w:rPr>
      </w:pPr>
      <w:r>
        <w:rPr>
          <w:rFonts w:hint="eastAsia" w:ascii="宋体" w:hAnsi="宋体" w:cs="宋体"/>
          <w:spacing w:val="10"/>
          <w:sz w:val="24"/>
          <w:highlight w:val="none"/>
        </w:rPr>
        <w:t>请按以下内容填写开标信封抬头，并将黑框剪下，贴在开标信封外面，除非特殊情况，否则不要更改信封格式：</w:t>
      </w:r>
    </w:p>
    <w:p>
      <w:pPr>
        <w:spacing w:line="360" w:lineRule="auto"/>
        <w:rPr>
          <w:rFonts w:ascii="宋体" w:hAnsi="宋体" w:cs="宋体"/>
          <w:spacing w:val="10"/>
          <w:sz w:val="24"/>
          <w:highlight w:val="none"/>
        </w:rPr>
      </w:pPr>
    </w:p>
    <w:tbl>
      <w:tblPr>
        <w:tblStyle w:val="37"/>
        <w:tblpPr w:leftFromText="180" w:rightFromText="180" w:vertAnchor="text" w:horzAnchor="margin" w:tblpY="470"/>
        <w:tblW w:w="957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02" w:hRule="atLeast"/>
        </w:trPr>
        <w:tc>
          <w:tcPr>
            <w:tcW w:w="9571" w:type="dxa"/>
          </w:tcPr>
          <w:p>
            <w:pPr>
              <w:spacing w:line="360" w:lineRule="auto"/>
              <w:jc w:val="center"/>
              <w:rPr>
                <w:rFonts w:ascii="宋体" w:hAnsi="宋体" w:cs="宋体"/>
                <w:sz w:val="24"/>
                <w:highlight w:val="none"/>
              </w:rPr>
            </w:pPr>
            <w:r>
              <w:rPr>
                <w:rFonts w:hint="eastAsia" w:ascii="宋体" w:hAnsi="宋体" w:cs="宋体"/>
                <w:sz w:val="24"/>
                <w:highlight w:val="none"/>
              </w:rPr>
              <w:t>开标一览表</w:t>
            </w:r>
          </w:p>
          <w:p>
            <w:pPr>
              <w:spacing w:line="360" w:lineRule="auto"/>
              <w:rPr>
                <w:rFonts w:ascii="宋体" w:hAnsi="宋体" w:cs="宋体"/>
                <w:sz w:val="24"/>
                <w:highlight w:val="none"/>
              </w:rPr>
            </w:pPr>
            <w:r>
              <w:rPr>
                <w:rFonts w:hint="eastAsia" w:ascii="宋体" w:hAnsi="宋体" w:cs="宋体"/>
                <w:sz w:val="24"/>
                <w:highlight w:val="none"/>
              </w:rPr>
              <w:t>致：</w:t>
            </w:r>
          </w:p>
          <w:p>
            <w:pPr>
              <w:spacing w:line="360" w:lineRule="auto"/>
              <w:ind w:firstLine="355" w:firstLineChars="148"/>
              <w:rPr>
                <w:rFonts w:hint="eastAsia" w:ascii="宋体" w:hAnsi="宋体" w:eastAsia="宋体" w:cs="宋体"/>
                <w:sz w:val="24"/>
                <w:highlight w:val="none"/>
                <w:lang w:eastAsia="zh-CN"/>
              </w:rPr>
            </w:pPr>
          </w:p>
          <w:p>
            <w:pPr>
              <w:spacing w:line="360" w:lineRule="auto"/>
              <w:rPr>
                <w:rFonts w:ascii="宋体" w:hAnsi="宋体" w:cs="宋体"/>
                <w:sz w:val="24"/>
                <w:highlight w:val="none"/>
              </w:rPr>
            </w:pPr>
          </w:p>
          <w:p>
            <w:pPr>
              <w:spacing w:line="360" w:lineRule="auto"/>
              <w:ind w:firstLine="2400" w:firstLineChars="1000"/>
              <w:rPr>
                <w:rFonts w:ascii="宋体" w:hAnsi="宋体" w:cs="宋体"/>
                <w:sz w:val="24"/>
                <w:highlight w:val="none"/>
              </w:rPr>
            </w:pPr>
            <w:r>
              <w:rPr>
                <w:rFonts w:hint="eastAsia" w:ascii="宋体" w:hAnsi="宋体" w:cs="宋体"/>
                <w:sz w:val="24"/>
                <w:highlight w:val="none"/>
              </w:rPr>
              <w:t>项目名称：</w:t>
            </w:r>
          </w:p>
          <w:p>
            <w:pPr>
              <w:pStyle w:val="22"/>
              <w:spacing w:line="360" w:lineRule="auto"/>
              <w:ind w:firstLine="2400" w:firstLineChars="1000"/>
              <w:rPr>
                <w:rFonts w:hint="eastAsia" w:hAnsi="宋体" w:cs="宋体"/>
                <w:sz w:val="24"/>
                <w:highlight w:val="none"/>
              </w:rPr>
            </w:pPr>
            <w:r>
              <w:rPr>
                <w:rFonts w:hint="eastAsia" w:hAnsi="宋体" w:cs="宋体"/>
                <w:sz w:val="24"/>
                <w:highlight w:val="none"/>
              </w:rPr>
              <w:t>招标编号：</w:t>
            </w:r>
          </w:p>
          <w:p>
            <w:pPr>
              <w:spacing w:line="360" w:lineRule="auto"/>
              <w:ind w:firstLine="2400" w:firstLineChars="1000"/>
              <w:rPr>
                <w:rFonts w:ascii="宋体" w:hAnsi="宋体" w:cs="宋体"/>
                <w:sz w:val="24"/>
                <w:highlight w:val="none"/>
              </w:rPr>
            </w:pPr>
            <w:r>
              <w:rPr>
                <w:rFonts w:hint="eastAsia" w:ascii="宋体" w:hAnsi="宋体" w:cs="宋体"/>
                <w:sz w:val="24"/>
                <w:highlight w:val="none"/>
              </w:rPr>
              <w:t>采购人：</w:t>
            </w:r>
          </w:p>
          <w:p>
            <w:pPr>
              <w:spacing w:line="360" w:lineRule="auto"/>
              <w:ind w:firstLine="2400" w:firstLineChars="1000"/>
              <w:rPr>
                <w:rFonts w:ascii="宋体" w:hAnsi="宋体" w:cs="宋体"/>
                <w:sz w:val="24"/>
                <w:highlight w:val="none"/>
              </w:rPr>
            </w:pPr>
            <w:r>
              <w:rPr>
                <w:rFonts w:hint="eastAsia" w:ascii="宋体" w:hAnsi="宋体" w:cs="宋体"/>
                <w:sz w:val="24"/>
                <w:highlight w:val="none"/>
              </w:rPr>
              <w:t>投标人：（盖章）</w:t>
            </w:r>
          </w:p>
          <w:p>
            <w:pPr>
              <w:pStyle w:val="30"/>
              <w:spacing w:line="360" w:lineRule="auto"/>
              <w:ind w:firstLine="1920" w:firstLineChars="800"/>
              <w:rPr>
                <w:rFonts w:ascii="宋体" w:hAnsi="宋体" w:cs="宋体"/>
                <w:sz w:val="24"/>
                <w:highlight w:val="none"/>
              </w:rPr>
            </w:pPr>
            <w:r>
              <w:rPr>
                <w:rFonts w:hint="eastAsia" w:ascii="宋体" w:hAnsi="宋体" w:cs="宋体"/>
                <w:sz w:val="24"/>
                <w:highlight w:val="none"/>
              </w:rPr>
              <w:t>详细地址：</w:t>
            </w:r>
          </w:p>
          <w:p>
            <w:pPr>
              <w:spacing w:line="360" w:lineRule="auto"/>
              <w:ind w:firstLine="2400" w:firstLineChars="1000"/>
              <w:rPr>
                <w:rFonts w:ascii="宋体" w:hAnsi="宋体" w:cs="宋体"/>
                <w:sz w:val="24"/>
                <w:highlight w:val="none"/>
              </w:rPr>
            </w:pPr>
            <w:r>
              <w:rPr>
                <w:rFonts w:hint="eastAsia" w:ascii="宋体" w:hAnsi="宋体" w:cs="宋体"/>
                <w:sz w:val="24"/>
                <w:highlight w:val="none"/>
              </w:rPr>
              <w:t>日期：</w:t>
            </w:r>
          </w:p>
        </w:tc>
      </w:tr>
    </w:tbl>
    <w:p>
      <w:pPr>
        <w:spacing w:line="360" w:lineRule="auto"/>
        <w:rPr>
          <w:rFonts w:ascii="宋体" w:hAnsi="宋体" w:cs="宋体"/>
          <w:b/>
          <w:sz w:val="24"/>
          <w:highlight w:val="none"/>
        </w:rPr>
      </w:pPr>
    </w:p>
    <w:p>
      <w:pPr>
        <w:spacing w:line="360" w:lineRule="auto"/>
        <w:rPr>
          <w:rFonts w:ascii="宋体" w:hAnsi="宋体" w:cs="宋体"/>
          <w:b/>
          <w:sz w:val="24"/>
          <w:highlight w:val="none"/>
        </w:rPr>
      </w:pPr>
      <w:r>
        <w:rPr>
          <w:rFonts w:hint="eastAsia" w:ascii="宋体" w:hAnsi="宋体" w:cs="宋体"/>
          <w:b/>
          <w:sz w:val="24"/>
          <w:highlight w:val="none"/>
        </w:rPr>
        <w:t>注：此开标信封内封装：开标一览表，单独提交。</w:t>
      </w:r>
    </w:p>
    <w:p>
      <w:pPr>
        <w:spacing w:line="360" w:lineRule="auto"/>
        <w:rPr>
          <w:rFonts w:ascii="宋体" w:hAnsi="宋体" w:cs="宋体"/>
          <w:b/>
          <w:sz w:val="24"/>
          <w:highlight w:val="none"/>
        </w:rPr>
      </w:pPr>
    </w:p>
    <w:p>
      <w:pPr>
        <w:spacing w:line="360" w:lineRule="auto"/>
        <w:rPr>
          <w:rFonts w:ascii="宋体" w:hAnsi="宋体" w:cs="宋体"/>
          <w:b/>
          <w:sz w:val="24"/>
          <w:highlight w:val="none"/>
        </w:rPr>
      </w:pPr>
    </w:p>
    <w:p>
      <w:pPr>
        <w:spacing w:line="360" w:lineRule="auto"/>
        <w:rPr>
          <w:rFonts w:ascii="宋体" w:hAnsi="宋体" w:cs="宋体"/>
          <w:b/>
          <w:sz w:val="24"/>
          <w:highlight w:val="none"/>
        </w:rPr>
      </w:pPr>
    </w:p>
    <w:p>
      <w:pPr>
        <w:spacing w:line="360" w:lineRule="auto"/>
        <w:rPr>
          <w:rFonts w:ascii="宋体" w:hAnsi="宋体" w:cs="宋体"/>
          <w:b/>
          <w:sz w:val="24"/>
          <w:highlight w:val="none"/>
        </w:rPr>
      </w:pPr>
    </w:p>
    <w:p>
      <w:pPr>
        <w:spacing w:line="360" w:lineRule="auto"/>
        <w:rPr>
          <w:rFonts w:ascii="宋体" w:hAnsi="宋体" w:cs="宋体"/>
          <w:b/>
          <w:sz w:val="24"/>
          <w:highlight w:val="none"/>
        </w:rPr>
      </w:pPr>
    </w:p>
    <w:p>
      <w:pPr>
        <w:spacing w:line="360" w:lineRule="auto"/>
        <w:rPr>
          <w:rFonts w:ascii="宋体" w:hAnsi="宋体" w:cs="宋体"/>
          <w:b/>
          <w:sz w:val="24"/>
          <w:highlight w:val="none"/>
        </w:rPr>
      </w:pPr>
    </w:p>
    <w:p>
      <w:pPr>
        <w:spacing w:line="360" w:lineRule="auto"/>
        <w:rPr>
          <w:rFonts w:ascii="宋体" w:hAnsi="宋体" w:cs="宋体"/>
          <w:b/>
          <w:sz w:val="24"/>
          <w:highlight w:val="none"/>
        </w:rPr>
      </w:pPr>
    </w:p>
    <w:p>
      <w:pPr>
        <w:spacing w:line="360" w:lineRule="auto"/>
        <w:rPr>
          <w:rFonts w:ascii="宋体" w:hAnsi="宋体" w:cs="宋体"/>
          <w:b/>
          <w:sz w:val="24"/>
          <w:highlight w:val="none"/>
        </w:rPr>
      </w:pPr>
    </w:p>
    <w:p>
      <w:pPr>
        <w:spacing w:line="360" w:lineRule="auto"/>
        <w:rPr>
          <w:rFonts w:ascii="宋体" w:hAnsi="宋体" w:cs="宋体"/>
          <w:b/>
          <w:sz w:val="24"/>
          <w:highlight w:val="none"/>
        </w:rPr>
      </w:pPr>
    </w:p>
    <w:p>
      <w:pPr>
        <w:pStyle w:val="30"/>
        <w:rPr>
          <w:highlight w:val="none"/>
        </w:rPr>
      </w:pPr>
    </w:p>
    <w:p>
      <w:pPr>
        <w:spacing w:line="360" w:lineRule="auto"/>
        <w:rPr>
          <w:rFonts w:ascii="宋体" w:hAnsi="宋体" w:cs="宋体"/>
          <w:b/>
          <w:sz w:val="24"/>
          <w:highlight w:val="none"/>
        </w:rPr>
      </w:pPr>
    </w:p>
    <w:p>
      <w:pPr>
        <w:pStyle w:val="7"/>
        <w:spacing w:before="0" w:after="100" w:afterAutospacing="1"/>
        <w:rPr>
          <w:rFonts w:ascii="宋体" w:hAnsi="宋体" w:cs="宋体"/>
          <w:spacing w:val="10"/>
          <w:highlight w:val="none"/>
        </w:rPr>
      </w:pPr>
      <w:bookmarkStart w:id="480" w:name="_Toc31809"/>
      <w:bookmarkStart w:id="481" w:name="_Toc21291"/>
      <w:bookmarkStart w:id="482" w:name="_Toc31378"/>
      <w:bookmarkStart w:id="483" w:name="_Toc24132"/>
      <w:bookmarkStart w:id="484" w:name="_Toc20679"/>
      <w:bookmarkStart w:id="485" w:name="_Toc31107"/>
      <w:r>
        <w:rPr>
          <w:rFonts w:hint="eastAsia" w:ascii="宋体" w:hAnsi="宋体" w:cs="宋体"/>
          <w:spacing w:val="10"/>
          <w:highlight w:val="none"/>
        </w:rPr>
        <w:t>6.投标文件封面模板</w:t>
      </w:r>
      <w:bookmarkEnd w:id="480"/>
      <w:bookmarkEnd w:id="481"/>
      <w:bookmarkEnd w:id="482"/>
      <w:bookmarkEnd w:id="483"/>
      <w:bookmarkEnd w:id="484"/>
      <w:bookmarkEnd w:id="485"/>
    </w:p>
    <w:p>
      <w:pPr>
        <w:spacing w:line="360" w:lineRule="auto"/>
        <w:jc w:val="right"/>
        <w:rPr>
          <w:rFonts w:ascii="宋体" w:hAnsi="宋体" w:cs="宋体"/>
          <w:b/>
          <w:bCs/>
          <w:highlight w:val="none"/>
        </w:rPr>
      </w:pPr>
      <w:r>
        <w:rPr>
          <w:rFonts w:hint="eastAsia" w:ascii="宋体" w:hAnsi="宋体" w:cs="宋体"/>
          <w:b/>
          <w:bCs/>
          <w:spacing w:val="10"/>
          <w:sz w:val="32"/>
          <w:highlight w:val="none"/>
        </w:rPr>
        <w:t>正（副）本</w:t>
      </w:r>
    </w:p>
    <w:p>
      <w:pPr>
        <w:spacing w:line="360" w:lineRule="auto"/>
        <w:rPr>
          <w:rFonts w:ascii="宋体" w:hAnsi="宋体" w:cs="宋体"/>
          <w:b/>
          <w:sz w:val="32"/>
          <w:szCs w:val="32"/>
          <w:highlight w:val="none"/>
        </w:rPr>
      </w:pPr>
    </w:p>
    <w:p>
      <w:pPr>
        <w:spacing w:line="360" w:lineRule="auto"/>
        <w:jc w:val="center"/>
        <w:rPr>
          <w:rFonts w:ascii="宋体" w:hAnsi="宋体" w:cs="宋体"/>
          <w:b/>
          <w:sz w:val="48"/>
          <w:szCs w:val="48"/>
          <w:highlight w:val="none"/>
        </w:rPr>
      </w:pPr>
      <w:r>
        <w:rPr>
          <w:rFonts w:hint="eastAsia" w:ascii="宋体" w:hAnsi="宋体" w:cs="宋体"/>
          <w:b/>
          <w:sz w:val="48"/>
          <w:szCs w:val="48"/>
          <w:highlight w:val="none"/>
        </w:rPr>
        <w:t>投标文件</w:t>
      </w:r>
    </w:p>
    <w:p>
      <w:pPr>
        <w:spacing w:line="360" w:lineRule="auto"/>
        <w:ind w:left="899" w:leftChars="428"/>
        <w:rPr>
          <w:rFonts w:ascii="宋体" w:hAnsi="宋体" w:cs="宋体"/>
          <w:b/>
          <w:sz w:val="32"/>
          <w:szCs w:val="32"/>
          <w:highlight w:val="none"/>
        </w:rPr>
      </w:pPr>
    </w:p>
    <w:p>
      <w:pPr>
        <w:pStyle w:val="30"/>
        <w:spacing w:line="360" w:lineRule="auto"/>
        <w:rPr>
          <w:rFonts w:ascii="宋体" w:hAnsi="宋体" w:cs="宋体"/>
          <w:b/>
          <w:sz w:val="32"/>
          <w:szCs w:val="32"/>
          <w:highlight w:val="none"/>
        </w:rPr>
      </w:pPr>
    </w:p>
    <w:p>
      <w:pPr>
        <w:spacing w:line="360" w:lineRule="auto"/>
        <w:rPr>
          <w:rFonts w:ascii="宋体" w:hAnsi="宋体" w:cs="宋体"/>
          <w:highlight w:val="none"/>
        </w:rPr>
      </w:pPr>
    </w:p>
    <w:p>
      <w:pPr>
        <w:spacing w:line="360" w:lineRule="auto"/>
        <w:ind w:firstLine="1606" w:firstLineChars="500"/>
        <w:rPr>
          <w:rFonts w:ascii="宋体" w:hAnsi="宋体" w:cs="宋体"/>
          <w:b/>
          <w:sz w:val="32"/>
          <w:szCs w:val="32"/>
          <w:highlight w:val="none"/>
          <w:u w:val="single"/>
        </w:rPr>
      </w:pPr>
      <w:r>
        <w:rPr>
          <w:rFonts w:hint="eastAsia" w:ascii="宋体" w:hAnsi="宋体" w:cs="宋体"/>
          <w:b/>
          <w:sz w:val="32"/>
          <w:szCs w:val="32"/>
          <w:highlight w:val="none"/>
        </w:rPr>
        <w:t>项目名称：</w:t>
      </w:r>
    </w:p>
    <w:p>
      <w:pPr>
        <w:spacing w:line="360" w:lineRule="auto"/>
        <w:ind w:left="899" w:leftChars="428" w:firstLine="643" w:firstLineChars="200"/>
        <w:rPr>
          <w:rFonts w:ascii="宋体" w:hAnsi="宋体" w:cs="宋体"/>
          <w:b/>
          <w:sz w:val="32"/>
          <w:szCs w:val="32"/>
          <w:highlight w:val="none"/>
        </w:rPr>
      </w:pPr>
      <w:r>
        <w:rPr>
          <w:rFonts w:hint="eastAsia" w:ascii="宋体" w:hAnsi="宋体" w:cs="宋体"/>
          <w:b/>
          <w:sz w:val="32"/>
          <w:szCs w:val="32"/>
          <w:highlight w:val="none"/>
        </w:rPr>
        <w:t>项目编号：</w:t>
      </w:r>
    </w:p>
    <w:p>
      <w:pPr>
        <w:pStyle w:val="22"/>
        <w:rPr>
          <w:rFonts w:hint="default" w:ascii="宋体" w:hAnsi="宋体" w:eastAsia="宋体" w:cs="宋体"/>
          <w:b/>
          <w:kern w:val="2"/>
          <w:sz w:val="32"/>
          <w:szCs w:val="32"/>
          <w:highlight w:val="none"/>
          <w:lang w:val="en-US" w:eastAsia="zh-CN" w:bidi="ar-SA"/>
        </w:rPr>
      </w:pPr>
      <w:r>
        <w:rPr>
          <w:rFonts w:hint="eastAsia"/>
          <w:highlight w:val="none"/>
        </w:rPr>
        <w:t xml:space="preserve">          </w:t>
      </w:r>
      <w:r>
        <w:rPr>
          <w:rFonts w:hint="eastAsia"/>
          <w:highlight w:val="none"/>
          <w:lang w:val="en-US" w:eastAsia="zh-CN"/>
        </w:rPr>
        <w:t xml:space="preserve">    </w:t>
      </w:r>
    </w:p>
    <w:p>
      <w:pPr>
        <w:spacing w:line="360" w:lineRule="auto"/>
        <w:rPr>
          <w:rFonts w:ascii="宋体" w:hAnsi="宋体" w:cs="宋体"/>
          <w:b/>
          <w:sz w:val="32"/>
          <w:szCs w:val="32"/>
          <w:highlight w:val="none"/>
        </w:rPr>
      </w:pPr>
      <w:r>
        <w:rPr>
          <w:rFonts w:hint="eastAsia" w:ascii="宋体" w:hAnsi="宋体" w:cs="宋体"/>
          <w:b/>
          <w:sz w:val="32"/>
          <w:szCs w:val="32"/>
          <w:highlight w:val="none"/>
        </w:rPr>
        <w:t xml:space="preserve">    </w:t>
      </w:r>
    </w:p>
    <w:p>
      <w:pPr>
        <w:spacing w:line="360" w:lineRule="auto"/>
        <w:ind w:left="1619" w:leftChars="771"/>
        <w:rPr>
          <w:rFonts w:ascii="宋体" w:hAnsi="宋体" w:cs="宋体"/>
          <w:b/>
          <w:sz w:val="32"/>
          <w:szCs w:val="32"/>
          <w:highlight w:val="none"/>
        </w:rPr>
      </w:pPr>
    </w:p>
    <w:p>
      <w:pPr>
        <w:spacing w:line="360" w:lineRule="auto"/>
        <w:rPr>
          <w:rFonts w:ascii="宋体" w:hAnsi="宋体" w:cs="宋体"/>
          <w:b/>
          <w:sz w:val="32"/>
          <w:szCs w:val="32"/>
          <w:highlight w:val="none"/>
        </w:rPr>
      </w:pPr>
    </w:p>
    <w:p>
      <w:pPr>
        <w:spacing w:line="360" w:lineRule="auto"/>
        <w:ind w:left="1619" w:leftChars="771"/>
        <w:rPr>
          <w:rFonts w:ascii="宋体" w:hAnsi="宋体" w:cs="宋体"/>
          <w:b/>
          <w:sz w:val="32"/>
          <w:szCs w:val="32"/>
          <w:highlight w:val="none"/>
          <w:u w:val="single"/>
        </w:rPr>
      </w:pPr>
      <w:r>
        <w:rPr>
          <w:rFonts w:hint="eastAsia" w:ascii="宋体" w:hAnsi="宋体" w:cs="宋体"/>
          <w:b/>
          <w:sz w:val="32"/>
          <w:szCs w:val="32"/>
          <w:highlight w:val="none"/>
        </w:rPr>
        <w:t>采购人：</w:t>
      </w:r>
    </w:p>
    <w:p>
      <w:pPr>
        <w:spacing w:line="360" w:lineRule="auto"/>
        <w:ind w:left="1619" w:leftChars="771"/>
        <w:rPr>
          <w:rFonts w:ascii="宋体" w:hAnsi="宋体" w:cs="宋体"/>
          <w:b/>
          <w:sz w:val="32"/>
          <w:szCs w:val="32"/>
          <w:highlight w:val="none"/>
          <w:u w:val="single"/>
        </w:rPr>
      </w:pPr>
      <w:r>
        <w:rPr>
          <w:rFonts w:hint="eastAsia" w:ascii="宋体" w:hAnsi="宋体" w:cs="宋体"/>
          <w:b/>
          <w:sz w:val="32"/>
          <w:szCs w:val="32"/>
          <w:highlight w:val="none"/>
        </w:rPr>
        <w:t>投标人名称（公章）：</w:t>
      </w:r>
    </w:p>
    <w:p>
      <w:pPr>
        <w:spacing w:line="360" w:lineRule="auto"/>
        <w:ind w:left="1619" w:leftChars="771"/>
        <w:rPr>
          <w:rFonts w:ascii="宋体" w:hAnsi="宋体" w:cs="宋体"/>
          <w:b/>
          <w:sz w:val="32"/>
          <w:szCs w:val="32"/>
          <w:highlight w:val="none"/>
        </w:rPr>
      </w:pPr>
      <w:r>
        <w:rPr>
          <w:rFonts w:hint="eastAsia" w:ascii="宋体" w:hAnsi="宋体" w:cs="宋体"/>
          <w:b/>
          <w:sz w:val="32"/>
          <w:szCs w:val="32"/>
          <w:highlight w:val="none"/>
        </w:rPr>
        <w:t>详细地址：</w:t>
      </w:r>
    </w:p>
    <w:p>
      <w:pPr>
        <w:spacing w:line="360" w:lineRule="auto"/>
        <w:ind w:left="1619" w:leftChars="771"/>
        <w:rPr>
          <w:rFonts w:ascii="宋体" w:hAnsi="宋体" w:cs="宋体"/>
          <w:b/>
          <w:sz w:val="32"/>
          <w:szCs w:val="32"/>
          <w:highlight w:val="none"/>
        </w:rPr>
      </w:pPr>
      <w:r>
        <w:rPr>
          <w:rFonts w:hint="eastAsia" w:ascii="宋体" w:hAnsi="宋体" w:cs="宋体"/>
          <w:b/>
          <w:sz w:val="32"/>
          <w:szCs w:val="32"/>
          <w:highlight w:val="none"/>
        </w:rPr>
        <w:t>日期：</w:t>
      </w:r>
    </w:p>
    <w:p>
      <w:pPr>
        <w:pStyle w:val="212"/>
        <w:spacing w:line="360" w:lineRule="auto"/>
        <w:rPr>
          <w:rFonts w:ascii="宋体" w:hAnsi="宋体" w:cs="宋体"/>
          <w:b/>
          <w:sz w:val="22"/>
          <w:szCs w:val="22"/>
          <w:highlight w:val="none"/>
        </w:rPr>
      </w:pPr>
    </w:p>
    <w:p>
      <w:pPr>
        <w:pStyle w:val="212"/>
        <w:spacing w:line="360" w:lineRule="auto"/>
        <w:rPr>
          <w:rFonts w:ascii="宋体" w:hAnsi="宋体" w:cs="宋体"/>
          <w:b/>
          <w:sz w:val="22"/>
          <w:szCs w:val="22"/>
          <w:highlight w:val="none"/>
        </w:rPr>
      </w:pPr>
    </w:p>
    <w:p>
      <w:pPr>
        <w:pStyle w:val="212"/>
        <w:spacing w:line="360" w:lineRule="auto"/>
        <w:jc w:val="center"/>
        <w:rPr>
          <w:rFonts w:ascii="宋体" w:hAnsi="宋体" w:cs="宋体"/>
          <w:b/>
          <w:szCs w:val="28"/>
          <w:highlight w:val="none"/>
        </w:rPr>
      </w:pPr>
      <w:bookmarkStart w:id="486" w:name="_Toc29929"/>
      <w:bookmarkStart w:id="487" w:name="_Toc10205"/>
      <w:bookmarkStart w:id="488" w:name="_Toc12836"/>
      <w:bookmarkStart w:id="489" w:name="_Toc7146"/>
      <w:bookmarkStart w:id="490" w:name="_Toc6233"/>
      <w:bookmarkStart w:id="491" w:name="_Toc4270"/>
      <w:bookmarkStart w:id="492" w:name="_Toc23162"/>
      <w:bookmarkStart w:id="493" w:name="_Toc26432"/>
      <w:bookmarkStart w:id="494" w:name="_Toc16952"/>
      <w:bookmarkStart w:id="495" w:name="_Toc8733"/>
      <w:bookmarkStart w:id="496" w:name="_Toc16887"/>
      <w:bookmarkStart w:id="497" w:name="_Toc26303"/>
      <w:bookmarkStart w:id="498" w:name="_Toc27676"/>
      <w:bookmarkStart w:id="499" w:name="_Toc27827"/>
      <w:bookmarkStart w:id="500" w:name="_Toc3392"/>
      <w:bookmarkStart w:id="501" w:name="_Toc1384"/>
      <w:r>
        <w:rPr>
          <w:rFonts w:hint="eastAsia" w:ascii="宋体" w:hAnsi="宋体" w:cs="宋体"/>
          <w:b/>
          <w:szCs w:val="28"/>
          <w:highlight w:val="none"/>
        </w:rPr>
        <w:t>此文件于年月日时前不得启封</w:t>
      </w:r>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p>
    <w:p>
      <w:pPr>
        <w:pStyle w:val="7"/>
        <w:spacing w:before="0" w:after="0"/>
        <w:jc w:val="both"/>
        <w:rPr>
          <w:rFonts w:ascii="宋体" w:hAnsi="宋体" w:cs="宋体"/>
          <w:spacing w:val="10"/>
          <w:sz w:val="36"/>
          <w:szCs w:val="36"/>
          <w:highlight w:val="none"/>
        </w:rPr>
        <w:sectPr>
          <w:headerReference r:id="rId13" w:type="first"/>
          <w:headerReference r:id="rId12" w:type="default"/>
          <w:pgSz w:w="11905" w:h="16838"/>
          <w:pgMar w:top="1077" w:right="1134" w:bottom="1077" w:left="1417" w:header="850" w:footer="992" w:gutter="0"/>
          <w:pgNumType w:fmt="decimal"/>
          <w:cols w:space="0" w:num="1"/>
          <w:titlePg/>
          <w:docGrid w:linePitch="322" w:charSpace="0"/>
        </w:sectPr>
      </w:pPr>
    </w:p>
    <w:p>
      <w:pPr>
        <w:pStyle w:val="7"/>
        <w:spacing w:before="0" w:after="100" w:afterAutospacing="1"/>
        <w:rPr>
          <w:rFonts w:ascii="宋体" w:hAnsi="宋体" w:cs="宋体"/>
          <w:spacing w:val="10"/>
          <w:highlight w:val="none"/>
        </w:rPr>
      </w:pPr>
      <w:bookmarkStart w:id="502" w:name="_Toc8562"/>
      <w:bookmarkStart w:id="503" w:name="_Toc22205"/>
      <w:bookmarkStart w:id="504" w:name="_Toc13401"/>
      <w:bookmarkStart w:id="505" w:name="_Toc258923307"/>
      <w:bookmarkStart w:id="506" w:name="_Toc3657"/>
      <w:bookmarkStart w:id="507" w:name="_Toc5588"/>
      <w:bookmarkStart w:id="508" w:name="_Toc24708"/>
      <w:r>
        <w:rPr>
          <w:rFonts w:hint="eastAsia" w:ascii="宋体" w:hAnsi="宋体" w:cs="宋体"/>
          <w:spacing w:val="10"/>
          <w:highlight w:val="none"/>
        </w:rPr>
        <w:t>7.开标一览表</w:t>
      </w:r>
      <w:bookmarkEnd w:id="502"/>
      <w:bookmarkEnd w:id="503"/>
      <w:bookmarkEnd w:id="504"/>
      <w:bookmarkEnd w:id="505"/>
      <w:bookmarkEnd w:id="506"/>
      <w:bookmarkEnd w:id="507"/>
      <w:bookmarkEnd w:id="508"/>
    </w:p>
    <w:p>
      <w:pPr>
        <w:spacing w:line="276" w:lineRule="auto"/>
        <w:ind w:firstLine="260" w:firstLineChars="100"/>
        <w:rPr>
          <w:rFonts w:ascii="宋体" w:hAnsi="宋体" w:cs="宋体"/>
          <w:spacing w:val="10"/>
          <w:sz w:val="24"/>
          <w:highlight w:val="none"/>
          <w:u w:val="single"/>
          <w:bdr w:val="single" w:color="auto" w:sz="4" w:space="0"/>
        </w:rPr>
      </w:pPr>
      <w:r>
        <w:rPr>
          <w:rFonts w:hint="eastAsia" w:ascii="宋体" w:hAnsi="宋体" w:cs="宋体"/>
          <w:spacing w:val="10"/>
          <w:sz w:val="24"/>
          <w:highlight w:val="none"/>
        </w:rPr>
        <w:t>项目名称：</w:t>
      </w:r>
    </w:p>
    <w:p>
      <w:pPr>
        <w:spacing w:line="276" w:lineRule="auto"/>
        <w:ind w:firstLine="260" w:firstLineChars="100"/>
        <w:rPr>
          <w:rFonts w:hint="eastAsia" w:ascii="宋体" w:hAnsi="宋体" w:cs="宋体"/>
          <w:spacing w:val="10"/>
          <w:sz w:val="24"/>
          <w:highlight w:val="none"/>
        </w:rPr>
      </w:pPr>
      <w:r>
        <w:rPr>
          <w:rFonts w:hint="eastAsia" w:ascii="宋体" w:hAnsi="宋体" w:cs="宋体"/>
          <w:spacing w:val="10"/>
          <w:sz w:val="24"/>
          <w:highlight w:val="none"/>
        </w:rPr>
        <w:t>招标编号：</w:t>
      </w:r>
    </w:p>
    <w:p>
      <w:pPr>
        <w:pStyle w:val="4"/>
        <w:rPr>
          <w:highlight w:val="none"/>
        </w:rPr>
      </w:pPr>
      <w:r>
        <w:rPr>
          <w:rFonts w:hint="eastAsia" w:ascii="宋体" w:hAnsi="宋体" w:cs="宋体"/>
          <w:spacing w:val="10"/>
          <w:sz w:val="24"/>
          <w:highlight w:val="none"/>
          <w:lang w:val="en-US" w:eastAsia="zh-CN"/>
        </w:rPr>
        <w:t xml:space="preserve"> </w:t>
      </w:r>
      <w:r>
        <w:rPr>
          <w:rFonts w:hint="eastAsia" w:ascii="宋体" w:hAnsi="宋体" w:cs="宋体"/>
          <w:spacing w:val="10"/>
          <w:sz w:val="24"/>
          <w:highlight w:val="none"/>
        </w:rPr>
        <w:t>投标人名称：</w:t>
      </w:r>
    </w:p>
    <w:tbl>
      <w:tblPr>
        <w:tblStyle w:val="37"/>
        <w:tblW w:w="4693"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84"/>
        <w:gridCol w:w="711"/>
        <w:gridCol w:w="790"/>
        <w:gridCol w:w="607"/>
        <w:gridCol w:w="735"/>
        <w:gridCol w:w="712"/>
        <w:gridCol w:w="631"/>
        <w:gridCol w:w="456"/>
        <w:gridCol w:w="456"/>
        <w:gridCol w:w="1249"/>
        <w:gridCol w:w="1220"/>
        <w:gridCol w:w="9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6" w:hRule="atLeast"/>
        </w:trPr>
        <w:tc>
          <w:tcPr>
            <w:tcW w:w="270" w:type="pct"/>
            <w:noWrap w:val="0"/>
            <w:vAlign w:val="center"/>
          </w:tcPr>
          <w:p>
            <w:pPr>
              <w:spacing w:line="360" w:lineRule="auto"/>
              <w:jc w:val="center"/>
              <w:rPr>
                <w:rFonts w:hint="eastAsia" w:ascii="宋体" w:hAnsi="宋体"/>
                <w:color w:val="auto"/>
                <w:sz w:val="24"/>
                <w:highlight w:val="none"/>
              </w:rPr>
            </w:pPr>
            <w:r>
              <w:rPr>
                <w:rFonts w:hint="eastAsia" w:ascii="宋体" w:hAnsi="宋体"/>
                <w:color w:val="auto"/>
                <w:sz w:val="24"/>
                <w:highlight w:val="none"/>
              </w:rPr>
              <w:t>序号</w:t>
            </w:r>
          </w:p>
        </w:tc>
        <w:tc>
          <w:tcPr>
            <w:tcW w:w="396" w:type="pct"/>
            <w:noWrap w:val="0"/>
            <w:vAlign w:val="center"/>
          </w:tcPr>
          <w:p>
            <w:pPr>
              <w:spacing w:line="360" w:lineRule="auto"/>
              <w:jc w:val="center"/>
              <w:rPr>
                <w:rFonts w:hint="eastAsia" w:ascii="宋体" w:hAnsi="宋体"/>
                <w:color w:val="auto"/>
                <w:sz w:val="24"/>
                <w:highlight w:val="none"/>
              </w:rPr>
            </w:pPr>
            <w:r>
              <w:rPr>
                <w:rFonts w:hint="eastAsia" w:ascii="宋体" w:hAnsi="宋体"/>
                <w:color w:val="auto"/>
                <w:sz w:val="24"/>
                <w:highlight w:val="none"/>
              </w:rPr>
              <w:t>名称</w:t>
            </w:r>
          </w:p>
        </w:tc>
        <w:tc>
          <w:tcPr>
            <w:tcW w:w="440" w:type="pct"/>
            <w:noWrap w:val="0"/>
            <w:vAlign w:val="center"/>
          </w:tcPr>
          <w:p>
            <w:pPr>
              <w:spacing w:line="360" w:lineRule="auto"/>
              <w:jc w:val="center"/>
              <w:rPr>
                <w:rFonts w:hint="eastAsia" w:ascii="宋体" w:hAnsi="宋体"/>
                <w:color w:val="auto"/>
                <w:sz w:val="24"/>
                <w:highlight w:val="none"/>
              </w:rPr>
            </w:pPr>
            <w:r>
              <w:rPr>
                <w:rFonts w:hint="eastAsia" w:ascii="宋体" w:hAnsi="宋体"/>
                <w:color w:val="auto"/>
                <w:sz w:val="24"/>
                <w:highlight w:val="none"/>
              </w:rPr>
              <w:t>型号规格</w:t>
            </w:r>
          </w:p>
        </w:tc>
        <w:tc>
          <w:tcPr>
            <w:tcW w:w="338" w:type="pct"/>
            <w:noWrap w:val="0"/>
            <w:vAlign w:val="center"/>
          </w:tcPr>
          <w:p>
            <w:pPr>
              <w:spacing w:line="360" w:lineRule="auto"/>
              <w:jc w:val="center"/>
              <w:rPr>
                <w:rFonts w:hint="eastAsia" w:ascii="宋体" w:hAnsi="宋体"/>
                <w:color w:val="auto"/>
                <w:sz w:val="24"/>
                <w:highlight w:val="none"/>
              </w:rPr>
            </w:pPr>
            <w:r>
              <w:rPr>
                <w:rFonts w:hint="eastAsia" w:ascii="宋体" w:hAnsi="宋体"/>
                <w:color w:val="auto"/>
                <w:sz w:val="24"/>
                <w:highlight w:val="none"/>
              </w:rPr>
              <w:t>品牌</w:t>
            </w:r>
          </w:p>
        </w:tc>
        <w:tc>
          <w:tcPr>
            <w:tcW w:w="409" w:type="pct"/>
            <w:noWrap w:val="0"/>
            <w:vAlign w:val="center"/>
          </w:tcPr>
          <w:p>
            <w:pPr>
              <w:spacing w:line="360" w:lineRule="auto"/>
              <w:jc w:val="center"/>
              <w:rPr>
                <w:rFonts w:hint="eastAsia" w:ascii="宋体" w:hAnsi="宋体"/>
                <w:color w:val="auto"/>
                <w:sz w:val="24"/>
                <w:highlight w:val="none"/>
              </w:rPr>
            </w:pPr>
            <w:r>
              <w:rPr>
                <w:rFonts w:hint="eastAsia" w:ascii="宋体" w:hAnsi="宋体"/>
                <w:color w:val="auto"/>
                <w:sz w:val="24"/>
                <w:highlight w:val="none"/>
                <w:lang w:eastAsia="zh-CN"/>
              </w:rPr>
              <w:t>生产</w:t>
            </w:r>
            <w:r>
              <w:rPr>
                <w:rFonts w:hint="eastAsia" w:ascii="宋体" w:hAnsi="宋体"/>
                <w:color w:val="auto"/>
                <w:sz w:val="24"/>
                <w:highlight w:val="none"/>
              </w:rPr>
              <w:t>厂</w:t>
            </w:r>
            <w:r>
              <w:rPr>
                <w:rFonts w:hint="eastAsia" w:ascii="宋体" w:hAnsi="宋体"/>
                <w:color w:val="auto"/>
                <w:sz w:val="24"/>
                <w:highlight w:val="none"/>
                <w:lang w:eastAsia="zh-CN"/>
              </w:rPr>
              <w:t>家</w:t>
            </w:r>
          </w:p>
        </w:tc>
        <w:tc>
          <w:tcPr>
            <w:tcW w:w="396" w:type="pct"/>
            <w:noWrap w:val="0"/>
            <w:vAlign w:val="center"/>
          </w:tcPr>
          <w:p>
            <w:pPr>
              <w:spacing w:line="360" w:lineRule="auto"/>
              <w:jc w:val="center"/>
              <w:rPr>
                <w:rFonts w:hint="eastAsia"/>
                <w:color w:val="auto"/>
                <w:sz w:val="24"/>
                <w:highlight w:val="none"/>
                <w:lang w:eastAsia="zh-CN"/>
              </w:rPr>
            </w:pPr>
            <w:r>
              <w:rPr>
                <w:rFonts w:hint="eastAsia"/>
                <w:color w:val="auto"/>
                <w:sz w:val="24"/>
                <w:highlight w:val="none"/>
                <w:lang w:eastAsia="zh-CN"/>
              </w:rPr>
              <w:t>注册</w:t>
            </w:r>
          </w:p>
          <w:p>
            <w:pPr>
              <w:spacing w:line="360" w:lineRule="auto"/>
              <w:jc w:val="center"/>
              <w:rPr>
                <w:rFonts w:hint="eastAsia" w:ascii="宋体" w:hAnsi="宋体" w:eastAsia="宋体"/>
                <w:color w:val="auto"/>
                <w:sz w:val="24"/>
                <w:highlight w:val="none"/>
                <w:lang w:eastAsia="zh-CN"/>
              </w:rPr>
            </w:pPr>
            <w:r>
              <w:rPr>
                <w:rFonts w:hint="eastAsia"/>
                <w:color w:val="auto"/>
                <w:sz w:val="24"/>
                <w:highlight w:val="none"/>
                <w:lang w:eastAsia="zh-CN"/>
              </w:rPr>
              <w:t>证号</w:t>
            </w:r>
          </w:p>
        </w:tc>
        <w:tc>
          <w:tcPr>
            <w:tcW w:w="351" w:type="pct"/>
            <w:noWrap w:val="0"/>
            <w:vAlign w:val="center"/>
          </w:tcPr>
          <w:p>
            <w:pPr>
              <w:spacing w:line="360" w:lineRule="auto"/>
              <w:jc w:val="center"/>
              <w:rPr>
                <w:rFonts w:hint="eastAsia" w:ascii="宋体" w:hAnsi="宋体"/>
                <w:color w:val="auto"/>
                <w:sz w:val="24"/>
                <w:highlight w:val="none"/>
              </w:rPr>
            </w:pPr>
            <w:r>
              <w:rPr>
                <w:rFonts w:hint="eastAsia" w:ascii="宋体" w:hAnsi="宋体"/>
                <w:color w:val="auto"/>
                <w:sz w:val="24"/>
                <w:highlight w:val="none"/>
              </w:rPr>
              <w:t>国别</w:t>
            </w:r>
          </w:p>
        </w:tc>
        <w:tc>
          <w:tcPr>
            <w:tcW w:w="254" w:type="pct"/>
            <w:noWrap w:val="0"/>
            <w:vAlign w:val="center"/>
          </w:tcPr>
          <w:p>
            <w:pPr>
              <w:spacing w:line="360" w:lineRule="auto"/>
              <w:rPr>
                <w:rFonts w:hint="eastAsia" w:ascii="宋体" w:hAnsi="宋体" w:eastAsia="宋体"/>
                <w:color w:val="auto"/>
                <w:sz w:val="24"/>
                <w:highlight w:val="none"/>
                <w:lang w:val="en-US" w:eastAsia="zh-CN"/>
              </w:rPr>
            </w:pPr>
            <w:r>
              <w:rPr>
                <w:rFonts w:hint="eastAsia" w:ascii="宋体" w:hAnsi="宋体"/>
                <w:color w:val="auto"/>
                <w:sz w:val="24"/>
                <w:highlight w:val="none"/>
              </w:rPr>
              <w:t>数量</w:t>
            </w:r>
          </w:p>
        </w:tc>
        <w:tc>
          <w:tcPr>
            <w:tcW w:w="253" w:type="pct"/>
            <w:noWrap w:val="0"/>
            <w:vAlign w:val="center"/>
          </w:tcPr>
          <w:p>
            <w:pPr>
              <w:spacing w:line="360" w:lineRule="auto"/>
              <w:rPr>
                <w:rFonts w:hint="eastAsia" w:ascii="宋体" w:hAnsi="宋体"/>
                <w:color w:val="auto"/>
                <w:sz w:val="24"/>
                <w:highlight w:val="none"/>
              </w:rPr>
            </w:pPr>
            <w:r>
              <w:rPr>
                <w:rFonts w:hint="eastAsia"/>
                <w:color w:val="auto"/>
                <w:sz w:val="24"/>
                <w:highlight w:val="none"/>
                <w:lang w:eastAsia="zh-CN"/>
              </w:rPr>
              <w:t>单位</w:t>
            </w:r>
          </w:p>
        </w:tc>
        <w:tc>
          <w:tcPr>
            <w:tcW w:w="695" w:type="pct"/>
            <w:noWrap w:val="0"/>
            <w:vAlign w:val="center"/>
          </w:tcPr>
          <w:p>
            <w:pPr>
              <w:spacing w:line="360" w:lineRule="auto"/>
              <w:jc w:val="center"/>
              <w:rPr>
                <w:rFonts w:hint="eastAsia" w:ascii="宋体" w:hAnsi="宋体" w:eastAsia="宋体"/>
                <w:color w:val="auto"/>
                <w:sz w:val="24"/>
                <w:highlight w:val="none"/>
                <w:lang w:eastAsia="zh-CN"/>
              </w:rPr>
            </w:pPr>
            <w:r>
              <w:rPr>
                <w:rFonts w:hint="eastAsia" w:ascii="宋体" w:hAnsi="宋体"/>
                <w:color w:val="auto"/>
                <w:sz w:val="24"/>
                <w:highlight w:val="none"/>
              </w:rPr>
              <w:t>投标</w:t>
            </w:r>
            <w:r>
              <w:rPr>
                <w:rFonts w:hint="eastAsia"/>
                <w:color w:val="auto"/>
                <w:sz w:val="24"/>
                <w:highlight w:val="none"/>
                <w:lang w:val="en-US" w:eastAsia="zh-CN"/>
              </w:rPr>
              <w:t>单</w:t>
            </w:r>
            <w:r>
              <w:rPr>
                <w:rFonts w:hint="eastAsia"/>
                <w:color w:val="auto"/>
                <w:sz w:val="24"/>
                <w:highlight w:val="none"/>
                <w:lang w:eastAsia="zh-CN"/>
              </w:rPr>
              <w:t>价</w:t>
            </w:r>
          </w:p>
          <w:p>
            <w:pPr>
              <w:spacing w:line="360" w:lineRule="auto"/>
              <w:jc w:val="center"/>
              <w:rPr>
                <w:rFonts w:hint="eastAsia" w:ascii="宋体" w:hAnsi="宋体"/>
                <w:color w:val="auto"/>
                <w:sz w:val="24"/>
                <w:highlight w:val="none"/>
              </w:rPr>
            </w:pPr>
            <w:r>
              <w:rPr>
                <w:rFonts w:hint="eastAsia" w:ascii="宋体" w:hAnsi="宋体"/>
                <w:color w:val="auto"/>
                <w:sz w:val="24"/>
                <w:highlight w:val="none"/>
              </w:rPr>
              <w:t>（万元）</w:t>
            </w:r>
          </w:p>
        </w:tc>
        <w:tc>
          <w:tcPr>
            <w:tcW w:w="674" w:type="pct"/>
            <w:noWrap w:val="0"/>
            <w:vAlign w:val="center"/>
          </w:tcPr>
          <w:p>
            <w:pPr>
              <w:spacing w:line="360" w:lineRule="auto"/>
              <w:jc w:val="center"/>
              <w:rPr>
                <w:rFonts w:hint="eastAsia" w:ascii="宋体" w:hAnsi="宋体" w:eastAsia="宋体"/>
                <w:color w:val="auto"/>
                <w:sz w:val="24"/>
                <w:highlight w:val="none"/>
                <w:lang w:eastAsia="zh-CN"/>
              </w:rPr>
            </w:pPr>
            <w:r>
              <w:rPr>
                <w:rFonts w:hint="eastAsia" w:ascii="宋体" w:hAnsi="宋体"/>
                <w:color w:val="auto"/>
                <w:sz w:val="24"/>
                <w:highlight w:val="none"/>
              </w:rPr>
              <w:t>投标</w:t>
            </w:r>
            <w:r>
              <w:rPr>
                <w:rFonts w:hint="eastAsia"/>
                <w:color w:val="auto"/>
                <w:sz w:val="24"/>
                <w:highlight w:val="none"/>
                <w:lang w:eastAsia="zh-CN"/>
              </w:rPr>
              <w:t>总价</w:t>
            </w:r>
          </w:p>
          <w:p>
            <w:pPr>
              <w:spacing w:line="360" w:lineRule="auto"/>
              <w:jc w:val="center"/>
              <w:rPr>
                <w:rFonts w:hint="eastAsia" w:ascii="宋体" w:hAnsi="宋体"/>
                <w:color w:val="auto"/>
                <w:sz w:val="24"/>
                <w:highlight w:val="none"/>
              </w:rPr>
            </w:pPr>
            <w:r>
              <w:rPr>
                <w:rFonts w:hint="eastAsia" w:ascii="宋体" w:hAnsi="宋体"/>
                <w:color w:val="auto"/>
                <w:sz w:val="24"/>
                <w:highlight w:val="none"/>
              </w:rPr>
              <w:t>（万元）</w:t>
            </w:r>
          </w:p>
        </w:tc>
        <w:tc>
          <w:tcPr>
            <w:tcW w:w="518" w:type="pct"/>
            <w:noWrap w:val="0"/>
            <w:vAlign w:val="center"/>
          </w:tcPr>
          <w:p>
            <w:pPr>
              <w:spacing w:line="360" w:lineRule="auto"/>
              <w:jc w:val="center"/>
              <w:rPr>
                <w:rFonts w:hint="eastAsia" w:ascii="宋体" w:hAnsi="宋体"/>
                <w:color w:val="auto"/>
                <w:sz w:val="24"/>
                <w:highlight w:val="none"/>
              </w:rPr>
            </w:pPr>
            <w:r>
              <w:rPr>
                <w:rFonts w:hint="eastAsia" w:ascii="宋体" w:hAnsi="宋体"/>
                <w:color w:val="auto"/>
                <w:sz w:val="24"/>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trPr>
        <w:tc>
          <w:tcPr>
            <w:tcW w:w="270" w:type="pct"/>
            <w:noWrap w:val="0"/>
            <w:vAlign w:val="center"/>
          </w:tcPr>
          <w:p>
            <w:pPr>
              <w:spacing w:line="360" w:lineRule="auto"/>
              <w:jc w:val="center"/>
              <w:rPr>
                <w:rFonts w:hint="eastAsia" w:ascii="宋体" w:hAnsi="宋体" w:eastAsia="宋体"/>
                <w:color w:val="auto"/>
                <w:sz w:val="24"/>
                <w:highlight w:val="none"/>
                <w:lang w:val="en-US" w:eastAsia="zh-CN"/>
              </w:rPr>
            </w:pPr>
            <w:r>
              <w:rPr>
                <w:rFonts w:hint="eastAsia"/>
                <w:color w:val="auto"/>
                <w:sz w:val="24"/>
                <w:highlight w:val="none"/>
                <w:lang w:val="en-US" w:eastAsia="zh-CN"/>
              </w:rPr>
              <w:t>1</w:t>
            </w:r>
          </w:p>
        </w:tc>
        <w:tc>
          <w:tcPr>
            <w:tcW w:w="396" w:type="pct"/>
            <w:noWrap w:val="0"/>
            <w:vAlign w:val="center"/>
          </w:tcPr>
          <w:p>
            <w:pPr>
              <w:spacing w:line="360" w:lineRule="auto"/>
              <w:jc w:val="center"/>
              <w:rPr>
                <w:rFonts w:hint="eastAsia" w:ascii="宋体" w:hAnsi="宋体"/>
                <w:color w:val="auto"/>
                <w:sz w:val="24"/>
                <w:highlight w:val="none"/>
              </w:rPr>
            </w:pPr>
          </w:p>
        </w:tc>
        <w:tc>
          <w:tcPr>
            <w:tcW w:w="440" w:type="pct"/>
            <w:noWrap w:val="0"/>
            <w:vAlign w:val="center"/>
          </w:tcPr>
          <w:p>
            <w:pPr>
              <w:spacing w:line="360" w:lineRule="auto"/>
              <w:jc w:val="center"/>
              <w:rPr>
                <w:rFonts w:hint="eastAsia" w:ascii="宋体" w:hAnsi="宋体"/>
                <w:color w:val="auto"/>
                <w:sz w:val="24"/>
                <w:highlight w:val="none"/>
              </w:rPr>
            </w:pPr>
          </w:p>
        </w:tc>
        <w:tc>
          <w:tcPr>
            <w:tcW w:w="338" w:type="pct"/>
            <w:noWrap w:val="0"/>
            <w:vAlign w:val="center"/>
          </w:tcPr>
          <w:p>
            <w:pPr>
              <w:spacing w:line="360" w:lineRule="auto"/>
              <w:jc w:val="center"/>
              <w:rPr>
                <w:rFonts w:hint="eastAsia" w:ascii="宋体" w:hAnsi="宋体"/>
                <w:color w:val="auto"/>
                <w:sz w:val="24"/>
                <w:highlight w:val="none"/>
              </w:rPr>
            </w:pPr>
          </w:p>
        </w:tc>
        <w:tc>
          <w:tcPr>
            <w:tcW w:w="409" w:type="pct"/>
            <w:noWrap w:val="0"/>
            <w:vAlign w:val="center"/>
          </w:tcPr>
          <w:p>
            <w:pPr>
              <w:spacing w:line="360" w:lineRule="auto"/>
              <w:jc w:val="center"/>
              <w:rPr>
                <w:rFonts w:hint="eastAsia" w:ascii="宋体" w:hAnsi="宋体"/>
                <w:color w:val="auto"/>
                <w:sz w:val="24"/>
                <w:highlight w:val="none"/>
              </w:rPr>
            </w:pPr>
          </w:p>
        </w:tc>
        <w:tc>
          <w:tcPr>
            <w:tcW w:w="396" w:type="pct"/>
            <w:noWrap w:val="0"/>
            <w:vAlign w:val="center"/>
          </w:tcPr>
          <w:p>
            <w:pPr>
              <w:spacing w:line="360" w:lineRule="auto"/>
              <w:jc w:val="center"/>
              <w:rPr>
                <w:rFonts w:hint="eastAsia" w:ascii="宋体" w:hAnsi="宋体"/>
                <w:color w:val="auto"/>
                <w:sz w:val="24"/>
                <w:highlight w:val="none"/>
              </w:rPr>
            </w:pPr>
          </w:p>
        </w:tc>
        <w:tc>
          <w:tcPr>
            <w:tcW w:w="351" w:type="pct"/>
            <w:noWrap w:val="0"/>
            <w:vAlign w:val="center"/>
          </w:tcPr>
          <w:p>
            <w:pPr>
              <w:spacing w:line="360" w:lineRule="auto"/>
              <w:jc w:val="center"/>
              <w:rPr>
                <w:rFonts w:hint="eastAsia" w:ascii="宋体" w:hAnsi="宋体"/>
                <w:color w:val="auto"/>
                <w:sz w:val="24"/>
                <w:highlight w:val="none"/>
              </w:rPr>
            </w:pPr>
          </w:p>
        </w:tc>
        <w:tc>
          <w:tcPr>
            <w:tcW w:w="254" w:type="pct"/>
            <w:noWrap w:val="0"/>
            <w:vAlign w:val="center"/>
          </w:tcPr>
          <w:p>
            <w:pPr>
              <w:spacing w:line="360" w:lineRule="auto"/>
              <w:jc w:val="center"/>
              <w:rPr>
                <w:rFonts w:hint="eastAsia" w:ascii="宋体" w:hAnsi="宋体"/>
                <w:color w:val="auto"/>
                <w:sz w:val="24"/>
                <w:highlight w:val="none"/>
              </w:rPr>
            </w:pPr>
          </w:p>
        </w:tc>
        <w:tc>
          <w:tcPr>
            <w:tcW w:w="253" w:type="pct"/>
            <w:noWrap w:val="0"/>
            <w:vAlign w:val="center"/>
          </w:tcPr>
          <w:p>
            <w:pPr>
              <w:spacing w:line="360" w:lineRule="auto"/>
              <w:jc w:val="center"/>
              <w:rPr>
                <w:rFonts w:hint="eastAsia" w:ascii="宋体" w:hAnsi="宋体"/>
                <w:color w:val="auto"/>
                <w:sz w:val="24"/>
                <w:highlight w:val="none"/>
              </w:rPr>
            </w:pPr>
          </w:p>
        </w:tc>
        <w:tc>
          <w:tcPr>
            <w:tcW w:w="695" w:type="pct"/>
            <w:noWrap w:val="0"/>
            <w:vAlign w:val="center"/>
          </w:tcPr>
          <w:p>
            <w:pPr>
              <w:spacing w:line="360" w:lineRule="auto"/>
              <w:jc w:val="center"/>
              <w:rPr>
                <w:rFonts w:hint="eastAsia" w:ascii="宋体" w:hAnsi="宋体"/>
                <w:color w:val="auto"/>
                <w:sz w:val="24"/>
                <w:highlight w:val="none"/>
              </w:rPr>
            </w:pPr>
          </w:p>
        </w:tc>
        <w:tc>
          <w:tcPr>
            <w:tcW w:w="674" w:type="pct"/>
            <w:noWrap w:val="0"/>
            <w:vAlign w:val="center"/>
          </w:tcPr>
          <w:p>
            <w:pPr>
              <w:spacing w:line="360" w:lineRule="auto"/>
              <w:jc w:val="center"/>
              <w:rPr>
                <w:rFonts w:hint="eastAsia" w:ascii="宋体" w:hAnsi="宋体"/>
                <w:color w:val="auto"/>
                <w:sz w:val="24"/>
                <w:highlight w:val="none"/>
              </w:rPr>
            </w:pPr>
          </w:p>
        </w:tc>
        <w:tc>
          <w:tcPr>
            <w:tcW w:w="518" w:type="pct"/>
            <w:noWrap w:val="0"/>
            <w:vAlign w:val="center"/>
          </w:tcPr>
          <w:p>
            <w:pPr>
              <w:spacing w:line="360" w:lineRule="auto"/>
              <w:jc w:val="center"/>
              <w:rPr>
                <w:rFonts w:hint="eastAsia" w:ascii="宋体" w:hAnsi="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trPr>
        <w:tc>
          <w:tcPr>
            <w:tcW w:w="270" w:type="pct"/>
            <w:noWrap w:val="0"/>
            <w:vAlign w:val="center"/>
          </w:tcPr>
          <w:p>
            <w:pPr>
              <w:spacing w:line="360" w:lineRule="auto"/>
              <w:jc w:val="center"/>
              <w:rPr>
                <w:rFonts w:hint="eastAsia" w:ascii="宋体" w:hAnsi="宋体" w:eastAsia="宋体"/>
                <w:color w:val="auto"/>
                <w:sz w:val="24"/>
                <w:highlight w:val="none"/>
                <w:lang w:val="en-US" w:eastAsia="zh-CN"/>
              </w:rPr>
            </w:pPr>
            <w:r>
              <w:rPr>
                <w:rFonts w:hint="eastAsia"/>
                <w:color w:val="auto"/>
                <w:sz w:val="24"/>
                <w:highlight w:val="none"/>
                <w:lang w:val="en-US" w:eastAsia="zh-CN"/>
              </w:rPr>
              <w:t>2</w:t>
            </w:r>
          </w:p>
        </w:tc>
        <w:tc>
          <w:tcPr>
            <w:tcW w:w="396" w:type="pct"/>
            <w:noWrap w:val="0"/>
            <w:vAlign w:val="center"/>
          </w:tcPr>
          <w:p>
            <w:pPr>
              <w:spacing w:line="360" w:lineRule="auto"/>
              <w:jc w:val="center"/>
              <w:rPr>
                <w:rFonts w:hint="eastAsia" w:ascii="宋体" w:hAnsi="宋体"/>
                <w:color w:val="auto"/>
                <w:sz w:val="24"/>
                <w:highlight w:val="none"/>
              </w:rPr>
            </w:pPr>
          </w:p>
        </w:tc>
        <w:tc>
          <w:tcPr>
            <w:tcW w:w="440" w:type="pct"/>
            <w:noWrap w:val="0"/>
            <w:vAlign w:val="center"/>
          </w:tcPr>
          <w:p>
            <w:pPr>
              <w:spacing w:line="360" w:lineRule="auto"/>
              <w:jc w:val="center"/>
              <w:rPr>
                <w:rFonts w:hint="eastAsia" w:ascii="宋体" w:hAnsi="宋体"/>
                <w:color w:val="auto"/>
                <w:sz w:val="24"/>
                <w:highlight w:val="none"/>
              </w:rPr>
            </w:pPr>
          </w:p>
        </w:tc>
        <w:tc>
          <w:tcPr>
            <w:tcW w:w="338" w:type="pct"/>
            <w:noWrap w:val="0"/>
            <w:vAlign w:val="center"/>
          </w:tcPr>
          <w:p>
            <w:pPr>
              <w:spacing w:line="360" w:lineRule="auto"/>
              <w:jc w:val="center"/>
              <w:rPr>
                <w:rFonts w:hint="eastAsia" w:ascii="宋体" w:hAnsi="宋体"/>
                <w:color w:val="auto"/>
                <w:sz w:val="24"/>
                <w:highlight w:val="none"/>
              </w:rPr>
            </w:pPr>
          </w:p>
        </w:tc>
        <w:tc>
          <w:tcPr>
            <w:tcW w:w="409" w:type="pct"/>
            <w:noWrap w:val="0"/>
            <w:vAlign w:val="center"/>
          </w:tcPr>
          <w:p>
            <w:pPr>
              <w:spacing w:line="360" w:lineRule="auto"/>
              <w:jc w:val="center"/>
              <w:rPr>
                <w:rFonts w:hint="eastAsia" w:ascii="宋体" w:hAnsi="宋体"/>
                <w:color w:val="auto"/>
                <w:sz w:val="24"/>
                <w:highlight w:val="none"/>
              </w:rPr>
            </w:pPr>
          </w:p>
        </w:tc>
        <w:tc>
          <w:tcPr>
            <w:tcW w:w="396" w:type="pct"/>
            <w:noWrap w:val="0"/>
            <w:vAlign w:val="center"/>
          </w:tcPr>
          <w:p>
            <w:pPr>
              <w:spacing w:line="360" w:lineRule="auto"/>
              <w:jc w:val="center"/>
              <w:rPr>
                <w:rFonts w:hint="eastAsia" w:ascii="宋体" w:hAnsi="宋体"/>
                <w:color w:val="auto"/>
                <w:sz w:val="24"/>
                <w:highlight w:val="none"/>
              </w:rPr>
            </w:pPr>
          </w:p>
        </w:tc>
        <w:tc>
          <w:tcPr>
            <w:tcW w:w="351" w:type="pct"/>
            <w:noWrap w:val="0"/>
            <w:vAlign w:val="center"/>
          </w:tcPr>
          <w:p>
            <w:pPr>
              <w:spacing w:line="360" w:lineRule="auto"/>
              <w:jc w:val="center"/>
              <w:rPr>
                <w:rFonts w:hint="eastAsia" w:ascii="宋体" w:hAnsi="宋体"/>
                <w:color w:val="auto"/>
                <w:sz w:val="24"/>
                <w:highlight w:val="none"/>
              </w:rPr>
            </w:pPr>
          </w:p>
        </w:tc>
        <w:tc>
          <w:tcPr>
            <w:tcW w:w="254" w:type="pct"/>
            <w:noWrap w:val="0"/>
            <w:vAlign w:val="center"/>
          </w:tcPr>
          <w:p>
            <w:pPr>
              <w:spacing w:line="360" w:lineRule="auto"/>
              <w:jc w:val="center"/>
              <w:rPr>
                <w:rFonts w:hint="eastAsia" w:ascii="宋体" w:hAnsi="宋体"/>
                <w:color w:val="auto"/>
                <w:sz w:val="24"/>
                <w:highlight w:val="none"/>
              </w:rPr>
            </w:pPr>
          </w:p>
        </w:tc>
        <w:tc>
          <w:tcPr>
            <w:tcW w:w="253" w:type="pct"/>
            <w:noWrap w:val="0"/>
            <w:vAlign w:val="center"/>
          </w:tcPr>
          <w:p>
            <w:pPr>
              <w:spacing w:line="360" w:lineRule="auto"/>
              <w:jc w:val="center"/>
              <w:rPr>
                <w:rFonts w:hint="eastAsia" w:ascii="宋体" w:hAnsi="宋体"/>
                <w:color w:val="auto"/>
                <w:sz w:val="24"/>
                <w:highlight w:val="none"/>
              </w:rPr>
            </w:pPr>
          </w:p>
        </w:tc>
        <w:tc>
          <w:tcPr>
            <w:tcW w:w="695" w:type="pct"/>
            <w:noWrap w:val="0"/>
            <w:vAlign w:val="center"/>
          </w:tcPr>
          <w:p>
            <w:pPr>
              <w:spacing w:line="360" w:lineRule="auto"/>
              <w:jc w:val="center"/>
              <w:rPr>
                <w:rFonts w:hint="eastAsia" w:ascii="宋体" w:hAnsi="宋体"/>
                <w:color w:val="auto"/>
                <w:sz w:val="24"/>
                <w:highlight w:val="none"/>
              </w:rPr>
            </w:pPr>
          </w:p>
        </w:tc>
        <w:tc>
          <w:tcPr>
            <w:tcW w:w="674" w:type="pct"/>
            <w:noWrap w:val="0"/>
            <w:vAlign w:val="center"/>
          </w:tcPr>
          <w:p>
            <w:pPr>
              <w:spacing w:line="360" w:lineRule="auto"/>
              <w:jc w:val="center"/>
              <w:rPr>
                <w:rFonts w:hint="eastAsia" w:ascii="宋体" w:hAnsi="宋体"/>
                <w:color w:val="auto"/>
                <w:sz w:val="24"/>
                <w:highlight w:val="none"/>
              </w:rPr>
            </w:pPr>
          </w:p>
        </w:tc>
        <w:tc>
          <w:tcPr>
            <w:tcW w:w="518" w:type="pct"/>
            <w:noWrap w:val="0"/>
            <w:vAlign w:val="center"/>
          </w:tcPr>
          <w:p>
            <w:pPr>
              <w:spacing w:line="360" w:lineRule="auto"/>
              <w:jc w:val="center"/>
              <w:rPr>
                <w:rFonts w:hint="eastAsia" w:ascii="宋体" w:hAnsi="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7" w:hRule="atLeast"/>
        </w:trPr>
        <w:tc>
          <w:tcPr>
            <w:tcW w:w="4481" w:type="pct"/>
            <w:gridSpan w:val="11"/>
            <w:tcBorders>
              <w:bottom w:val="single" w:color="auto" w:sz="4" w:space="0"/>
            </w:tcBorders>
            <w:noWrap w:val="0"/>
            <w:vAlign w:val="center"/>
          </w:tcPr>
          <w:p>
            <w:pPr>
              <w:spacing w:line="360" w:lineRule="auto"/>
              <w:rPr>
                <w:rFonts w:hint="eastAsia" w:ascii="宋体" w:hAnsi="宋体"/>
                <w:color w:val="auto"/>
                <w:sz w:val="24"/>
                <w:highlight w:val="none"/>
              </w:rPr>
            </w:pPr>
            <w:r>
              <w:rPr>
                <w:rFonts w:hint="eastAsia" w:ascii="宋体" w:hAnsi="宋体"/>
                <w:color w:val="auto"/>
                <w:sz w:val="24"/>
                <w:highlight w:val="none"/>
              </w:rPr>
              <w:t>投标总价（大、小写）：</w:t>
            </w:r>
          </w:p>
        </w:tc>
        <w:tc>
          <w:tcPr>
            <w:tcW w:w="518" w:type="pct"/>
            <w:tcBorders>
              <w:bottom w:val="single" w:color="auto" w:sz="4" w:space="0"/>
            </w:tcBorders>
            <w:noWrap w:val="0"/>
            <w:vAlign w:val="center"/>
          </w:tcPr>
          <w:p>
            <w:pPr>
              <w:spacing w:line="360" w:lineRule="auto"/>
              <w:rPr>
                <w:rFonts w:hint="eastAsia" w:ascii="宋体" w:hAnsi="宋体"/>
                <w:color w:val="auto"/>
                <w:sz w:val="24"/>
                <w:highlight w:val="none"/>
              </w:rPr>
            </w:pPr>
          </w:p>
        </w:tc>
      </w:tr>
    </w:tbl>
    <w:p>
      <w:pPr>
        <w:spacing w:line="360" w:lineRule="auto"/>
        <w:ind w:right="480"/>
        <w:rPr>
          <w:rFonts w:ascii="宋体" w:hAnsi="宋体" w:cs="宋体"/>
          <w:spacing w:val="10"/>
          <w:sz w:val="24"/>
          <w:highlight w:val="none"/>
        </w:rPr>
      </w:pPr>
    </w:p>
    <w:p>
      <w:pPr>
        <w:spacing w:line="360" w:lineRule="auto"/>
        <w:ind w:right="480"/>
        <w:rPr>
          <w:rFonts w:ascii="宋体" w:hAnsi="宋体" w:cs="宋体"/>
          <w:spacing w:val="10"/>
          <w:sz w:val="24"/>
          <w:highlight w:val="none"/>
        </w:rPr>
      </w:pPr>
      <w:r>
        <w:rPr>
          <w:rFonts w:hint="eastAsia" w:ascii="宋体" w:hAnsi="宋体" w:cs="宋体"/>
          <w:spacing w:val="10"/>
          <w:sz w:val="24"/>
          <w:highlight w:val="none"/>
        </w:rPr>
        <w:t>投标人（盖章）：</w:t>
      </w:r>
    </w:p>
    <w:p>
      <w:pPr>
        <w:spacing w:line="360" w:lineRule="auto"/>
        <w:ind w:right="480"/>
        <w:rPr>
          <w:rFonts w:ascii="宋体" w:hAnsi="宋体" w:cs="宋体"/>
          <w:spacing w:val="10"/>
          <w:sz w:val="24"/>
          <w:highlight w:val="none"/>
        </w:rPr>
      </w:pPr>
      <w:r>
        <w:rPr>
          <w:rFonts w:hint="eastAsia" w:ascii="宋体" w:hAnsi="宋体" w:cs="宋体"/>
          <w:spacing w:val="10"/>
          <w:sz w:val="24"/>
          <w:highlight w:val="none"/>
        </w:rPr>
        <w:t>法定代表人或授权代表</w:t>
      </w:r>
      <w:r>
        <w:rPr>
          <w:rFonts w:hint="eastAsia" w:ascii="宋体" w:hAnsi="宋体" w:cs="宋体"/>
          <w:sz w:val="24"/>
          <w:highlight w:val="none"/>
        </w:rPr>
        <w:t>（签字或印章）</w:t>
      </w:r>
      <w:r>
        <w:rPr>
          <w:rFonts w:hint="eastAsia" w:ascii="宋体" w:hAnsi="宋体" w:cs="宋体"/>
          <w:spacing w:val="10"/>
          <w:sz w:val="24"/>
          <w:highlight w:val="none"/>
        </w:rPr>
        <w:t>：</w:t>
      </w:r>
    </w:p>
    <w:p>
      <w:pPr>
        <w:spacing w:line="360" w:lineRule="auto"/>
        <w:ind w:right="480"/>
        <w:rPr>
          <w:rFonts w:ascii="宋体" w:hAnsi="宋体" w:cs="宋体"/>
          <w:spacing w:val="10"/>
          <w:sz w:val="24"/>
          <w:highlight w:val="none"/>
          <w:u w:val="single"/>
        </w:rPr>
      </w:pPr>
      <w:r>
        <w:rPr>
          <w:rFonts w:hint="eastAsia" w:ascii="宋体" w:hAnsi="宋体" w:cs="宋体"/>
          <w:spacing w:val="10"/>
          <w:sz w:val="24"/>
          <w:highlight w:val="none"/>
        </w:rPr>
        <w:t>日期：</w:t>
      </w:r>
    </w:p>
    <w:p>
      <w:pPr>
        <w:spacing w:line="360" w:lineRule="auto"/>
        <w:ind w:right="480"/>
        <w:rPr>
          <w:rFonts w:ascii="宋体" w:hAnsi="宋体" w:cs="宋体"/>
          <w:spacing w:val="10"/>
          <w:sz w:val="24"/>
          <w:highlight w:val="none"/>
          <w:u w:val="single"/>
        </w:rPr>
      </w:pPr>
    </w:p>
    <w:p>
      <w:pPr>
        <w:pStyle w:val="30"/>
        <w:ind w:left="0" w:leftChars="0"/>
        <w:rPr>
          <w:rFonts w:ascii="宋体" w:hAnsi="宋体" w:cs="宋体"/>
          <w:b/>
          <w:bCs/>
          <w:spacing w:val="10"/>
          <w:sz w:val="24"/>
          <w:highlight w:val="none"/>
        </w:rPr>
      </w:pPr>
      <w:r>
        <w:rPr>
          <w:rFonts w:hint="eastAsia" w:ascii="宋体" w:hAnsi="宋体" w:cs="宋体"/>
          <w:b/>
          <w:bCs/>
          <w:spacing w:val="10"/>
          <w:sz w:val="24"/>
          <w:highlight w:val="none"/>
        </w:rPr>
        <w:t>注：1.报价应是最终用户验收合格后的总价，包括招标文件规定、要求和涵盖的全部费用。</w:t>
      </w:r>
    </w:p>
    <w:p>
      <w:pPr>
        <w:ind w:firstLine="522" w:firstLineChars="200"/>
        <w:rPr>
          <w:rFonts w:ascii="宋体" w:hAnsi="宋体" w:cs="宋体"/>
          <w:b/>
          <w:bCs/>
          <w:spacing w:val="10"/>
          <w:sz w:val="24"/>
          <w:highlight w:val="none"/>
        </w:rPr>
      </w:pPr>
      <w:r>
        <w:rPr>
          <w:rFonts w:hint="eastAsia" w:ascii="宋体" w:hAnsi="宋体" w:cs="宋体"/>
          <w:b/>
          <w:bCs/>
          <w:spacing w:val="10"/>
          <w:sz w:val="24"/>
          <w:highlight w:val="none"/>
        </w:rPr>
        <w:t>2.“开标一览表”必须签字盖章，否则为无效投标。单独提交“开标一览表”为多页的，每页均需由法定代表人或委托代理人签字并盖投标人印章，并必须装订，否则为无效投标。</w:t>
      </w:r>
    </w:p>
    <w:p>
      <w:pPr>
        <w:pStyle w:val="30"/>
        <w:ind w:left="0" w:leftChars="0" w:firstLine="522" w:firstLineChars="200"/>
        <w:rPr>
          <w:rFonts w:ascii="宋体" w:hAnsi="宋体" w:cs="宋体"/>
          <w:b/>
          <w:bCs/>
          <w:spacing w:val="10"/>
          <w:sz w:val="24"/>
          <w:highlight w:val="none"/>
        </w:rPr>
      </w:pPr>
      <w:r>
        <w:rPr>
          <w:rFonts w:hint="eastAsia" w:ascii="宋体" w:hAnsi="宋体" w:cs="宋体"/>
          <w:b/>
          <w:bCs/>
          <w:spacing w:val="10"/>
          <w:sz w:val="24"/>
          <w:highlight w:val="none"/>
        </w:rPr>
        <w:t>3.“开标一览表”除在投标文件中提交外，还需单独密封递交一份，未单独密封递交的视为无效投标。</w:t>
      </w:r>
    </w:p>
    <w:p>
      <w:pPr>
        <w:spacing w:line="360" w:lineRule="auto"/>
        <w:ind w:firstLine="522" w:firstLineChars="200"/>
        <w:rPr>
          <w:rFonts w:ascii="宋体" w:hAnsi="宋体" w:cs="宋体"/>
          <w:b/>
          <w:bCs/>
          <w:spacing w:val="10"/>
          <w:sz w:val="24"/>
          <w:highlight w:val="none"/>
          <w:u w:val="single"/>
        </w:rPr>
      </w:pPr>
      <w:r>
        <w:rPr>
          <w:rFonts w:hint="eastAsia" w:ascii="宋体" w:hAnsi="宋体" w:cs="宋体"/>
          <w:b/>
          <w:bCs/>
          <w:spacing w:val="10"/>
          <w:sz w:val="24"/>
          <w:highlight w:val="none"/>
        </w:rPr>
        <w:t>4.单独递交的开标一览表必须与投标文件中开标一览表内容一致，若不一致的，以单独递交的开标一览表为准。在开标现场，投标人必须对唱标的内容进行确认，不确认的视为无效投标。</w:t>
      </w:r>
    </w:p>
    <w:p>
      <w:pPr>
        <w:pStyle w:val="30"/>
        <w:spacing w:line="360" w:lineRule="auto"/>
        <w:rPr>
          <w:rFonts w:ascii="宋体" w:hAnsi="宋体" w:cs="宋体"/>
          <w:spacing w:val="10"/>
          <w:sz w:val="24"/>
          <w:highlight w:val="none"/>
          <w:u w:val="single"/>
        </w:rPr>
      </w:pPr>
    </w:p>
    <w:p>
      <w:pPr>
        <w:rPr>
          <w:rFonts w:ascii="宋体" w:hAnsi="宋体" w:cs="宋体"/>
          <w:spacing w:val="10"/>
          <w:sz w:val="24"/>
          <w:highlight w:val="none"/>
          <w:u w:val="single"/>
        </w:rPr>
      </w:pPr>
    </w:p>
    <w:p>
      <w:pPr>
        <w:pStyle w:val="30"/>
        <w:rPr>
          <w:highlight w:val="none"/>
        </w:rPr>
      </w:pPr>
    </w:p>
    <w:p>
      <w:pPr>
        <w:spacing w:line="360" w:lineRule="auto"/>
        <w:rPr>
          <w:rFonts w:ascii="宋体" w:hAnsi="宋体" w:cs="宋体"/>
          <w:spacing w:val="10"/>
          <w:sz w:val="24"/>
          <w:highlight w:val="none"/>
          <w:u w:val="single"/>
        </w:rPr>
      </w:pPr>
    </w:p>
    <w:p>
      <w:pPr>
        <w:pStyle w:val="30"/>
        <w:spacing w:line="360" w:lineRule="auto"/>
        <w:rPr>
          <w:rFonts w:ascii="宋体" w:hAnsi="宋体" w:cs="宋体"/>
          <w:spacing w:val="10"/>
          <w:sz w:val="24"/>
          <w:highlight w:val="none"/>
          <w:u w:val="single"/>
        </w:rPr>
      </w:pPr>
    </w:p>
    <w:p>
      <w:pPr>
        <w:rPr>
          <w:highlight w:val="none"/>
        </w:rPr>
      </w:pPr>
    </w:p>
    <w:p>
      <w:pPr>
        <w:pStyle w:val="2"/>
        <w:rPr>
          <w:highlight w:val="none"/>
        </w:rPr>
      </w:pPr>
    </w:p>
    <w:p>
      <w:pPr>
        <w:pStyle w:val="2"/>
        <w:rPr>
          <w:highlight w:val="none"/>
        </w:rPr>
      </w:pPr>
    </w:p>
    <w:p>
      <w:pPr>
        <w:pStyle w:val="2"/>
        <w:rPr>
          <w:highlight w:val="none"/>
        </w:rPr>
      </w:pPr>
    </w:p>
    <w:p>
      <w:pPr>
        <w:spacing w:line="360" w:lineRule="auto"/>
        <w:rPr>
          <w:rFonts w:ascii="宋体" w:hAnsi="宋体" w:cs="宋体"/>
          <w:spacing w:val="10"/>
          <w:sz w:val="24"/>
          <w:highlight w:val="none"/>
          <w:u w:val="single"/>
        </w:rPr>
      </w:pPr>
    </w:p>
    <w:p>
      <w:pPr>
        <w:pStyle w:val="7"/>
        <w:spacing w:before="0" w:after="100" w:afterAutospacing="1"/>
        <w:rPr>
          <w:rFonts w:ascii="宋体" w:hAnsi="宋体" w:cs="宋体"/>
          <w:spacing w:val="10"/>
          <w:highlight w:val="none"/>
        </w:rPr>
      </w:pPr>
      <w:bookmarkStart w:id="509" w:name="_Toc9716"/>
      <w:bookmarkStart w:id="510" w:name="_Toc11092"/>
      <w:bookmarkStart w:id="511" w:name="_Toc20464"/>
      <w:bookmarkStart w:id="512" w:name="_Toc26051"/>
      <w:bookmarkStart w:id="513" w:name="_Toc30284"/>
      <w:bookmarkStart w:id="514" w:name="_Toc30435"/>
      <w:r>
        <w:rPr>
          <w:rFonts w:hint="eastAsia" w:ascii="宋体" w:hAnsi="宋体" w:cs="宋体"/>
          <w:spacing w:val="10"/>
          <w:highlight w:val="none"/>
        </w:rPr>
        <w:t>8.报价明细表</w:t>
      </w:r>
      <w:bookmarkEnd w:id="509"/>
      <w:bookmarkEnd w:id="510"/>
      <w:r>
        <w:rPr>
          <w:rFonts w:hint="eastAsia" w:ascii="宋体" w:hAnsi="宋体" w:cs="宋体"/>
          <w:spacing w:val="10"/>
          <w:highlight w:val="none"/>
        </w:rPr>
        <w:t>（投标人可根据实际情况进行调整）</w:t>
      </w:r>
      <w:bookmarkEnd w:id="511"/>
      <w:bookmarkEnd w:id="512"/>
      <w:bookmarkEnd w:id="513"/>
      <w:bookmarkEnd w:id="514"/>
    </w:p>
    <w:p>
      <w:pPr>
        <w:spacing w:line="360" w:lineRule="auto"/>
        <w:rPr>
          <w:rFonts w:ascii="宋体" w:hAnsi="宋体" w:cs="宋体"/>
          <w:sz w:val="24"/>
          <w:highlight w:val="none"/>
        </w:rPr>
      </w:pPr>
      <w:r>
        <w:rPr>
          <w:rFonts w:hint="eastAsia" w:ascii="宋体" w:hAnsi="宋体" w:cs="宋体"/>
          <w:spacing w:val="10"/>
          <w:sz w:val="24"/>
          <w:highlight w:val="none"/>
        </w:rPr>
        <w:t>项目名称：</w:t>
      </w:r>
    </w:p>
    <w:p>
      <w:pPr>
        <w:spacing w:line="360" w:lineRule="auto"/>
        <w:rPr>
          <w:rFonts w:hint="eastAsia" w:ascii="宋体" w:hAnsi="宋体" w:cs="宋体"/>
          <w:spacing w:val="10"/>
          <w:sz w:val="24"/>
          <w:highlight w:val="none"/>
        </w:rPr>
      </w:pPr>
      <w:r>
        <w:rPr>
          <w:rFonts w:hint="eastAsia" w:ascii="宋体" w:hAnsi="宋体" w:cs="宋体"/>
          <w:spacing w:val="10"/>
          <w:sz w:val="24"/>
          <w:highlight w:val="none"/>
        </w:rPr>
        <w:t>招标编号：</w:t>
      </w:r>
    </w:p>
    <w:p>
      <w:pPr>
        <w:spacing w:line="360" w:lineRule="auto"/>
        <w:rPr>
          <w:rFonts w:ascii="宋体" w:hAnsi="宋体" w:cs="宋体"/>
          <w:spacing w:val="10"/>
          <w:sz w:val="24"/>
          <w:highlight w:val="none"/>
        </w:rPr>
      </w:pPr>
      <w:r>
        <w:rPr>
          <w:rFonts w:hint="eastAsia" w:ascii="宋体" w:hAnsi="宋体" w:cs="宋体"/>
          <w:spacing w:val="10"/>
          <w:sz w:val="24"/>
          <w:highlight w:val="none"/>
        </w:rPr>
        <w:t>投标人名称：</w:t>
      </w:r>
    </w:p>
    <w:tbl>
      <w:tblPr>
        <w:tblStyle w:val="37"/>
        <w:tblW w:w="4994"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43"/>
        <w:gridCol w:w="1031"/>
        <w:gridCol w:w="1036"/>
        <w:gridCol w:w="885"/>
        <w:gridCol w:w="989"/>
        <w:gridCol w:w="723"/>
        <w:gridCol w:w="776"/>
        <w:gridCol w:w="776"/>
        <w:gridCol w:w="853"/>
        <w:gridCol w:w="1010"/>
        <w:gridCol w:w="9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9" w:hRule="atLeast"/>
        </w:trPr>
        <w:tc>
          <w:tcPr>
            <w:tcW w:w="284" w:type="pct"/>
            <w:tcBorders>
              <w:top w:val="double" w:color="auto" w:sz="4" w:space="0"/>
              <w:left w:val="double" w:color="auto" w:sz="4" w:space="0"/>
              <w:bottom w:val="double" w:color="auto" w:sz="4" w:space="0"/>
            </w:tcBorders>
            <w:noWrap w:val="0"/>
            <w:vAlign w:val="center"/>
          </w:tcPr>
          <w:p>
            <w:pPr>
              <w:spacing w:line="360" w:lineRule="auto"/>
              <w:jc w:val="center"/>
              <w:rPr>
                <w:rFonts w:hint="eastAsia"/>
                <w:sz w:val="24"/>
                <w:highlight w:val="none"/>
              </w:rPr>
            </w:pPr>
            <w:r>
              <w:rPr>
                <w:rFonts w:hint="eastAsia" w:ascii="宋体" w:hAnsi="宋体"/>
                <w:color w:val="auto"/>
                <w:sz w:val="24"/>
                <w:highlight w:val="none"/>
              </w:rPr>
              <w:t>序号</w:t>
            </w:r>
          </w:p>
        </w:tc>
        <w:tc>
          <w:tcPr>
            <w:tcW w:w="539" w:type="pct"/>
            <w:tcBorders>
              <w:top w:val="double" w:color="auto" w:sz="4" w:space="0"/>
              <w:bottom w:val="double" w:color="auto" w:sz="4" w:space="0"/>
            </w:tcBorders>
            <w:noWrap w:val="0"/>
            <w:vAlign w:val="center"/>
          </w:tcPr>
          <w:p>
            <w:pPr>
              <w:spacing w:line="360" w:lineRule="auto"/>
              <w:jc w:val="center"/>
              <w:rPr>
                <w:rFonts w:hint="eastAsia"/>
                <w:sz w:val="24"/>
                <w:highlight w:val="none"/>
              </w:rPr>
            </w:pPr>
            <w:r>
              <w:rPr>
                <w:rFonts w:hint="eastAsia" w:ascii="宋体" w:hAnsi="宋体"/>
                <w:color w:val="auto"/>
                <w:sz w:val="24"/>
                <w:highlight w:val="none"/>
              </w:rPr>
              <w:t>名称</w:t>
            </w:r>
          </w:p>
        </w:tc>
        <w:tc>
          <w:tcPr>
            <w:tcW w:w="542" w:type="pct"/>
            <w:tcBorders>
              <w:top w:val="double" w:color="auto" w:sz="4" w:space="0"/>
              <w:bottom w:val="double" w:color="auto" w:sz="4" w:space="0"/>
            </w:tcBorders>
            <w:noWrap w:val="0"/>
            <w:vAlign w:val="center"/>
          </w:tcPr>
          <w:p>
            <w:pPr>
              <w:spacing w:line="360" w:lineRule="auto"/>
              <w:jc w:val="center"/>
              <w:rPr>
                <w:rFonts w:hint="eastAsia"/>
                <w:sz w:val="24"/>
                <w:highlight w:val="none"/>
              </w:rPr>
            </w:pPr>
            <w:r>
              <w:rPr>
                <w:rFonts w:hint="eastAsia" w:ascii="宋体" w:hAnsi="宋体"/>
                <w:color w:val="auto"/>
                <w:sz w:val="24"/>
                <w:highlight w:val="none"/>
              </w:rPr>
              <w:t>型号规格</w:t>
            </w:r>
          </w:p>
        </w:tc>
        <w:tc>
          <w:tcPr>
            <w:tcW w:w="463" w:type="pct"/>
            <w:tcBorders>
              <w:top w:val="double" w:color="auto" w:sz="4" w:space="0"/>
              <w:bottom w:val="double" w:color="auto" w:sz="4" w:space="0"/>
            </w:tcBorders>
            <w:noWrap w:val="0"/>
            <w:vAlign w:val="center"/>
          </w:tcPr>
          <w:p>
            <w:pPr>
              <w:spacing w:line="360" w:lineRule="auto"/>
              <w:jc w:val="center"/>
              <w:rPr>
                <w:rFonts w:hint="eastAsia"/>
                <w:sz w:val="24"/>
                <w:highlight w:val="none"/>
              </w:rPr>
            </w:pPr>
            <w:r>
              <w:rPr>
                <w:rFonts w:hint="eastAsia" w:ascii="宋体" w:hAnsi="宋体"/>
                <w:color w:val="auto"/>
                <w:sz w:val="24"/>
                <w:highlight w:val="none"/>
              </w:rPr>
              <w:t>品牌</w:t>
            </w:r>
          </w:p>
        </w:tc>
        <w:tc>
          <w:tcPr>
            <w:tcW w:w="517" w:type="pct"/>
            <w:tcBorders>
              <w:top w:val="double" w:color="auto" w:sz="4" w:space="0"/>
              <w:bottom w:val="double" w:color="auto" w:sz="4" w:space="0"/>
            </w:tcBorders>
            <w:noWrap w:val="0"/>
            <w:vAlign w:val="center"/>
          </w:tcPr>
          <w:p>
            <w:pPr>
              <w:spacing w:line="360" w:lineRule="auto"/>
              <w:jc w:val="center"/>
              <w:rPr>
                <w:rFonts w:hint="eastAsia"/>
                <w:sz w:val="24"/>
                <w:highlight w:val="none"/>
              </w:rPr>
            </w:pPr>
            <w:r>
              <w:rPr>
                <w:rFonts w:hint="eastAsia" w:ascii="宋体" w:hAnsi="宋体"/>
                <w:color w:val="auto"/>
                <w:sz w:val="24"/>
                <w:highlight w:val="none"/>
                <w:lang w:eastAsia="zh-CN"/>
              </w:rPr>
              <w:t>生产</w:t>
            </w:r>
            <w:r>
              <w:rPr>
                <w:rFonts w:hint="eastAsia" w:ascii="宋体" w:hAnsi="宋体"/>
                <w:color w:val="auto"/>
                <w:sz w:val="24"/>
                <w:highlight w:val="none"/>
              </w:rPr>
              <w:t>厂</w:t>
            </w:r>
            <w:r>
              <w:rPr>
                <w:rFonts w:hint="eastAsia" w:ascii="宋体" w:hAnsi="宋体"/>
                <w:color w:val="auto"/>
                <w:sz w:val="24"/>
                <w:highlight w:val="none"/>
                <w:lang w:eastAsia="zh-CN"/>
              </w:rPr>
              <w:t>家</w:t>
            </w:r>
          </w:p>
        </w:tc>
        <w:tc>
          <w:tcPr>
            <w:tcW w:w="378" w:type="pct"/>
            <w:tcBorders>
              <w:top w:val="double" w:color="auto" w:sz="4" w:space="0"/>
              <w:bottom w:val="double" w:color="auto" w:sz="4" w:space="0"/>
            </w:tcBorders>
            <w:noWrap w:val="0"/>
            <w:vAlign w:val="center"/>
          </w:tcPr>
          <w:p>
            <w:pPr>
              <w:spacing w:line="360" w:lineRule="auto"/>
              <w:jc w:val="center"/>
              <w:rPr>
                <w:rFonts w:hint="eastAsia"/>
                <w:color w:val="auto"/>
                <w:sz w:val="24"/>
                <w:highlight w:val="none"/>
                <w:lang w:eastAsia="zh-CN"/>
              </w:rPr>
            </w:pPr>
            <w:r>
              <w:rPr>
                <w:rFonts w:hint="eastAsia"/>
                <w:color w:val="auto"/>
                <w:sz w:val="24"/>
                <w:highlight w:val="none"/>
                <w:lang w:eastAsia="zh-CN"/>
              </w:rPr>
              <w:t>注册</w:t>
            </w:r>
          </w:p>
          <w:p>
            <w:pPr>
              <w:spacing w:line="360" w:lineRule="auto"/>
              <w:jc w:val="center"/>
              <w:rPr>
                <w:rFonts w:hint="eastAsia"/>
                <w:sz w:val="24"/>
                <w:highlight w:val="none"/>
              </w:rPr>
            </w:pPr>
            <w:r>
              <w:rPr>
                <w:rFonts w:hint="eastAsia"/>
                <w:color w:val="auto"/>
                <w:sz w:val="24"/>
                <w:highlight w:val="none"/>
                <w:lang w:eastAsia="zh-CN"/>
              </w:rPr>
              <w:t>证号</w:t>
            </w:r>
          </w:p>
        </w:tc>
        <w:tc>
          <w:tcPr>
            <w:tcW w:w="406" w:type="pct"/>
            <w:tcBorders>
              <w:top w:val="double" w:color="auto" w:sz="4" w:space="0"/>
              <w:bottom w:val="double" w:color="auto" w:sz="4" w:space="0"/>
            </w:tcBorders>
            <w:noWrap w:val="0"/>
            <w:vAlign w:val="center"/>
          </w:tcPr>
          <w:p>
            <w:pPr>
              <w:spacing w:line="360" w:lineRule="auto"/>
              <w:jc w:val="center"/>
              <w:rPr>
                <w:rFonts w:hint="eastAsia"/>
                <w:sz w:val="24"/>
                <w:highlight w:val="none"/>
              </w:rPr>
            </w:pPr>
            <w:r>
              <w:rPr>
                <w:rFonts w:hint="eastAsia" w:ascii="宋体" w:hAnsi="宋体"/>
                <w:color w:val="auto"/>
                <w:sz w:val="24"/>
                <w:highlight w:val="none"/>
              </w:rPr>
              <w:t>国别</w:t>
            </w:r>
          </w:p>
        </w:tc>
        <w:tc>
          <w:tcPr>
            <w:tcW w:w="406" w:type="pct"/>
            <w:tcBorders>
              <w:top w:val="double" w:color="auto" w:sz="4" w:space="0"/>
              <w:bottom w:val="double" w:color="auto" w:sz="4" w:space="0"/>
            </w:tcBorders>
            <w:noWrap w:val="0"/>
            <w:vAlign w:val="center"/>
          </w:tcPr>
          <w:p>
            <w:pPr>
              <w:spacing w:line="360" w:lineRule="auto"/>
              <w:jc w:val="center"/>
              <w:rPr>
                <w:rFonts w:hint="eastAsia"/>
                <w:sz w:val="24"/>
                <w:highlight w:val="none"/>
              </w:rPr>
            </w:pPr>
            <w:r>
              <w:rPr>
                <w:rFonts w:hint="eastAsia"/>
                <w:sz w:val="24"/>
                <w:highlight w:val="none"/>
              </w:rPr>
              <w:t>单价</w:t>
            </w:r>
          </w:p>
        </w:tc>
        <w:tc>
          <w:tcPr>
            <w:tcW w:w="446" w:type="pct"/>
            <w:tcBorders>
              <w:top w:val="double" w:color="auto" w:sz="4" w:space="0"/>
              <w:bottom w:val="double" w:color="auto" w:sz="4" w:space="0"/>
            </w:tcBorders>
            <w:noWrap w:val="0"/>
            <w:vAlign w:val="center"/>
          </w:tcPr>
          <w:p>
            <w:pPr>
              <w:spacing w:line="360" w:lineRule="auto"/>
              <w:jc w:val="center"/>
              <w:rPr>
                <w:rFonts w:hint="eastAsia"/>
                <w:sz w:val="24"/>
                <w:highlight w:val="none"/>
              </w:rPr>
            </w:pPr>
            <w:r>
              <w:rPr>
                <w:rFonts w:hint="eastAsia"/>
                <w:sz w:val="24"/>
                <w:highlight w:val="none"/>
              </w:rPr>
              <w:t>数量</w:t>
            </w:r>
          </w:p>
        </w:tc>
        <w:tc>
          <w:tcPr>
            <w:tcW w:w="528" w:type="pct"/>
            <w:tcBorders>
              <w:top w:val="double" w:color="auto" w:sz="4" w:space="0"/>
              <w:bottom w:val="double" w:color="auto" w:sz="4" w:space="0"/>
            </w:tcBorders>
            <w:noWrap w:val="0"/>
            <w:vAlign w:val="center"/>
          </w:tcPr>
          <w:p>
            <w:pPr>
              <w:spacing w:line="360" w:lineRule="auto"/>
              <w:jc w:val="center"/>
              <w:rPr>
                <w:rFonts w:hint="eastAsia"/>
                <w:sz w:val="24"/>
                <w:highlight w:val="none"/>
              </w:rPr>
            </w:pPr>
            <w:r>
              <w:rPr>
                <w:rFonts w:hint="eastAsia"/>
                <w:sz w:val="24"/>
                <w:highlight w:val="none"/>
              </w:rPr>
              <w:t>总价</w:t>
            </w:r>
          </w:p>
        </w:tc>
        <w:tc>
          <w:tcPr>
            <w:tcW w:w="488" w:type="pct"/>
            <w:tcBorders>
              <w:top w:val="double" w:color="auto" w:sz="4" w:space="0"/>
              <w:bottom w:val="double" w:color="auto" w:sz="4" w:space="0"/>
              <w:right w:val="double" w:color="auto" w:sz="4" w:space="0"/>
            </w:tcBorders>
            <w:noWrap w:val="0"/>
            <w:vAlign w:val="center"/>
          </w:tcPr>
          <w:p>
            <w:pPr>
              <w:spacing w:line="360" w:lineRule="auto"/>
              <w:jc w:val="center"/>
              <w:rPr>
                <w:rFonts w:hint="eastAsia"/>
                <w:sz w:val="24"/>
                <w:highlight w:val="none"/>
              </w:rPr>
            </w:pPr>
            <w:r>
              <w:rPr>
                <w:rFonts w:hint="eastAsia"/>
                <w:sz w:val="24"/>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trPr>
        <w:tc>
          <w:tcPr>
            <w:tcW w:w="284" w:type="pct"/>
            <w:tcBorders>
              <w:top w:val="double" w:color="auto" w:sz="4" w:space="0"/>
              <w:left w:val="double" w:color="auto" w:sz="4" w:space="0"/>
            </w:tcBorders>
            <w:noWrap w:val="0"/>
            <w:vAlign w:val="top"/>
          </w:tcPr>
          <w:p>
            <w:pPr>
              <w:spacing w:line="360" w:lineRule="auto"/>
              <w:rPr>
                <w:rFonts w:hint="eastAsia"/>
                <w:sz w:val="24"/>
                <w:highlight w:val="none"/>
              </w:rPr>
            </w:pPr>
          </w:p>
        </w:tc>
        <w:tc>
          <w:tcPr>
            <w:tcW w:w="539" w:type="pct"/>
            <w:tcBorders>
              <w:top w:val="double" w:color="auto" w:sz="4" w:space="0"/>
            </w:tcBorders>
            <w:noWrap w:val="0"/>
            <w:vAlign w:val="top"/>
          </w:tcPr>
          <w:p>
            <w:pPr>
              <w:spacing w:line="360" w:lineRule="auto"/>
              <w:rPr>
                <w:rFonts w:hint="eastAsia"/>
                <w:sz w:val="24"/>
                <w:highlight w:val="none"/>
              </w:rPr>
            </w:pPr>
          </w:p>
        </w:tc>
        <w:tc>
          <w:tcPr>
            <w:tcW w:w="542" w:type="pct"/>
            <w:tcBorders>
              <w:top w:val="double" w:color="auto" w:sz="4" w:space="0"/>
            </w:tcBorders>
            <w:noWrap w:val="0"/>
            <w:vAlign w:val="top"/>
          </w:tcPr>
          <w:p>
            <w:pPr>
              <w:spacing w:line="360" w:lineRule="auto"/>
              <w:rPr>
                <w:rFonts w:hint="eastAsia"/>
                <w:sz w:val="24"/>
                <w:highlight w:val="none"/>
              </w:rPr>
            </w:pPr>
          </w:p>
        </w:tc>
        <w:tc>
          <w:tcPr>
            <w:tcW w:w="463" w:type="pct"/>
            <w:tcBorders>
              <w:top w:val="double" w:color="auto" w:sz="4" w:space="0"/>
            </w:tcBorders>
            <w:noWrap w:val="0"/>
            <w:vAlign w:val="top"/>
          </w:tcPr>
          <w:p>
            <w:pPr>
              <w:spacing w:line="360" w:lineRule="auto"/>
              <w:rPr>
                <w:rFonts w:hint="eastAsia"/>
                <w:sz w:val="24"/>
                <w:highlight w:val="none"/>
              </w:rPr>
            </w:pPr>
          </w:p>
        </w:tc>
        <w:tc>
          <w:tcPr>
            <w:tcW w:w="517" w:type="pct"/>
            <w:tcBorders>
              <w:top w:val="double" w:color="auto" w:sz="4" w:space="0"/>
            </w:tcBorders>
            <w:noWrap w:val="0"/>
            <w:vAlign w:val="top"/>
          </w:tcPr>
          <w:p>
            <w:pPr>
              <w:spacing w:line="360" w:lineRule="auto"/>
              <w:rPr>
                <w:rFonts w:hint="eastAsia"/>
                <w:sz w:val="24"/>
                <w:highlight w:val="none"/>
              </w:rPr>
            </w:pPr>
          </w:p>
        </w:tc>
        <w:tc>
          <w:tcPr>
            <w:tcW w:w="378" w:type="pct"/>
            <w:tcBorders>
              <w:top w:val="double" w:color="auto" w:sz="4" w:space="0"/>
            </w:tcBorders>
            <w:noWrap w:val="0"/>
            <w:vAlign w:val="top"/>
          </w:tcPr>
          <w:p>
            <w:pPr>
              <w:spacing w:line="360" w:lineRule="auto"/>
              <w:rPr>
                <w:rFonts w:hint="eastAsia"/>
                <w:sz w:val="24"/>
                <w:highlight w:val="none"/>
              </w:rPr>
            </w:pPr>
          </w:p>
        </w:tc>
        <w:tc>
          <w:tcPr>
            <w:tcW w:w="406" w:type="pct"/>
            <w:tcBorders>
              <w:top w:val="double" w:color="auto" w:sz="4" w:space="0"/>
            </w:tcBorders>
            <w:noWrap w:val="0"/>
            <w:vAlign w:val="top"/>
          </w:tcPr>
          <w:p>
            <w:pPr>
              <w:spacing w:line="360" w:lineRule="auto"/>
              <w:rPr>
                <w:rFonts w:hint="eastAsia"/>
                <w:sz w:val="24"/>
                <w:highlight w:val="none"/>
              </w:rPr>
            </w:pPr>
          </w:p>
        </w:tc>
        <w:tc>
          <w:tcPr>
            <w:tcW w:w="406" w:type="pct"/>
            <w:tcBorders>
              <w:top w:val="double" w:color="auto" w:sz="4" w:space="0"/>
            </w:tcBorders>
            <w:noWrap w:val="0"/>
            <w:vAlign w:val="top"/>
          </w:tcPr>
          <w:p>
            <w:pPr>
              <w:spacing w:line="360" w:lineRule="auto"/>
              <w:rPr>
                <w:rFonts w:hint="eastAsia"/>
                <w:sz w:val="24"/>
                <w:highlight w:val="none"/>
              </w:rPr>
            </w:pPr>
          </w:p>
        </w:tc>
        <w:tc>
          <w:tcPr>
            <w:tcW w:w="446" w:type="pct"/>
            <w:tcBorders>
              <w:top w:val="double" w:color="auto" w:sz="4" w:space="0"/>
            </w:tcBorders>
            <w:noWrap w:val="0"/>
            <w:vAlign w:val="top"/>
          </w:tcPr>
          <w:p>
            <w:pPr>
              <w:spacing w:line="360" w:lineRule="auto"/>
              <w:rPr>
                <w:rFonts w:hint="eastAsia"/>
                <w:sz w:val="24"/>
                <w:highlight w:val="none"/>
              </w:rPr>
            </w:pPr>
          </w:p>
        </w:tc>
        <w:tc>
          <w:tcPr>
            <w:tcW w:w="528" w:type="pct"/>
            <w:tcBorders>
              <w:top w:val="double" w:color="auto" w:sz="4" w:space="0"/>
            </w:tcBorders>
            <w:noWrap w:val="0"/>
            <w:vAlign w:val="top"/>
          </w:tcPr>
          <w:p>
            <w:pPr>
              <w:spacing w:line="360" w:lineRule="auto"/>
              <w:rPr>
                <w:rFonts w:hint="eastAsia"/>
                <w:sz w:val="24"/>
                <w:highlight w:val="none"/>
              </w:rPr>
            </w:pPr>
          </w:p>
        </w:tc>
        <w:tc>
          <w:tcPr>
            <w:tcW w:w="488" w:type="pct"/>
            <w:tcBorders>
              <w:top w:val="double" w:color="auto" w:sz="4" w:space="0"/>
              <w:right w:val="double" w:color="auto" w:sz="4" w:space="0"/>
            </w:tcBorders>
            <w:noWrap w:val="0"/>
            <w:vAlign w:val="top"/>
          </w:tcPr>
          <w:p>
            <w:pPr>
              <w:spacing w:line="360" w:lineRule="auto"/>
              <w:rPr>
                <w:rFonts w:hint="eastAsia"/>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atLeast"/>
        </w:trPr>
        <w:tc>
          <w:tcPr>
            <w:tcW w:w="284" w:type="pct"/>
            <w:tcBorders>
              <w:left w:val="double" w:color="auto" w:sz="4" w:space="0"/>
            </w:tcBorders>
            <w:noWrap w:val="0"/>
            <w:vAlign w:val="top"/>
          </w:tcPr>
          <w:p>
            <w:pPr>
              <w:spacing w:line="360" w:lineRule="auto"/>
              <w:rPr>
                <w:rFonts w:hint="eastAsia"/>
                <w:sz w:val="24"/>
                <w:highlight w:val="none"/>
              </w:rPr>
            </w:pPr>
          </w:p>
        </w:tc>
        <w:tc>
          <w:tcPr>
            <w:tcW w:w="539" w:type="pct"/>
            <w:noWrap w:val="0"/>
            <w:vAlign w:val="top"/>
          </w:tcPr>
          <w:p>
            <w:pPr>
              <w:spacing w:line="360" w:lineRule="auto"/>
              <w:rPr>
                <w:rFonts w:hint="eastAsia"/>
                <w:sz w:val="24"/>
                <w:highlight w:val="none"/>
              </w:rPr>
            </w:pPr>
          </w:p>
        </w:tc>
        <w:tc>
          <w:tcPr>
            <w:tcW w:w="542" w:type="pct"/>
            <w:noWrap w:val="0"/>
            <w:vAlign w:val="top"/>
          </w:tcPr>
          <w:p>
            <w:pPr>
              <w:spacing w:line="360" w:lineRule="auto"/>
              <w:rPr>
                <w:rFonts w:hint="eastAsia"/>
                <w:sz w:val="24"/>
                <w:highlight w:val="none"/>
              </w:rPr>
            </w:pPr>
          </w:p>
        </w:tc>
        <w:tc>
          <w:tcPr>
            <w:tcW w:w="463" w:type="pct"/>
            <w:noWrap w:val="0"/>
            <w:vAlign w:val="top"/>
          </w:tcPr>
          <w:p>
            <w:pPr>
              <w:spacing w:line="360" w:lineRule="auto"/>
              <w:rPr>
                <w:rFonts w:hint="eastAsia"/>
                <w:sz w:val="24"/>
                <w:highlight w:val="none"/>
              </w:rPr>
            </w:pPr>
          </w:p>
        </w:tc>
        <w:tc>
          <w:tcPr>
            <w:tcW w:w="517" w:type="pct"/>
            <w:noWrap w:val="0"/>
            <w:vAlign w:val="top"/>
          </w:tcPr>
          <w:p>
            <w:pPr>
              <w:spacing w:line="360" w:lineRule="auto"/>
              <w:rPr>
                <w:rFonts w:hint="eastAsia"/>
                <w:sz w:val="24"/>
                <w:highlight w:val="none"/>
              </w:rPr>
            </w:pPr>
          </w:p>
        </w:tc>
        <w:tc>
          <w:tcPr>
            <w:tcW w:w="378" w:type="pct"/>
            <w:noWrap w:val="0"/>
            <w:vAlign w:val="top"/>
          </w:tcPr>
          <w:p>
            <w:pPr>
              <w:spacing w:line="360" w:lineRule="auto"/>
              <w:rPr>
                <w:rFonts w:hint="eastAsia"/>
                <w:sz w:val="24"/>
                <w:highlight w:val="none"/>
              </w:rPr>
            </w:pPr>
          </w:p>
        </w:tc>
        <w:tc>
          <w:tcPr>
            <w:tcW w:w="406" w:type="pct"/>
            <w:noWrap w:val="0"/>
            <w:vAlign w:val="top"/>
          </w:tcPr>
          <w:p>
            <w:pPr>
              <w:spacing w:line="360" w:lineRule="auto"/>
              <w:rPr>
                <w:rFonts w:hint="eastAsia"/>
                <w:sz w:val="24"/>
                <w:highlight w:val="none"/>
              </w:rPr>
            </w:pPr>
          </w:p>
        </w:tc>
        <w:tc>
          <w:tcPr>
            <w:tcW w:w="406" w:type="pct"/>
            <w:noWrap w:val="0"/>
            <w:vAlign w:val="top"/>
          </w:tcPr>
          <w:p>
            <w:pPr>
              <w:spacing w:line="360" w:lineRule="auto"/>
              <w:rPr>
                <w:rFonts w:hint="eastAsia"/>
                <w:sz w:val="24"/>
                <w:highlight w:val="none"/>
              </w:rPr>
            </w:pPr>
          </w:p>
        </w:tc>
        <w:tc>
          <w:tcPr>
            <w:tcW w:w="446" w:type="pct"/>
            <w:noWrap w:val="0"/>
            <w:vAlign w:val="top"/>
          </w:tcPr>
          <w:p>
            <w:pPr>
              <w:spacing w:line="360" w:lineRule="auto"/>
              <w:rPr>
                <w:rFonts w:hint="eastAsia"/>
                <w:sz w:val="24"/>
                <w:highlight w:val="none"/>
              </w:rPr>
            </w:pPr>
          </w:p>
        </w:tc>
        <w:tc>
          <w:tcPr>
            <w:tcW w:w="528" w:type="pct"/>
            <w:noWrap w:val="0"/>
            <w:vAlign w:val="top"/>
          </w:tcPr>
          <w:p>
            <w:pPr>
              <w:spacing w:line="360" w:lineRule="auto"/>
              <w:rPr>
                <w:rFonts w:hint="eastAsia"/>
                <w:sz w:val="24"/>
                <w:highlight w:val="none"/>
              </w:rPr>
            </w:pPr>
          </w:p>
        </w:tc>
        <w:tc>
          <w:tcPr>
            <w:tcW w:w="488" w:type="pct"/>
            <w:tcBorders>
              <w:right w:val="double" w:color="auto" w:sz="4" w:space="0"/>
            </w:tcBorders>
            <w:noWrap w:val="0"/>
            <w:vAlign w:val="top"/>
          </w:tcPr>
          <w:p>
            <w:pPr>
              <w:spacing w:line="360" w:lineRule="auto"/>
              <w:rPr>
                <w:rFonts w:hint="eastAsia"/>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atLeast"/>
        </w:trPr>
        <w:tc>
          <w:tcPr>
            <w:tcW w:w="284" w:type="pct"/>
            <w:tcBorders>
              <w:left w:val="double" w:color="auto" w:sz="4" w:space="0"/>
            </w:tcBorders>
            <w:noWrap w:val="0"/>
            <w:vAlign w:val="top"/>
          </w:tcPr>
          <w:p>
            <w:pPr>
              <w:spacing w:line="360" w:lineRule="auto"/>
              <w:rPr>
                <w:rFonts w:hint="eastAsia"/>
                <w:sz w:val="24"/>
                <w:highlight w:val="none"/>
              </w:rPr>
            </w:pPr>
          </w:p>
        </w:tc>
        <w:tc>
          <w:tcPr>
            <w:tcW w:w="539" w:type="pct"/>
            <w:noWrap w:val="0"/>
            <w:vAlign w:val="top"/>
          </w:tcPr>
          <w:p>
            <w:pPr>
              <w:spacing w:line="360" w:lineRule="auto"/>
              <w:rPr>
                <w:rFonts w:hint="eastAsia"/>
                <w:sz w:val="24"/>
                <w:highlight w:val="none"/>
              </w:rPr>
            </w:pPr>
          </w:p>
        </w:tc>
        <w:tc>
          <w:tcPr>
            <w:tcW w:w="542" w:type="pct"/>
            <w:noWrap w:val="0"/>
            <w:vAlign w:val="top"/>
          </w:tcPr>
          <w:p>
            <w:pPr>
              <w:spacing w:line="360" w:lineRule="auto"/>
              <w:rPr>
                <w:rFonts w:hint="eastAsia"/>
                <w:sz w:val="24"/>
                <w:highlight w:val="none"/>
              </w:rPr>
            </w:pPr>
          </w:p>
        </w:tc>
        <w:tc>
          <w:tcPr>
            <w:tcW w:w="463" w:type="pct"/>
            <w:noWrap w:val="0"/>
            <w:vAlign w:val="top"/>
          </w:tcPr>
          <w:p>
            <w:pPr>
              <w:spacing w:line="360" w:lineRule="auto"/>
              <w:rPr>
                <w:rFonts w:hint="eastAsia"/>
                <w:sz w:val="24"/>
                <w:highlight w:val="none"/>
              </w:rPr>
            </w:pPr>
          </w:p>
        </w:tc>
        <w:tc>
          <w:tcPr>
            <w:tcW w:w="517" w:type="pct"/>
            <w:noWrap w:val="0"/>
            <w:vAlign w:val="top"/>
          </w:tcPr>
          <w:p>
            <w:pPr>
              <w:spacing w:line="360" w:lineRule="auto"/>
              <w:rPr>
                <w:rFonts w:hint="eastAsia"/>
                <w:sz w:val="24"/>
                <w:highlight w:val="none"/>
              </w:rPr>
            </w:pPr>
          </w:p>
        </w:tc>
        <w:tc>
          <w:tcPr>
            <w:tcW w:w="378" w:type="pct"/>
            <w:noWrap w:val="0"/>
            <w:vAlign w:val="top"/>
          </w:tcPr>
          <w:p>
            <w:pPr>
              <w:spacing w:line="360" w:lineRule="auto"/>
              <w:rPr>
                <w:rFonts w:hint="eastAsia"/>
                <w:sz w:val="24"/>
                <w:highlight w:val="none"/>
              </w:rPr>
            </w:pPr>
          </w:p>
        </w:tc>
        <w:tc>
          <w:tcPr>
            <w:tcW w:w="406" w:type="pct"/>
            <w:noWrap w:val="0"/>
            <w:vAlign w:val="top"/>
          </w:tcPr>
          <w:p>
            <w:pPr>
              <w:spacing w:line="360" w:lineRule="auto"/>
              <w:rPr>
                <w:rFonts w:hint="eastAsia"/>
                <w:sz w:val="24"/>
                <w:highlight w:val="none"/>
              </w:rPr>
            </w:pPr>
          </w:p>
        </w:tc>
        <w:tc>
          <w:tcPr>
            <w:tcW w:w="406" w:type="pct"/>
            <w:noWrap w:val="0"/>
            <w:vAlign w:val="top"/>
          </w:tcPr>
          <w:p>
            <w:pPr>
              <w:spacing w:line="360" w:lineRule="auto"/>
              <w:rPr>
                <w:rFonts w:hint="eastAsia"/>
                <w:sz w:val="24"/>
                <w:highlight w:val="none"/>
              </w:rPr>
            </w:pPr>
          </w:p>
        </w:tc>
        <w:tc>
          <w:tcPr>
            <w:tcW w:w="446" w:type="pct"/>
            <w:noWrap w:val="0"/>
            <w:vAlign w:val="top"/>
          </w:tcPr>
          <w:p>
            <w:pPr>
              <w:spacing w:line="360" w:lineRule="auto"/>
              <w:rPr>
                <w:rFonts w:hint="eastAsia"/>
                <w:sz w:val="24"/>
                <w:highlight w:val="none"/>
              </w:rPr>
            </w:pPr>
          </w:p>
        </w:tc>
        <w:tc>
          <w:tcPr>
            <w:tcW w:w="528" w:type="pct"/>
            <w:noWrap w:val="0"/>
            <w:vAlign w:val="top"/>
          </w:tcPr>
          <w:p>
            <w:pPr>
              <w:spacing w:line="360" w:lineRule="auto"/>
              <w:rPr>
                <w:rFonts w:hint="eastAsia"/>
                <w:sz w:val="24"/>
                <w:highlight w:val="none"/>
              </w:rPr>
            </w:pPr>
          </w:p>
        </w:tc>
        <w:tc>
          <w:tcPr>
            <w:tcW w:w="488" w:type="pct"/>
            <w:tcBorders>
              <w:right w:val="double" w:color="auto" w:sz="4" w:space="0"/>
            </w:tcBorders>
            <w:noWrap w:val="0"/>
            <w:vAlign w:val="top"/>
          </w:tcPr>
          <w:p>
            <w:pPr>
              <w:spacing w:line="360" w:lineRule="auto"/>
              <w:rPr>
                <w:rFonts w:hint="eastAsia"/>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atLeast"/>
        </w:trPr>
        <w:tc>
          <w:tcPr>
            <w:tcW w:w="284" w:type="pct"/>
            <w:tcBorders>
              <w:left w:val="double" w:color="auto" w:sz="4" w:space="0"/>
            </w:tcBorders>
            <w:noWrap w:val="0"/>
            <w:vAlign w:val="top"/>
          </w:tcPr>
          <w:p>
            <w:pPr>
              <w:spacing w:line="360" w:lineRule="auto"/>
              <w:rPr>
                <w:rFonts w:hint="eastAsia"/>
                <w:sz w:val="24"/>
                <w:highlight w:val="none"/>
              </w:rPr>
            </w:pPr>
          </w:p>
        </w:tc>
        <w:tc>
          <w:tcPr>
            <w:tcW w:w="539" w:type="pct"/>
            <w:noWrap w:val="0"/>
            <w:vAlign w:val="top"/>
          </w:tcPr>
          <w:p>
            <w:pPr>
              <w:spacing w:line="360" w:lineRule="auto"/>
              <w:rPr>
                <w:rFonts w:hint="eastAsia"/>
                <w:sz w:val="24"/>
                <w:highlight w:val="none"/>
              </w:rPr>
            </w:pPr>
          </w:p>
        </w:tc>
        <w:tc>
          <w:tcPr>
            <w:tcW w:w="542" w:type="pct"/>
            <w:noWrap w:val="0"/>
            <w:vAlign w:val="top"/>
          </w:tcPr>
          <w:p>
            <w:pPr>
              <w:spacing w:line="360" w:lineRule="auto"/>
              <w:rPr>
                <w:rFonts w:hint="eastAsia"/>
                <w:sz w:val="24"/>
                <w:highlight w:val="none"/>
              </w:rPr>
            </w:pPr>
          </w:p>
        </w:tc>
        <w:tc>
          <w:tcPr>
            <w:tcW w:w="463" w:type="pct"/>
            <w:noWrap w:val="0"/>
            <w:vAlign w:val="top"/>
          </w:tcPr>
          <w:p>
            <w:pPr>
              <w:spacing w:line="360" w:lineRule="auto"/>
              <w:rPr>
                <w:rFonts w:hint="eastAsia"/>
                <w:sz w:val="24"/>
                <w:highlight w:val="none"/>
              </w:rPr>
            </w:pPr>
          </w:p>
        </w:tc>
        <w:tc>
          <w:tcPr>
            <w:tcW w:w="517" w:type="pct"/>
            <w:noWrap w:val="0"/>
            <w:vAlign w:val="top"/>
          </w:tcPr>
          <w:p>
            <w:pPr>
              <w:spacing w:line="360" w:lineRule="auto"/>
              <w:rPr>
                <w:rFonts w:hint="eastAsia"/>
                <w:sz w:val="24"/>
                <w:highlight w:val="none"/>
              </w:rPr>
            </w:pPr>
          </w:p>
        </w:tc>
        <w:tc>
          <w:tcPr>
            <w:tcW w:w="378" w:type="pct"/>
            <w:noWrap w:val="0"/>
            <w:vAlign w:val="top"/>
          </w:tcPr>
          <w:p>
            <w:pPr>
              <w:spacing w:line="360" w:lineRule="auto"/>
              <w:rPr>
                <w:rFonts w:hint="eastAsia"/>
                <w:sz w:val="24"/>
                <w:highlight w:val="none"/>
              </w:rPr>
            </w:pPr>
          </w:p>
        </w:tc>
        <w:tc>
          <w:tcPr>
            <w:tcW w:w="406" w:type="pct"/>
            <w:noWrap w:val="0"/>
            <w:vAlign w:val="top"/>
          </w:tcPr>
          <w:p>
            <w:pPr>
              <w:spacing w:line="360" w:lineRule="auto"/>
              <w:rPr>
                <w:rFonts w:hint="eastAsia"/>
                <w:sz w:val="24"/>
                <w:highlight w:val="none"/>
              </w:rPr>
            </w:pPr>
          </w:p>
        </w:tc>
        <w:tc>
          <w:tcPr>
            <w:tcW w:w="406" w:type="pct"/>
            <w:noWrap w:val="0"/>
            <w:vAlign w:val="top"/>
          </w:tcPr>
          <w:p>
            <w:pPr>
              <w:spacing w:line="360" w:lineRule="auto"/>
              <w:rPr>
                <w:rFonts w:hint="eastAsia"/>
                <w:sz w:val="24"/>
                <w:highlight w:val="none"/>
              </w:rPr>
            </w:pPr>
          </w:p>
        </w:tc>
        <w:tc>
          <w:tcPr>
            <w:tcW w:w="446" w:type="pct"/>
            <w:noWrap w:val="0"/>
            <w:vAlign w:val="top"/>
          </w:tcPr>
          <w:p>
            <w:pPr>
              <w:spacing w:line="360" w:lineRule="auto"/>
              <w:rPr>
                <w:rFonts w:hint="eastAsia"/>
                <w:sz w:val="24"/>
                <w:highlight w:val="none"/>
              </w:rPr>
            </w:pPr>
          </w:p>
        </w:tc>
        <w:tc>
          <w:tcPr>
            <w:tcW w:w="528" w:type="pct"/>
            <w:noWrap w:val="0"/>
            <w:vAlign w:val="top"/>
          </w:tcPr>
          <w:p>
            <w:pPr>
              <w:spacing w:line="360" w:lineRule="auto"/>
              <w:rPr>
                <w:rFonts w:hint="eastAsia"/>
                <w:sz w:val="24"/>
                <w:highlight w:val="none"/>
              </w:rPr>
            </w:pPr>
          </w:p>
        </w:tc>
        <w:tc>
          <w:tcPr>
            <w:tcW w:w="488" w:type="pct"/>
            <w:tcBorders>
              <w:right w:val="double" w:color="auto" w:sz="4" w:space="0"/>
            </w:tcBorders>
            <w:noWrap w:val="0"/>
            <w:vAlign w:val="top"/>
          </w:tcPr>
          <w:p>
            <w:pPr>
              <w:spacing w:line="360" w:lineRule="auto"/>
              <w:rPr>
                <w:rFonts w:hint="eastAsia"/>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atLeast"/>
        </w:trPr>
        <w:tc>
          <w:tcPr>
            <w:tcW w:w="284" w:type="pct"/>
            <w:tcBorders>
              <w:left w:val="double" w:color="auto" w:sz="4" w:space="0"/>
            </w:tcBorders>
            <w:noWrap w:val="0"/>
            <w:vAlign w:val="top"/>
          </w:tcPr>
          <w:p>
            <w:pPr>
              <w:spacing w:line="360" w:lineRule="auto"/>
              <w:rPr>
                <w:rFonts w:hint="eastAsia"/>
                <w:sz w:val="24"/>
                <w:highlight w:val="none"/>
              </w:rPr>
            </w:pPr>
          </w:p>
        </w:tc>
        <w:tc>
          <w:tcPr>
            <w:tcW w:w="539" w:type="pct"/>
            <w:noWrap w:val="0"/>
            <w:vAlign w:val="top"/>
          </w:tcPr>
          <w:p>
            <w:pPr>
              <w:spacing w:line="360" w:lineRule="auto"/>
              <w:rPr>
                <w:rFonts w:hint="eastAsia"/>
                <w:sz w:val="24"/>
                <w:highlight w:val="none"/>
              </w:rPr>
            </w:pPr>
          </w:p>
        </w:tc>
        <w:tc>
          <w:tcPr>
            <w:tcW w:w="542" w:type="pct"/>
            <w:noWrap w:val="0"/>
            <w:vAlign w:val="top"/>
          </w:tcPr>
          <w:p>
            <w:pPr>
              <w:spacing w:line="360" w:lineRule="auto"/>
              <w:rPr>
                <w:rFonts w:hint="eastAsia"/>
                <w:sz w:val="24"/>
                <w:highlight w:val="none"/>
              </w:rPr>
            </w:pPr>
          </w:p>
        </w:tc>
        <w:tc>
          <w:tcPr>
            <w:tcW w:w="463" w:type="pct"/>
            <w:noWrap w:val="0"/>
            <w:vAlign w:val="top"/>
          </w:tcPr>
          <w:p>
            <w:pPr>
              <w:spacing w:line="360" w:lineRule="auto"/>
              <w:rPr>
                <w:rFonts w:hint="eastAsia"/>
                <w:sz w:val="24"/>
                <w:highlight w:val="none"/>
              </w:rPr>
            </w:pPr>
          </w:p>
        </w:tc>
        <w:tc>
          <w:tcPr>
            <w:tcW w:w="517" w:type="pct"/>
            <w:noWrap w:val="0"/>
            <w:vAlign w:val="top"/>
          </w:tcPr>
          <w:p>
            <w:pPr>
              <w:spacing w:line="360" w:lineRule="auto"/>
              <w:rPr>
                <w:rFonts w:hint="eastAsia"/>
                <w:sz w:val="24"/>
                <w:highlight w:val="none"/>
              </w:rPr>
            </w:pPr>
          </w:p>
        </w:tc>
        <w:tc>
          <w:tcPr>
            <w:tcW w:w="378" w:type="pct"/>
            <w:noWrap w:val="0"/>
            <w:vAlign w:val="top"/>
          </w:tcPr>
          <w:p>
            <w:pPr>
              <w:spacing w:line="360" w:lineRule="auto"/>
              <w:rPr>
                <w:rFonts w:hint="eastAsia"/>
                <w:sz w:val="24"/>
                <w:highlight w:val="none"/>
              </w:rPr>
            </w:pPr>
          </w:p>
        </w:tc>
        <w:tc>
          <w:tcPr>
            <w:tcW w:w="406" w:type="pct"/>
            <w:noWrap w:val="0"/>
            <w:vAlign w:val="top"/>
          </w:tcPr>
          <w:p>
            <w:pPr>
              <w:spacing w:line="360" w:lineRule="auto"/>
              <w:rPr>
                <w:rFonts w:hint="eastAsia"/>
                <w:sz w:val="24"/>
                <w:highlight w:val="none"/>
              </w:rPr>
            </w:pPr>
          </w:p>
        </w:tc>
        <w:tc>
          <w:tcPr>
            <w:tcW w:w="406" w:type="pct"/>
            <w:noWrap w:val="0"/>
            <w:vAlign w:val="top"/>
          </w:tcPr>
          <w:p>
            <w:pPr>
              <w:spacing w:line="360" w:lineRule="auto"/>
              <w:rPr>
                <w:rFonts w:hint="eastAsia"/>
                <w:sz w:val="24"/>
                <w:highlight w:val="none"/>
              </w:rPr>
            </w:pPr>
          </w:p>
        </w:tc>
        <w:tc>
          <w:tcPr>
            <w:tcW w:w="446" w:type="pct"/>
            <w:noWrap w:val="0"/>
            <w:vAlign w:val="top"/>
          </w:tcPr>
          <w:p>
            <w:pPr>
              <w:spacing w:line="360" w:lineRule="auto"/>
              <w:rPr>
                <w:rFonts w:hint="eastAsia"/>
                <w:sz w:val="24"/>
                <w:highlight w:val="none"/>
              </w:rPr>
            </w:pPr>
          </w:p>
        </w:tc>
        <w:tc>
          <w:tcPr>
            <w:tcW w:w="528" w:type="pct"/>
            <w:noWrap w:val="0"/>
            <w:vAlign w:val="top"/>
          </w:tcPr>
          <w:p>
            <w:pPr>
              <w:spacing w:line="360" w:lineRule="auto"/>
              <w:rPr>
                <w:rFonts w:hint="eastAsia"/>
                <w:sz w:val="24"/>
                <w:highlight w:val="none"/>
              </w:rPr>
            </w:pPr>
          </w:p>
        </w:tc>
        <w:tc>
          <w:tcPr>
            <w:tcW w:w="488" w:type="pct"/>
            <w:tcBorders>
              <w:right w:val="double" w:color="auto" w:sz="4" w:space="0"/>
            </w:tcBorders>
            <w:noWrap w:val="0"/>
            <w:vAlign w:val="top"/>
          </w:tcPr>
          <w:p>
            <w:pPr>
              <w:spacing w:line="360" w:lineRule="auto"/>
              <w:rPr>
                <w:rFonts w:hint="eastAsia"/>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7" w:hRule="atLeast"/>
        </w:trPr>
        <w:tc>
          <w:tcPr>
            <w:tcW w:w="284" w:type="pct"/>
            <w:tcBorders>
              <w:left w:val="double" w:color="auto" w:sz="4" w:space="0"/>
            </w:tcBorders>
            <w:noWrap w:val="0"/>
            <w:vAlign w:val="top"/>
          </w:tcPr>
          <w:p>
            <w:pPr>
              <w:spacing w:line="360" w:lineRule="auto"/>
              <w:rPr>
                <w:rFonts w:hint="eastAsia"/>
                <w:sz w:val="24"/>
                <w:highlight w:val="none"/>
              </w:rPr>
            </w:pPr>
          </w:p>
        </w:tc>
        <w:tc>
          <w:tcPr>
            <w:tcW w:w="539" w:type="pct"/>
            <w:noWrap w:val="0"/>
            <w:vAlign w:val="top"/>
          </w:tcPr>
          <w:p>
            <w:pPr>
              <w:spacing w:line="360" w:lineRule="auto"/>
              <w:rPr>
                <w:rFonts w:hint="eastAsia"/>
                <w:sz w:val="24"/>
                <w:highlight w:val="none"/>
              </w:rPr>
            </w:pPr>
          </w:p>
        </w:tc>
        <w:tc>
          <w:tcPr>
            <w:tcW w:w="542" w:type="pct"/>
            <w:noWrap w:val="0"/>
            <w:vAlign w:val="top"/>
          </w:tcPr>
          <w:p>
            <w:pPr>
              <w:spacing w:line="360" w:lineRule="auto"/>
              <w:rPr>
                <w:rFonts w:hint="eastAsia"/>
                <w:sz w:val="24"/>
                <w:highlight w:val="none"/>
              </w:rPr>
            </w:pPr>
          </w:p>
        </w:tc>
        <w:tc>
          <w:tcPr>
            <w:tcW w:w="463" w:type="pct"/>
            <w:noWrap w:val="0"/>
            <w:vAlign w:val="top"/>
          </w:tcPr>
          <w:p>
            <w:pPr>
              <w:spacing w:line="360" w:lineRule="auto"/>
              <w:rPr>
                <w:rFonts w:hint="eastAsia"/>
                <w:sz w:val="24"/>
                <w:highlight w:val="none"/>
              </w:rPr>
            </w:pPr>
          </w:p>
        </w:tc>
        <w:tc>
          <w:tcPr>
            <w:tcW w:w="517" w:type="pct"/>
            <w:noWrap w:val="0"/>
            <w:vAlign w:val="top"/>
          </w:tcPr>
          <w:p>
            <w:pPr>
              <w:spacing w:line="360" w:lineRule="auto"/>
              <w:rPr>
                <w:rFonts w:hint="eastAsia"/>
                <w:sz w:val="24"/>
                <w:highlight w:val="none"/>
              </w:rPr>
            </w:pPr>
          </w:p>
        </w:tc>
        <w:tc>
          <w:tcPr>
            <w:tcW w:w="378" w:type="pct"/>
            <w:noWrap w:val="0"/>
            <w:vAlign w:val="top"/>
          </w:tcPr>
          <w:p>
            <w:pPr>
              <w:spacing w:line="360" w:lineRule="auto"/>
              <w:rPr>
                <w:rFonts w:hint="eastAsia"/>
                <w:sz w:val="24"/>
                <w:highlight w:val="none"/>
              </w:rPr>
            </w:pPr>
          </w:p>
        </w:tc>
        <w:tc>
          <w:tcPr>
            <w:tcW w:w="406" w:type="pct"/>
            <w:noWrap w:val="0"/>
            <w:vAlign w:val="top"/>
          </w:tcPr>
          <w:p>
            <w:pPr>
              <w:spacing w:line="360" w:lineRule="auto"/>
              <w:rPr>
                <w:rFonts w:hint="eastAsia"/>
                <w:sz w:val="24"/>
                <w:highlight w:val="none"/>
              </w:rPr>
            </w:pPr>
          </w:p>
        </w:tc>
        <w:tc>
          <w:tcPr>
            <w:tcW w:w="406" w:type="pct"/>
            <w:noWrap w:val="0"/>
            <w:vAlign w:val="top"/>
          </w:tcPr>
          <w:p>
            <w:pPr>
              <w:spacing w:line="360" w:lineRule="auto"/>
              <w:rPr>
                <w:rFonts w:hint="eastAsia"/>
                <w:sz w:val="24"/>
                <w:highlight w:val="none"/>
              </w:rPr>
            </w:pPr>
          </w:p>
        </w:tc>
        <w:tc>
          <w:tcPr>
            <w:tcW w:w="446" w:type="pct"/>
            <w:noWrap w:val="0"/>
            <w:vAlign w:val="top"/>
          </w:tcPr>
          <w:p>
            <w:pPr>
              <w:spacing w:line="360" w:lineRule="auto"/>
              <w:rPr>
                <w:rFonts w:hint="eastAsia"/>
                <w:sz w:val="24"/>
                <w:highlight w:val="none"/>
              </w:rPr>
            </w:pPr>
          </w:p>
        </w:tc>
        <w:tc>
          <w:tcPr>
            <w:tcW w:w="528" w:type="pct"/>
            <w:noWrap w:val="0"/>
            <w:vAlign w:val="top"/>
          </w:tcPr>
          <w:p>
            <w:pPr>
              <w:spacing w:line="360" w:lineRule="auto"/>
              <w:rPr>
                <w:rFonts w:hint="eastAsia"/>
                <w:sz w:val="24"/>
                <w:highlight w:val="none"/>
              </w:rPr>
            </w:pPr>
          </w:p>
        </w:tc>
        <w:tc>
          <w:tcPr>
            <w:tcW w:w="488" w:type="pct"/>
            <w:tcBorders>
              <w:right w:val="double" w:color="auto" w:sz="4" w:space="0"/>
            </w:tcBorders>
            <w:noWrap w:val="0"/>
            <w:vAlign w:val="top"/>
          </w:tcPr>
          <w:p>
            <w:pPr>
              <w:spacing w:line="360" w:lineRule="auto"/>
              <w:rPr>
                <w:rFonts w:hint="eastAsia"/>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7" w:hRule="atLeast"/>
        </w:trPr>
        <w:tc>
          <w:tcPr>
            <w:tcW w:w="823" w:type="pct"/>
            <w:gridSpan w:val="2"/>
            <w:tcBorders>
              <w:left w:val="double" w:color="auto" w:sz="4" w:space="0"/>
              <w:bottom w:val="double" w:color="auto" w:sz="4" w:space="0"/>
            </w:tcBorders>
            <w:noWrap w:val="0"/>
            <w:vAlign w:val="top"/>
          </w:tcPr>
          <w:p>
            <w:pPr>
              <w:spacing w:line="360" w:lineRule="auto"/>
              <w:rPr>
                <w:rFonts w:hint="eastAsia" w:eastAsia="宋体"/>
                <w:sz w:val="24"/>
                <w:highlight w:val="none"/>
                <w:lang w:eastAsia="zh-CN"/>
              </w:rPr>
            </w:pPr>
            <w:r>
              <w:rPr>
                <w:rFonts w:hint="eastAsia"/>
                <w:sz w:val="24"/>
                <w:highlight w:val="none"/>
                <w:lang w:eastAsia="zh-CN"/>
              </w:rPr>
              <w:t>总合计价格</w:t>
            </w:r>
          </w:p>
        </w:tc>
        <w:tc>
          <w:tcPr>
            <w:tcW w:w="4176" w:type="pct"/>
            <w:gridSpan w:val="9"/>
            <w:tcBorders>
              <w:bottom w:val="double" w:color="auto" w:sz="4" w:space="0"/>
              <w:right w:val="double" w:color="auto" w:sz="4" w:space="0"/>
            </w:tcBorders>
            <w:noWrap w:val="0"/>
            <w:vAlign w:val="top"/>
          </w:tcPr>
          <w:p>
            <w:pPr>
              <w:spacing w:line="360" w:lineRule="auto"/>
              <w:rPr>
                <w:rFonts w:hint="default" w:eastAsia="宋体"/>
                <w:sz w:val="24"/>
                <w:highlight w:val="none"/>
                <w:lang w:val="en-US" w:eastAsia="zh-CN"/>
              </w:rPr>
            </w:pPr>
            <w:r>
              <w:rPr>
                <w:rFonts w:hint="eastAsia"/>
                <w:sz w:val="24"/>
                <w:highlight w:val="none"/>
                <w:lang w:eastAsia="zh-CN"/>
              </w:rPr>
              <w:t>大写：</w:t>
            </w:r>
            <w:r>
              <w:rPr>
                <w:rFonts w:hint="eastAsia"/>
                <w:sz w:val="24"/>
                <w:highlight w:val="none"/>
                <w:lang w:val="en-US" w:eastAsia="zh-CN"/>
              </w:rPr>
              <w:t xml:space="preserve">                            小写：</w:t>
            </w:r>
          </w:p>
        </w:tc>
      </w:tr>
    </w:tbl>
    <w:p>
      <w:pPr>
        <w:spacing w:line="360" w:lineRule="auto"/>
        <w:ind w:right="480"/>
        <w:rPr>
          <w:rFonts w:hint="eastAsia" w:ascii="宋体" w:hAnsi="宋体" w:cs="宋体"/>
          <w:spacing w:val="10"/>
          <w:sz w:val="24"/>
          <w:highlight w:val="none"/>
        </w:rPr>
      </w:pPr>
    </w:p>
    <w:p>
      <w:pPr>
        <w:spacing w:line="360" w:lineRule="auto"/>
        <w:ind w:right="480"/>
        <w:rPr>
          <w:rFonts w:ascii="宋体" w:hAnsi="宋体" w:cs="宋体"/>
          <w:spacing w:val="10"/>
          <w:sz w:val="24"/>
          <w:highlight w:val="none"/>
        </w:rPr>
      </w:pPr>
      <w:r>
        <w:rPr>
          <w:rFonts w:hint="eastAsia" w:ascii="宋体" w:hAnsi="宋体" w:cs="宋体"/>
          <w:spacing w:val="10"/>
          <w:sz w:val="24"/>
          <w:highlight w:val="none"/>
        </w:rPr>
        <w:t>投标人（盖章）：</w:t>
      </w:r>
    </w:p>
    <w:p>
      <w:pPr>
        <w:spacing w:line="360" w:lineRule="auto"/>
        <w:ind w:right="480"/>
        <w:rPr>
          <w:rFonts w:ascii="宋体" w:hAnsi="宋体" w:cs="宋体"/>
          <w:spacing w:val="10"/>
          <w:sz w:val="24"/>
          <w:highlight w:val="none"/>
        </w:rPr>
      </w:pPr>
      <w:r>
        <w:rPr>
          <w:rFonts w:hint="eastAsia" w:ascii="宋体" w:hAnsi="宋体" w:cs="宋体"/>
          <w:spacing w:val="10"/>
          <w:sz w:val="24"/>
          <w:highlight w:val="none"/>
        </w:rPr>
        <w:t>法定代表人或授权代表</w:t>
      </w:r>
      <w:r>
        <w:rPr>
          <w:rFonts w:hint="eastAsia" w:ascii="宋体" w:hAnsi="宋体" w:cs="宋体"/>
          <w:sz w:val="24"/>
          <w:highlight w:val="none"/>
        </w:rPr>
        <w:t>（签字或印章）</w:t>
      </w:r>
      <w:r>
        <w:rPr>
          <w:rFonts w:hint="eastAsia" w:ascii="宋体" w:hAnsi="宋体" w:cs="宋体"/>
          <w:spacing w:val="10"/>
          <w:sz w:val="24"/>
          <w:highlight w:val="none"/>
        </w:rPr>
        <w:t>：</w:t>
      </w:r>
    </w:p>
    <w:p>
      <w:pPr>
        <w:spacing w:line="360" w:lineRule="auto"/>
        <w:ind w:right="480"/>
        <w:rPr>
          <w:rFonts w:ascii="宋体" w:hAnsi="宋体" w:cs="宋体"/>
          <w:spacing w:val="10"/>
          <w:sz w:val="24"/>
          <w:highlight w:val="none"/>
          <w:u w:val="single"/>
        </w:rPr>
      </w:pPr>
      <w:r>
        <w:rPr>
          <w:rFonts w:hint="eastAsia" w:ascii="宋体" w:hAnsi="宋体" w:cs="宋体"/>
          <w:spacing w:val="10"/>
          <w:sz w:val="24"/>
          <w:highlight w:val="none"/>
        </w:rPr>
        <w:t>日期：</w:t>
      </w:r>
    </w:p>
    <w:p>
      <w:pPr>
        <w:pStyle w:val="7"/>
        <w:spacing w:before="0" w:after="100" w:afterAutospacing="1"/>
        <w:jc w:val="both"/>
        <w:rPr>
          <w:rFonts w:ascii="宋体" w:hAnsi="宋体" w:cs="宋体"/>
          <w:spacing w:val="10"/>
          <w:highlight w:val="none"/>
        </w:rPr>
      </w:pPr>
    </w:p>
    <w:p>
      <w:pPr>
        <w:spacing w:line="360" w:lineRule="auto"/>
        <w:rPr>
          <w:rFonts w:ascii="宋体" w:hAnsi="宋体" w:cs="宋体"/>
          <w:sz w:val="24"/>
          <w:szCs w:val="32"/>
          <w:highlight w:val="none"/>
        </w:rPr>
      </w:pPr>
      <w:r>
        <w:rPr>
          <w:rFonts w:hint="eastAsia" w:ascii="宋体" w:hAnsi="宋体" w:cs="宋体"/>
          <w:sz w:val="24"/>
          <w:szCs w:val="32"/>
          <w:highlight w:val="none"/>
        </w:rPr>
        <w:t>说明：1.投标人必须按“报价明细表”的格式详细报出投标总价的各个组成部分的报价，否则作无效投标处理。</w:t>
      </w:r>
    </w:p>
    <w:p>
      <w:pPr>
        <w:spacing w:line="360" w:lineRule="auto"/>
        <w:ind w:firstLine="720" w:firstLineChars="300"/>
        <w:rPr>
          <w:rFonts w:ascii="宋体" w:hAnsi="宋体" w:cs="宋体"/>
          <w:sz w:val="24"/>
          <w:szCs w:val="32"/>
          <w:highlight w:val="none"/>
        </w:rPr>
        <w:sectPr>
          <w:headerReference r:id="rId15" w:type="first"/>
          <w:headerReference r:id="rId14" w:type="default"/>
          <w:pgSz w:w="11905" w:h="16838"/>
          <w:pgMar w:top="1077" w:right="1134" w:bottom="1077" w:left="1417" w:header="850" w:footer="992" w:gutter="0"/>
          <w:pgNumType w:fmt="decimal"/>
          <w:cols w:space="0" w:num="1"/>
          <w:titlePg/>
          <w:docGrid w:linePitch="322" w:charSpace="0"/>
        </w:sectPr>
      </w:pPr>
      <w:r>
        <w:rPr>
          <w:rFonts w:hint="eastAsia" w:ascii="宋体" w:hAnsi="宋体" w:cs="宋体"/>
          <w:sz w:val="24"/>
          <w:szCs w:val="32"/>
          <w:highlight w:val="none"/>
        </w:rPr>
        <w:t>2.“报价明细表”各分项报价合计应当与“开标一览表”报价合计相等。</w:t>
      </w:r>
    </w:p>
    <w:p>
      <w:pPr>
        <w:pStyle w:val="30"/>
        <w:numPr>
          <w:ilvl w:val="0"/>
          <w:numId w:val="0"/>
        </w:numPr>
        <w:jc w:val="center"/>
        <w:rPr>
          <w:rFonts w:hint="eastAsia"/>
          <w:b/>
          <w:color w:val="auto"/>
          <w:sz w:val="28"/>
          <w:szCs w:val="28"/>
          <w:highlight w:val="none"/>
          <w:lang w:bidi="ar-SA"/>
        </w:rPr>
      </w:pPr>
      <w:bookmarkStart w:id="515" w:name="_Toc14138"/>
      <w:bookmarkStart w:id="516" w:name="_Toc10142"/>
      <w:bookmarkStart w:id="517" w:name="_Toc10061"/>
      <w:bookmarkStart w:id="518" w:name="_Toc31279"/>
      <w:bookmarkStart w:id="519" w:name="_Toc8476"/>
      <w:bookmarkStart w:id="520" w:name="_Toc21475"/>
      <w:bookmarkStart w:id="521" w:name="_Toc16494"/>
      <w:r>
        <w:rPr>
          <w:rFonts w:hint="eastAsia"/>
          <w:b/>
          <w:color w:val="auto"/>
          <w:sz w:val="28"/>
          <w:szCs w:val="28"/>
          <w:highlight w:val="none"/>
          <w:lang w:val="en-US" w:eastAsia="zh-CN" w:bidi="ar-SA"/>
        </w:rPr>
        <w:t>9.</w:t>
      </w:r>
      <w:r>
        <w:rPr>
          <w:rFonts w:hint="eastAsia"/>
          <w:b/>
          <w:color w:val="auto"/>
          <w:sz w:val="28"/>
          <w:szCs w:val="28"/>
          <w:highlight w:val="none"/>
          <w:lang w:bidi="ar-SA"/>
        </w:rPr>
        <w:t>配套耗材及维修配件备品备件清单（如有）</w:t>
      </w:r>
    </w:p>
    <w:p>
      <w:pPr>
        <w:spacing w:line="360" w:lineRule="auto"/>
        <w:rPr>
          <w:rFonts w:ascii="宋体" w:hAnsi="宋体" w:cs="宋体"/>
          <w:sz w:val="24"/>
          <w:highlight w:val="none"/>
        </w:rPr>
      </w:pPr>
      <w:r>
        <w:rPr>
          <w:rFonts w:hint="eastAsia" w:ascii="宋体" w:hAnsi="宋体" w:cs="宋体"/>
          <w:spacing w:val="10"/>
          <w:sz w:val="24"/>
          <w:highlight w:val="none"/>
        </w:rPr>
        <w:t>项目名称：</w:t>
      </w:r>
    </w:p>
    <w:p>
      <w:pPr>
        <w:spacing w:line="360" w:lineRule="auto"/>
        <w:rPr>
          <w:rFonts w:hint="eastAsia" w:ascii="宋体" w:hAnsi="宋体" w:cs="宋体"/>
          <w:spacing w:val="10"/>
          <w:sz w:val="24"/>
          <w:highlight w:val="none"/>
        </w:rPr>
      </w:pPr>
      <w:r>
        <w:rPr>
          <w:rFonts w:hint="eastAsia" w:ascii="宋体" w:hAnsi="宋体" w:cs="宋体"/>
          <w:spacing w:val="10"/>
          <w:sz w:val="24"/>
          <w:highlight w:val="none"/>
        </w:rPr>
        <w:t>招标编号：</w:t>
      </w:r>
    </w:p>
    <w:p>
      <w:pPr>
        <w:spacing w:line="360" w:lineRule="auto"/>
        <w:rPr>
          <w:rFonts w:ascii="宋体" w:hAnsi="宋体" w:cs="宋体"/>
          <w:spacing w:val="10"/>
          <w:sz w:val="24"/>
          <w:highlight w:val="none"/>
        </w:rPr>
      </w:pPr>
      <w:r>
        <w:rPr>
          <w:rFonts w:hint="eastAsia" w:ascii="宋体" w:hAnsi="宋体" w:cs="宋体"/>
          <w:spacing w:val="10"/>
          <w:sz w:val="24"/>
          <w:highlight w:val="none"/>
        </w:rPr>
        <w:t>投标人名称：</w:t>
      </w:r>
    </w:p>
    <w:tbl>
      <w:tblPr>
        <w:tblStyle w:val="37"/>
        <w:tblW w:w="4994"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77"/>
        <w:gridCol w:w="899"/>
        <w:gridCol w:w="1456"/>
        <w:gridCol w:w="1066"/>
        <w:gridCol w:w="1603"/>
        <w:gridCol w:w="771"/>
        <w:gridCol w:w="964"/>
        <w:gridCol w:w="964"/>
        <w:gridCol w:w="11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954" w:hRule="atLeast"/>
        </w:trPr>
        <w:tc>
          <w:tcPr>
            <w:tcW w:w="354" w:type="pct"/>
            <w:tcBorders>
              <w:top w:val="double" w:color="auto" w:sz="4" w:space="0"/>
              <w:left w:val="double" w:color="auto" w:sz="4" w:space="0"/>
              <w:bottom w:val="double" w:color="auto" w:sz="4" w:space="0"/>
            </w:tcBorders>
            <w:noWrap w:val="0"/>
            <w:vAlign w:val="center"/>
          </w:tcPr>
          <w:p>
            <w:pPr>
              <w:spacing w:line="360" w:lineRule="auto"/>
              <w:jc w:val="center"/>
              <w:rPr>
                <w:rFonts w:hint="eastAsia"/>
                <w:sz w:val="24"/>
                <w:highlight w:val="none"/>
              </w:rPr>
            </w:pPr>
            <w:r>
              <w:rPr>
                <w:rFonts w:hint="eastAsia" w:ascii="宋体" w:hAnsi="宋体"/>
                <w:color w:val="auto"/>
                <w:sz w:val="24"/>
                <w:highlight w:val="none"/>
              </w:rPr>
              <w:t>序号</w:t>
            </w:r>
          </w:p>
        </w:tc>
        <w:tc>
          <w:tcPr>
            <w:tcW w:w="470" w:type="pct"/>
            <w:tcBorders>
              <w:top w:val="double" w:color="auto" w:sz="4" w:space="0"/>
              <w:bottom w:val="double" w:color="auto" w:sz="4" w:space="0"/>
            </w:tcBorders>
            <w:noWrap w:val="0"/>
            <w:vAlign w:val="center"/>
          </w:tcPr>
          <w:p>
            <w:pPr>
              <w:spacing w:line="360" w:lineRule="auto"/>
              <w:jc w:val="center"/>
              <w:rPr>
                <w:rFonts w:hint="eastAsia"/>
                <w:sz w:val="24"/>
                <w:highlight w:val="none"/>
              </w:rPr>
            </w:pPr>
            <w:r>
              <w:rPr>
                <w:rFonts w:hint="eastAsia" w:ascii="宋体" w:hAnsi="宋体"/>
                <w:color w:val="auto"/>
                <w:sz w:val="24"/>
                <w:highlight w:val="none"/>
              </w:rPr>
              <w:t>名称</w:t>
            </w:r>
          </w:p>
        </w:tc>
        <w:tc>
          <w:tcPr>
            <w:tcW w:w="761" w:type="pct"/>
            <w:tcBorders>
              <w:top w:val="double" w:color="auto" w:sz="4" w:space="0"/>
              <w:bottom w:val="double" w:color="auto" w:sz="4" w:space="0"/>
            </w:tcBorders>
            <w:noWrap w:val="0"/>
            <w:vAlign w:val="center"/>
          </w:tcPr>
          <w:p>
            <w:pPr>
              <w:spacing w:line="360" w:lineRule="auto"/>
              <w:jc w:val="center"/>
              <w:rPr>
                <w:rFonts w:hint="eastAsia"/>
                <w:sz w:val="24"/>
                <w:highlight w:val="none"/>
              </w:rPr>
            </w:pPr>
            <w:r>
              <w:rPr>
                <w:rFonts w:hint="eastAsia" w:ascii="宋体" w:hAnsi="宋体"/>
                <w:color w:val="auto"/>
                <w:sz w:val="24"/>
                <w:highlight w:val="none"/>
              </w:rPr>
              <w:t>型号规格</w:t>
            </w:r>
          </w:p>
        </w:tc>
        <w:tc>
          <w:tcPr>
            <w:tcW w:w="557" w:type="pct"/>
            <w:tcBorders>
              <w:top w:val="double" w:color="auto" w:sz="4" w:space="0"/>
              <w:bottom w:val="double" w:color="auto" w:sz="4" w:space="0"/>
            </w:tcBorders>
            <w:noWrap w:val="0"/>
            <w:vAlign w:val="center"/>
          </w:tcPr>
          <w:p>
            <w:pPr>
              <w:spacing w:line="360" w:lineRule="auto"/>
              <w:jc w:val="center"/>
              <w:rPr>
                <w:rFonts w:hint="eastAsia"/>
                <w:sz w:val="24"/>
                <w:highlight w:val="none"/>
              </w:rPr>
            </w:pPr>
            <w:r>
              <w:rPr>
                <w:rFonts w:hint="eastAsia" w:ascii="宋体" w:hAnsi="宋体"/>
                <w:color w:val="auto"/>
                <w:sz w:val="24"/>
                <w:highlight w:val="none"/>
              </w:rPr>
              <w:t>品牌</w:t>
            </w:r>
          </w:p>
        </w:tc>
        <w:tc>
          <w:tcPr>
            <w:tcW w:w="838" w:type="pct"/>
            <w:tcBorders>
              <w:top w:val="double" w:color="auto" w:sz="4" w:space="0"/>
              <w:bottom w:val="double" w:color="auto" w:sz="4" w:space="0"/>
            </w:tcBorders>
            <w:noWrap w:val="0"/>
            <w:vAlign w:val="center"/>
          </w:tcPr>
          <w:p>
            <w:pPr>
              <w:spacing w:line="360" w:lineRule="auto"/>
              <w:jc w:val="center"/>
              <w:rPr>
                <w:rFonts w:hint="eastAsia"/>
                <w:sz w:val="24"/>
                <w:highlight w:val="none"/>
              </w:rPr>
            </w:pPr>
            <w:r>
              <w:rPr>
                <w:rFonts w:hint="eastAsia" w:ascii="宋体" w:hAnsi="宋体"/>
                <w:color w:val="auto"/>
                <w:sz w:val="24"/>
                <w:highlight w:val="none"/>
                <w:lang w:eastAsia="zh-CN"/>
              </w:rPr>
              <w:t>生产</w:t>
            </w:r>
            <w:r>
              <w:rPr>
                <w:rFonts w:hint="eastAsia" w:ascii="宋体" w:hAnsi="宋体"/>
                <w:color w:val="auto"/>
                <w:sz w:val="24"/>
                <w:highlight w:val="none"/>
              </w:rPr>
              <w:t>厂</w:t>
            </w:r>
            <w:r>
              <w:rPr>
                <w:rFonts w:hint="eastAsia" w:ascii="宋体" w:hAnsi="宋体"/>
                <w:color w:val="auto"/>
                <w:sz w:val="24"/>
                <w:highlight w:val="none"/>
                <w:lang w:eastAsia="zh-CN"/>
              </w:rPr>
              <w:t>家</w:t>
            </w:r>
          </w:p>
        </w:tc>
        <w:tc>
          <w:tcPr>
            <w:tcW w:w="403" w:type="pct"/>
            <w:tcBorders>
              <w:top w:val="double" w:color="auto" w:sz="4" w:space="0"/>
              <w:bottom w:val="double" w:color="auto" w:sz="4" w:space="0"/>
            </w:tcBorders>
            <w:noWrap w:val="0"/>
            <w:vAlign w:val="center"/>
          </w:tcPr>
          <w:p>
            <w:pPr>
              <w:spacing w:line="360" w:lineRule="auto"/>
              <w:jc w:val="center"/>
              <w:rPr>
                <w:rFonts w:hint="eastAsia"/>
                <w:color w:val="auto"/>
                <w:sz w:val="24"/>
                <w:highlight w:val="none"/>
                <w:lang w:eastAsia="zh-CN"/>
              </w:rPr>
            </w:pPr>
            <w:r>
              <w:rPr>
                <w:rFonts w:hint="eastAsia"/>
                <w:color w:val="auto"/>
                <w:sz w:val="24"/>
                <w:highlight w:val="none"/>
                <w:lang w:eastAsia="zh-CN"/>
              </w:rPr>
              <w:t>注册</w:t>
            </w:r>
          </w:p>
          <w:p>
            <w:pPr>
              <w:spacing w:line="360" w:lineRule="auto"/>
              <w:jc w:val="center"/>
              <w:rPr>
                <w:rFonts w:hint="eastAsia"/>
                <w:sz w:val="24"/>
                <w:highlight w:val="none"/>
              </w:rPr>
            </w:pPr>
            <w:r>
              <w:rPr>
                <w:rFonts w:hint="eastAsia"/>
                <w:color w:val="auto"/>
                <w:sz w:val="24"/>
                <w:highlight w:val="none"/>
                <w:lang w:eastAsia="zh-CN"/>
              </w:rPr>
              <w:t>证号</w:t>
            </w:r>
          </w:p>
        </w:tc>
        <w:tc>
          <w:tcPr>
            <w:tcW w:w="504" w:type="pct"/>
            <w:tcBorders>
              <w:top w:val="double" w:color="auto" w:sz="4" w:space="0"/>
              <w:bottom w:val="double" w:color="auto" w:sz="4" w:space="0"/>
            </w:tcBorders>
            <w:noWrap w:val="0"/>
            <w:vAlign w:val="center"/>
          </w:tcPr>
          <w:p>
            <w:pPr>
              <w:spacing w:line="360" w:lineRule="auto"/>
              <w:jc w:val="center"/>
              <w:rPr>
                <w:rFonts w:hint="eastAsia"/>
                <w:sz w:val="24"/>
                <w:highlight w:val="none"/>
              </w:rPr>
            </w:pPr>
            <w:r>
              <w:rPr>
                <w:rFonts w:hint="eastAsia" w:ascii="宋体" w:hAnsi="宋体"/>
                <w:color w:val="auto"/>
                <w:sz w:val="24"/>
                <w:highlight w:val="none"/>
              </w:rPr>
              <w:t>国别</w:t>
            </w:r>
          </w:p>
        </w:tc>
        <w:tc>
          <w:tcPr>
            <w:tcW w:w="504" w:type="pct"/>
            <w:tcBorders>
              <w:top w:val="double" w:color="auto" w:sz="4" w:space="0"/>
              <w:bottom w:val="double" w:color="auto" w:sz="4" w:space="0"/>
            </w:tcBorders>
            <w:noWrap w:val="0"/>
            <w:vAlign w:val="center"/>
          </w:tcPr>
          <w:p>
            <w:pPr>
              <w:spacing w:line="360" w:lineRule="auto"/>
              <w:jc w:val="center"/>
              <w:rPr>
                <w:rFonts w:hint="eastAsia"/>
                <w:sz w:val="24"/>
                <w:highlight w:val="none"/>
              </w:rPr>
            </w:pPr>
            <w:r>
              <w:rPr>
                <w:rFonts w:hint="eastAsia"/>
                <w:sz w:val="24"/>
                <w:highlight w:val="none"/>
              </w:rPr>
              <w:t>单价</w:t>
            </w:r>
          </w:p>
        </w:tc>
        <w:tc>
          <w:tcPr>
            <w:tcW w:w="606" w:type="pct"/>
            <w:tcBorders>
              <w:top w:val="double" w:color="auto" w:sz="4" w:space="0"/>
              <w:bottom w:val="double" w:color="auto" w:sz="4" w:space="0"/>
              <w:right w:val="double" w:color="auto" w:sz="4" w:space="0"/>
            </w:tcBorders>
            <w:noWrap w:val="0"/>
            <w:vAlign w:val="center"/>
          </w:tcPr>
          <w:p>
            <w:pPr>
              <w:spacing w:line="360" w:lineRule="auto"/>
              <w:jc w:val="center"/>
              <w:rPr>
                <w:rFonts w:hint="eastAsia"/>
                <w:sz w:val="24"/>
                <w:highlight w:val="none"/>
              </w:rPr>
            </w:pPr>
            <w:r>
              <w:rPr>
                <w:rFonts w:hint="eastAsia"/>
                <w:sz w:val="24"/>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9" w:hRule="atLeast"/>
        </w:trPr>
        <w:tc>
          <w:tcPr>
            <w:tcW w:w="354" w:type="pct"/>
            <w:tcBorders>
              <w:top w:val="double" w:color="auto" w:sz="4" w:space="0"/>
              <w:left w:val="double" w:color="auto" w:sz="4" w:space="0"/>
            </w:tcBorders>
            <w:noWrap w:val="0"/>
            <w:vAlign w:val="top"/>
          </w:tcPr>
          <w:p>
            <w:pPr>
              <w:spacing w:line="360" w:lineRule="auto"/>
              <w:rPr>
                <w:rFonts w:hint="eastAsia"/>
                <w:sz w:val="24"/>
                <w:highlight w:val="none"/>
              </w:rPr>
            </w:pPr>
          </w:p>
        </w:tc>
        <w:tc>
          <w:tcPr>
            <w:tcW w:w="470" w:type="pct"/>
            <w:tcBorders>
              <w:top w:val="double" w:color="auto" w:sz="4" w:space="0"/>
            </w:tcBorders>
            <w:noWrap w:val="0"/>
            <w:vAlign w:val="top"/>
          </w:tcPr>
          <w:p>
            <w:pPr>
              <w:spacing w:line="360" w:lineRule="auto"/>
              <w:rPr>
                <w:rFonts w:hint="eastAsia"/>
                <w:sz w:val="24"/>
                <w:highlight w:val="none"/>
              </w:rPr>
            </w:pPr>
          </w:p>
        </w:tc>
        <w:tc>
          <w:tcPr>
            <w:tcW w:w="761" w:type="pct"/>
            <w:tcBorders>
              <w:top w:val="double" w:color="auto" w:sz="4" w:space="0"/>
            </w:tcBorders>
            <w:noWrap w:val="0"/>
            <w:vAlign w:val="top"/>
          </w:tcPr>
          <w:p>
            <w:pPr>
              <w:spacing w:line="360" w:lineRule="auto"/>
              <w:rPr>
                <w:rFonts w:hint="eastAsia"/>
                <w:sz w:val="24"/>
                <w:highlight w:val="none"/>
              </w:rPr>
            </w:pPr>
          </w:p>
        </w:tc>
        <w:tc>
          <w:tcPr>
            <w:tcW w:w="557" w:type="pct"/>
            <w:tcBorders>
              <w:top w:val="double" w:color="auto" w:sz="4" w:space="0"/>
            </w:tcBorders>
            <w:noWrap w:val="0"/>
            <w:vAlign w:val="top"/>
          </w:tcPr>
          <w:p>
            <w:pPr>
              <w:spacing w:line="360" w:lineRule="auto"/>
              <w:rPr>
                <w:rFonts w:hint="eastAsia"/>
                <w:sz w:val="24"/>
                <w:highlight w:val="none"/>
              </w:rPr>
            </w:pPr>
          </w:p>
        </w:tc>
        <w:tc>
          <w:tcPr>
            <w:tcW w:w="838" w:type="pct"/>
            <w:tcBorders>
              <w:top w:val="double" w:color="auto" w:sz="4" w:space="0"/>
            </w:tcBorders>
            <w:noWrap w:val="0"/>
            <w:vAlign w:val="top"/>
          </w:tcPr>
          <w:p>
            <w:pPr>
              <w:spacing w:line="360" w:lineRule="auto"/>
              <w:rPr>
                <w:rFonts w:hint="eastAsia"/>
                <w:sz w:val="24"/>
                <w:highlight w:val="none"/>
              </w:rPr>
            </w:pPr>
          </w:p>
        </w:tc>
        <w:tc>
          <w:tcPr>
            <w:tcW w:w="403" w:type="pct"/>
            <w:tcBorders>
              <w:top w:val="double" w:color="auto" w:sz="4" w:space="0"/>
            </w:tcBorders>
            <w:noWrap w:val="0"/>
            <w:vAlign w:val="top"/>
          </w:tcPr>
          <w:p>
            <w:pPr>
              <w:spacing w:line="360" w:lineRule="auto"/>
              <w:rPr>
                <w:rFonts w:hint="eastAsia"/>
                <w:sz w:val="24"/>
                <w:highlight w:val="none"/>
              </w:rPr>
            </w:pPr>
          </w:p>
        </w:tc>
        <w:tc>
          <w:tcPr>
            <w:tcW w:w="504" w:type="pct"/>
            <w:tcBorders>
              <w:top w:val="double" w:color="auto" w:sz="4" w:space="0"/>
            </w:tcBorders>
            <w:noWrap w:val="0"/>
            <w:vAlign w:val="top"/>
          </w:tcPr>
          <w:p>
            <w:pPr>
              <w:spacing w:line="360" w:lineRule="auto"/>
              <w:rPr>
                <w:rFonts w:hint="eastAsia"/>
                <w:sz w:val="24"/>
                <w:highlight w:val="none"/>
              </w:rPr>
            </w:pPr>
          </w:p>
        </w:tc>
        <w:tc>
          <w:tcPr>
            <w:tcW w:w="504" w:type="pct"/>
            <w:tcBorders>
              <w:top w:val="double" w:color="auto" w:sz="4" w:space="0"/>
            </w:tcBorders>
            <w:noWrap w:val="0"/>
            <w:vAlign w:val="top"/>
          </w:tcPr>
          <w:p>
            <w:pPr>
              <w:spacing w:line="360" w:lineRule="auto"/>
              <w:rPr>
                <w:rFonts w:hint="eastAsia"/>
                <w:sz w:val="24"/>
                <w:highlight w:val="none"/>
              </w:rPr>
            </w:pPr>
          </w:p>
        </w:tc>
        <w:tc>
          <w:tcPr>
            <w:tcW w:w="606" w:type="pct"/>
            <w:tcBorders>
              <w:top w:val="double" w:color="auto" w:sz="4" w:space="0"/>
              <w:right w:val="double" w:color="auto" w:sz="4" w:space="0"/>
            </w:tcBorders>
            <w:noWrap w:val="0"/>
            <w:vAlign w:val="top"/>
          </w:tcPr>
          <w:p>
            <w:pPr>
              <w:spacing w:line="360" w:lineRule="auto"/>
              <w:rPr>
                <w:rFonts w:hint="eastAsia"/>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9" w:hRule="atLeast"/>
        </w:trPr>
        <w:tc>
          <w:tcPr>
            <w:tcW w:w="354" w:type="pct"/>
            <w:tcBorders>
              <w:left w:val="double" w:color="auto" w:sz="4" w:space="0"/>
            </w:tcBorders>
            <w:noWrap w:val="0"/>
            <w:vAlign w:val="top"/>
          </w:tcPr>
          <w:p>
            <w:pPr>
              <w:spacing w:line="360" w:lineRule="auto"/>
              <w:rPr>
                <w:rFonts w:hint="eastAsia"/>
                <w:sz w:val="24"/>
                <w:highlight w:val="none"/>
              </w:rPr>
            </w:pPr>
          </w:p>
        </w:tc>
        <w:tc>
          <w:tcPr>
            <w:tcW w:w="470" w:type="pct"/>
            <w:noWrap w:val="0"/>
            <w:vAlign w:val="top"/>
          </w:tcPr>
          <w:p>
            <w:pPr>
              <w:spacing w:line="360" w:lineRule="auto"/>
              <w:rPr>
                <w:rFonts w:hint="eastAsia"/>
                <w:sz w:val="24"/>
                <w:highlight w:val="none"/>
              </w:rPr>
            </w:pPr>
          </w:p>
        </w:tc>
        <w:tc>
          <w:tcPr>
            <w:tcW w:w="761" w:type="pct"/>
            <w:noWrap w:val="0"/>
            <w:vAlign w:val="top"/>
          </w:tcPr>
          <w:p>
            <w:pPr>
              <w:spacing w:line="360" w:lineRule="auto"/>
              <w:rPr>
                <w:rFonts w:hint="eastAsia"/>
                <w:sz w:val="24"/>
                <w:highlight w:val="none"/>
              </w:rPr>
            </w:pPr>
          </w:p>
        </w:tc>
        <w:tc>
          <w:tcPr>
            <w:tcW w:w="557" w:type="pct"/>
            <w:noWrap w:val="0"/>
            <w:vAlign w:val="top"/>
          </w:tcPr>
          <w:p>
            <w:pPr>
              <w:spacing w:line="360" w:lineRule="auto"/>
              <w:rPr>
                <w:rFonts w:hint="eastAsia"/>
                <w:sz w:val="24"/>
                <w:highlight w:val="none"/>
              </w:rPr>
            </w:pPr>
          </w:p>
        </w:tc>
        <w:tc>
          <w:tcPr>
            <w:tcW w:w="838" w:type="pct"/>
            <w:noWrap w:val="0"/>
            <w:vAlign w:val="top"/>
          </w:tcPr>
          <w:p>
            <w:pPr>
              <w:spacing w:line="360" w:lineRule="auto"/>
              <w:rPr>
                <w:rFonts w:hint="eastAsia"/>
                <w:sz w:val="24"/>
                <w:highlight w:val="none"/>
              </w:rPr>
            </w:pPr>
          </w:p>
        </w:tc>
        <w:tc>
          <w:tcPr>
            <w:tcW w:w="403" w:type="pct"/>
            <w:noWrap w:val="0"/>
            <w:vAlign w:val="top"/>
          </w:tcPr>
          <w:p>
            <w:pPr>
              <w:spacing w:line="360" w:lineRule="auto"/>
              <w:rPr>
                <w:rFonts w:hint="eastAsia"/>
                <w:sz w:val="24"/>
                <w:highlight w:val="none"/>
              </w:rPr>
            </w:pPr>
          </w:p>
        </w:tc>
        <w:tc>
          <w:tcPr>
            <w:tcW w:w="504" w:type="pct"/>
            <w:noWrap w:val="0"/>
            <w:vAlign w:val="top"/>
          </w:tcPr>
          <w:p>
            <w:pPr>
              <w:spacing w:line="360" w:lineRule="auto"/>
              <w:rPr>
                <w:rFonts w:hint="eastAsia"/>
                <w:sz w:val="24"/>
                <w:highlight w:val="none"/>
              </w:rPr>
            </w:pPr>
          </w:p>
        </w:tc>
        <w:tc>
          <w:tcPr>
            <w:tcW w:w="504" w:type="pct"/>
            <w:noWrap w:val="0"/>
            <w:vAlign w:val="top"/>
          </w:tcPr>
          <w:p>
            <w:pPr>
              <w:spacing w:line="360" w:lineRule="auto"/>
              <w:rPr>
                <w:rFonts w:hint="eastAsia"/>
                <w:sz w:val="24"/>
                <w:highlight w:val="none"/>
              </w:rPr>
            </w:pPr>
          </w:p>
        </w:tc>
        <w:tc>
          <w:tcPr>
            <w:tcW w:w="606" w:type="pct"/>
            <w:tcBorders>
              <w:right w:val="double" w:color="auto" w:sz="4" w:space="0"/>
            </w:tcBorders>
            <w:noWrap w:val="0"/>
            <w:vAlign w:val="top"/>
          </w:tcPr>
          <w:p>
            <w:pPr>
              <w:spacing w:line="360" w:lineRule="auto"/>
              <w:rPr>
                <w:rFonts w:hint="eastAsia"/>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9" w:hRule="atLeast"/>
        </w:trPr>
        <w:tc>
          <w:tcPr>
            <w:tcW w:w="354" w:type="pct"/>
            <w:tcBorders>
              <w:left w:val="double" w:color="auto" w:sz="4" w:space="0"/>
            </w:tcBorders>
            <w:noWrap w:val="0"/>
            <w:vAlign w:val="top"/>
          </w:tcPr>
          <w:p>
            <w:pPr>
              <w:spacing w:line="360" w:lineRule="auto"/>
              <w:rPr>
                <w:rFonts w:hint="eastAsia"/>
                <w:sz w:val="24"/>
                <w:highlight w:val="none"/>
              </w:rPr>
            </w:pPr>
          </w:p>
        </w:tc>
        <w:tc>
          <w:tcPr>
            <w:tcW w:w="470" w:type="pct"/>
            <w:noWrap w:val="0"/>
            <w:vAlign w:val="top"/>
          </w:tcPr>
          <w:p>
            <w:pPr>
              <w:spacing w:line="360" w:lineRule="auto"/>
              <w:rPr>
                <w:rFonts w:hint="eastAsia"/>
                <w:sz w:val="24"/>
                <w:highlight w:val="none"/>
              </w:rPr>
            </w:pPr>
          </w:p>
        </w:tc>
        <w:tc>
          <w:tcPr>
            <w:tcW w:w="761" w:type="pct"/>
            <w:noWrap w:val="0"/>
            <w:vAlign w:val="top"/>
          </w:tcPr>
          <w:p>
            <w:pPr>
              <w:spacing w:line="360" w:lineRule="auto"/>
              <w:rPr>
                <w:rFonts w:hint="eastAsia"/>
                <w:sz w:val="24"/>
                <w:highlight w:val="none"/>
              </w:rPr>
            </w:pPr>
          </w:p>
        </w:tc>
        <w:tc>
          <w:tcPr>
            <w:tcW w:w="557" w:type="pct"/>
            <w:noWrap w:val="0"/>
            <w:vAlign w:val="top"/>
          </w:tcPr>
          <w:p>
            <w:pPr>
              <w:spacing w:line="360" w:lineRule="auto"/>
              <w:rPr>
                <w:rFonts w:hint="eastAsia"/>
                <w:sz w:val="24"/>
                <w:highlight w:val="none"/>
              </w:rPr>
            </w:pPr>
          </w:p>
        </w:tc>
        <w:tc>
          <w:tcPr>
            <w:tcW w:w="838" w:type="pct"/>
            <w:noWrap w:val="0"/>
            <w:vAlign w:val="top"/>
          </w:tcPr>
          <w:p>
            <w:pPr>
              <w:spacing w:line="360" w:lineRule="auto"/>
              <w:rPr>
                <w:rFonts w:hint="eastAsia"/>
                <w:sz w:val="24"/>
                <w:highlight w:val="none"/>
              </w:rPr>
            </w:pPr>
          </w:p>
        </w:tc>
        <w:tc>
          <w:tcPr>
            <w:tcW w:w="403" w:type="pct"/>
            <w:noWrap w:val="0"/>
            <w:vAlign w:val="top"/>
          </w:tcPr>
          <w:p>
            <w:pPr>
              <w:spacing w:line="360" w:lineRule="auto"/>
              <w:rPr>
                <w:rFonts w:hint="eastAsia"/>
                <w:sz w:val="24"/>
                <w:highlight w:val="none"/>
              </w:rPr>
            </w:pPr>
          </w:p>
        </w:tc>
        <w:tc>
          <w:tcPr>
            <w:tcW w:w="504" w:type="pct"/>
            <w:noWrap w:val="0"/>
            <w:vAlign w:val="top"/>
          </w:tcPr>
          <w:p>
            <w:pPr>
              <w:spacing w:line="360" w:lineRule="auto"/>
              <w:rPr>
                <w:rFonts w:hint="eastAsia"/>
                <w:sz w:val="24"/>
                <w:highlight w:val="none"/>
              </w:rPr>
            </w:pPr>
          </w:p>
        </w:tc>
        <w:tc>
          <w:tcPr>
            <w:tcW w:w="504" w:type="pct"/>
            <w:noWrap w:val="0"/>
            <w:vAlign w:val="top"/>
          </w:tcPr>
          <w:p>
            <w:pPr>
              <w:spacing w:line="360" w:lineRule="auto"/>
              <w:rPr>
                <w:rFonts w:hint="eastAsia"/>
                <w:sz w:val="24"/>
                <w:highlight w:val="none"/>
              </w:rPr>
            </w:pPr>
          </w:p>
        </w:tc>
        <w:tc>
          <w:tcPr>
            <w:tcW w:w="606" w:type="pct"/>
            <w:tcBorders>
              <w:right w:val="double" w:color="auto" w:sz="4" w:space="0"/>
            </w:tcBorders>
            <w:noWrap w:val="0"/>
            <w:vAlign w:val="top"/>
          </w:tcPr>
          <w:p>
            <w:pPr>
              <w:spacing w:line="360" w:lineRule="auto"/>
              <w:rPr>
                <w:rFonts w:hint="eastAsia"/>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9" w:hRule="atLeast"/>
        </w:trPr>
        <w:tc>
          <w:tcPr>
            <w:tcW w:w="354" w:type="pct"/>
            <w:tcBorders>
              <w:left w:val="double" w:color="auto" w:sz="4" w:space="0"/>
            </w:tcBorders>
            <w:noWrap w:val="0"/>
            <w:vAlign w:val="top"/>
          </w:tcPr>
          <w:p>
            <w:pPr>
              <w:spacing w:line="360" w:lineRule="auto"/>
              <w:rPr>
                <w:rFonts w:hint="eastAsia"/>
                <w:sz w:val="24"/>
                <w:highlight w:val="none"/>
              </w:rPr>
            </w:pPr>
          </w:p>
        </w:tc>
        <w:tc>
          <w:tcPr>
            <w:tcW w:w="470" w:type="pct"/>
            <w:noWrap w:val="0"/>
            <w:vAlign w:val="top"/>
          </w:tcPr>
          <w:p>
            <w:pPr>
              <w:spacing w:line="360" w:lineRule="auto"/>
              <w:rPr>
                <w:rFonts w:hint="eastAsia"/>
                <w:sz w:val="24"/>
                <w:highlight w:val="none"/>
              </w:rPr>
            </w:pPr>
          </w:p>
        </w:tc>
        <w:tc>
          <w:tcPr>
            <w:tcW w:w="761" w:type="pct"/>
            <w:noWrap w:val="0"/>
            <w:vAlign w:val="top"/>
          </w:tcPr>
          <w:p>
            <w:pPr>
              <w:spacing w:line="360" w:lineRule="auto"/>
              <w:rPr>
                <w:rFonts w:hint="eastAsia"/>
                <w:sz w:val="24"/>
                <w:highlight w:val="none"/>
              </w:rPr>
            </w:pPr>
          </w:p>
        </w:tc>
        <w:tc>
          <w:tcPr>
            <w:tcW w:w="557" w:type="pct"/>
            <w:noWrap w:val="0"/>
            <w:vAlign w:val="top"/>
          </w:tcPr>
          <w:p>
            <w:pPr>
              <w:spacing w:line="360" w:lineRule="auto"/>
              <w:rPr>
                <w:rFonts w:hint="eastAsia"/>
                <w:sz w:val="24"/>
                <w:highlight w:val="none"/>
              </w:rPr>
            </w:pPr>
          </w:p>
        </w:tc>
        <w:tc>
          <w:tcPr>
            <w:tcW w:w="838" w:type="pct"/>
            <w:noWrap w:val="0"/>
            <w:vAlign w:val="top"/>
          </w:tcPr>
          <w:p>
            <w:pPr>
              <w:spacing w:line="360" w:lineRule="auto"/>
              <w:rPr>
                <w:rFonts w:hint="eastAsia"/>
                <w:sz w:val="24"/>
                <w:highlight w:val="none"/>
              </w:rPr>
            </w:pPr>
          </w:p>
        </w:tc>
        <w:tc>
          <w:tcPr>
            <w:tcW w:w="403" w:type="pct"/>
            <w:noWrap w:val="0"/>
            <w:vAlign w:val="top"/>
          </w:tcPr>
          <w:p>
            <w:pPr>
              <w:spacing w:line="360" w:lineRule="auto"/>
              <w:rPr>
                <w:rFonts w:hint="eastAsia"/>
                <w:sz w:val="24"/>
                <w:highlight w:val="none"/>
              </w:rPr>
            </w:pPr>
          </w:p>
        </w:tc>
        <w:tc>
          <w:tcPr>
            <w:tcW w:w="504" w:type="pct"/>
            <w:noWrap w:val="0"/>
            <w:vAlign w:val="top"/>
          </w:tcPr>
          <w:p>
            <w:pPr>
              <w:spacing w:line="360" w:lineRule="auto"/>
              <w:rPr>
                <w:rFonts w:hint="eastAsia"/>
                <w:sz w:val="24"/>
                <w:highlight w:val="none"/>
              </w:rPr>
            </w:pPr>
          </w:p>
        </w:tc>
        <w:tc>
          <w:tcPr>
            <w:tcW w:w="504" w:type="pct"/>
            <w:noWrap w:val="0"/>
            <w:vAlign w:val="top"/>
          </w:tcPr>
          <w:p>
            <w:pPr>
              <w:spacing w:line="360" w:lineRule="auto"/>
              <w:rPr>
                <w:rFonts w:hint="eastAsia"/>
                <w:sz w:val="24"/>
                <w:highlight w:val="none"/>
              </w:rPr>
            </w:pPr>
          </w:p>
        </w:tc>
        <w:tc>
          <w:tcPr>
            <w:tcW w:w="606" w:type="pct"/>
            <w:tcBorders>
              <w:right w:val="double" w:color="auto" w:sz="4" w:space="0"/>
            </w:tcBorders>
            <w:noWrap w:val="0"/>
            <w:vAlign w:val="top"/>
          </w:tcPr>
          <w:p>
            <w:pPr>
              <w:spacing w:line="360" w:lineRule="auto"/>
              <w:rPr>
                <w:rFonts w:hint="eastAsia"/>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9" w:hRule="atLeast"/>
        </w:trPr>
        <w:tc>
          <w:tcPr>
            <w:tcW w:w="354" w:type="pct"/>
            <w:tcBorders>
              <w:left w:val="double" w:color="auto" w:sz="4" w:space="0"/>
            </w:tcBorders>
            <w:noWrap w:val="0"/>
            <w:vAlign w:val="top"/>
          </w:tcPr>
          <w:p>
            <w:pPr>
              <w:spacing w:line="360" w:lineRule="auto"/>
              <w:rPr>
                <w:rFonts w:hint="eastAsia"/>
                <w:sz w:val="24"/>
                <w:highlight w:val="none"/>
              </w:rPr>
            </w:pPr>
          </w:p>
        </w:tc>
        <w:tc>
          <w:tcPr>
            <w:tcW w:w="470" w:type="pct"/>
            <w:noWrap w:val="0"/>
            <w:vAlign w:val="top"/>
          </w:tcPr>
          <w:p>
            <w:pPr>
              <w:spacing w:line="360" w:lineRule="auto"/>
              <w:rPr>
                <w:rFonts w:hint="eastAsia"/>
                <w:sz w:val="24"/>
                <w:highlight w:val="none"/>
              </w:rPr>
            </w:pPr>
          </w:p>
        </w:tc>
        <w:tc>
          <w:tcPr>
            <w:tcW w:w="761" w:type="pct"/>
            <w:noWrap w:val="0"/>
            <w:vAlign w:val="top"/>
          </w:tcPr>
          <w:p>
            <w:pPr>
              <w:spacing w:line="360" w:lineRule="auto"/>
              <w:rPr>
                <w:rFonts w:hint="eastAsia"/>
                <w:sz w:val="24"/>
                <w:highlight w:val="none"/>
              </w:rPr>
            </w:pPr>
          </w:p>
        </w:tc>
        <w:tc>
          <w:tcPr>
            <w:tcW w:w="557" w:type="pct"/>
            <w:noWrap w:val="0"/>
            <w:vAlign w:val="top"/>
          </w:tcPr>
          <w:p>
            <w:pPr>
              <w:spacing w:line="360" w:lineRule="auto"/>
              <w:rPr>
                <w:rFonts w:hint="eastAsia"/>
                <w:sz w:val="24"/>
                <w:highlight w:val="none"/>
              </w:rPr>
            </w:pPr>
          </w:p>
        </w:tc>
        <w:tc>
          <w:tcPr>
            <w:tcW w:w="838" w:type="pct"/>
            <w:noWrap w:val="0"/>
            <w:vAlign w:val="top"/>
          </w:tcPr>
          <w:p>
            <w:pPr>
              <w:spacing w:line="360" w:lineRule="auto"/>
              <w:rPr>
                <w:rFonts w:hint="eastAsia"/>
                <w:sz w:val="24"/>
                <w:highlight w:val="none"/>
              </w:rPr>
            </w:pPr>
          </w:p>
        </w:tc>
        <w:tc>
          <w:tcPr>
            <w:tcW w:w="403" w:type="pct"/>
            <w:noWrap w:val="0"/>
            <w:vAlign w:val="top"/>
          </w:tcPr>
          <w:p>
            <w:pPr>
              <w:spacing w:line="360" w:lineRule="auto"/>
              <w:rPr>
                <w:rFonts w:hint="eastAsia"/>
                <w:sz w:val="24"/>
                <w:highlight w:val="none"/>
              </w:rPr>
            </w:pPr>
          </w:p>
        </w:tc>
        <w:tc>
          <w:tcPr>
            <w:tcW w:w="504" w:type="pct"/>
            <w:noWrap w:val="0"/>
            <w:vAlign w:val="top"/>
          </w:tcPr>
          <w:p>
            <w:pPr>
              <w:spacing w:line="360" w:lineRule="auto"/>
              <w:rPr>
                <w:rFonts w:hint="eastAsia"/>
                <w:sz w:val="24"/>
                <w:highlight w:val="none"/>
              </w:rPr>
            </w:pPr>
          </w:p>
        </w:tc>
        <w:tc>
          <w:tcPr>
            <w:tcW w:w="504" w:type="pct"/>
            <w:noWrap w:val="0"/>
            <w:vAlign w:val="top"/>
          </w:tcPr>
          <w:p>
            <w:pPr>
              <w:spacing w:line="360" w:lineRule="auto"/>
              <w:rPr>
                <w:rFonts w:hint="eastAsia"/>
                <w:sz w:val="24"/>
                <w:highlight w:val="none"/>
              </w:rPr>
            </w:pPr>
          </w:p>
        </w:tc>
        <w:tc>
          <w:tcPr>
            <w:tcW w:w="606" w:type="pct"/>
            <w:tcBorders>
              <w:right w:val="double" w:color="auto" w:sz="4" w:space="0"/>
            </w:tcBorders>
            <w:noWrap w:val="0"/>
            <w:vAlign w:val="top"/>
          </w:tcPr>
          <w:p>
            <w:pPr>
              <w:spacing w:line="360" w:lineRule="auto"/>
              <w:rPr>
                <w:rFonts w:hint="eastAsia"/>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9" w:hRule="atLeast"/>
        </w:trPr>
        <w:tc>
          <w:tcPr>
            <w:tcW w:w="354" w:type="pct"/>
            <w:tcBorders>
              <w:left w:val="double" w:color="auto" w:sz="4" w:space="0"/>
              <w:bottom w:val="double" w:color="auto" w:sz="4" w:space="0"/>
            </w:tcBorders>
            <w:noWrap w:val="0"/>
            <w:vAlign w:val="top"/>
          </w:tcPr>
          <w:p>
            <w:pPr>
              <w:spacing w:line="360" w:lineRule="auto"/>
              <w:rPr>
                <w:rFonts w:hint="eastAsia"/>
                <w:sz w:val="24"/>
                <w:highlight w:val="none"/>
              </w:rPr>
            </w:pPr>
          </w:p>
        </w:tc>
        <w:tc>
          <w:tcPr>
            <w:tcW w:w="470" w:type="pct"/>
            <w:tcBorders>
              <w:bottom w:val="double" w:color="auto" w:sz="4" w:space="0"/>
            </w:tcBorders>
            <w:noWrap w:val="0"/>
            <w:vAlign w:val="top"/>
          </w:tcPr>
          <w:p>
            <w:pPr>
              <w:spacing w:line="360" w:lineRule="auto"/>
              <w:rPr>
                <w:rFonts w:hint="eastAsia"/>
                <w:sz w:val="24"/>
                <w:highlight w:val="none"/>
              </w:rPr>
            </w:pPr>
          </w:p>
        </w:tc>
        <w:tc>
          <w:tcPr>
            <w:tcW w:w="761" w:type="pct"/>
            <w:tcBorders>
              <w:bottom w:val="double" w:color="auto" w:sz="4" w:space="0"/>
            </w:tcBorders>
            <w:noWrap w:val="0"/>
            <w:vAlign w:val="top"/>
          </w:tcPr>
          <w:p>
            <w:pPr>
              <w:spacing w:line="360" w:lineRule="auto"/>
              <w:rPr>
                <w:rFonts w:hint="eastAsia"/>
                <w:sz w:val="24"/>
                <w:highlight w:val="none"/>
              </w:rPr>
            </w:pPr>
          </w:p>
        </w:tc>
        <w:tc>
          <w:tcPr>
            <w:tcW w:w="557" w:type="pct"/>
            <w:tcBorders>
              <w:bottom w:val="double" w:color="auto" w:sz="4" w:space="0"/>
            </w:tcBorders>
            <w:noWrap w:val="0"/>
            <w:vAlign w:val="top"/>
          </w:tcPr>
          <w:p>
            <w:pPr>
              <w:spacing w:line="360" w:lineRule="auto"/>
              <w:rPr>
                <w:rFonts w:hint="eastAsia"/>
                <w:sz w:val="24"/>
                <w:highlight w:val="none"/>
              </w:rPr>
            </w:pPr>
          </w:p>
        </w:tc>
        <w:tc>
          <w:tcPr>
            <w:tcW w:w="838" w:type="pct"/>
            <w:tcBorders>
              <w:bottom w:val="double" w:color="auto" w:sz="4" w:space="0"/>
            </w:tcBorders>
            <w:noWrap w:val="0"/>
            <w:vAlign w:val="top"/>
          </w:tcPr>
          <w:p>
            <w:pPr>
              <w:spacing w:line="360" w:lineRule="auto"/>
              <w:rPr>
                <w:rFonts w:hint="eastAsia"/>
                <w:sz w:val="24"/>
                <w:highlight w:val="none"/>
              </w:rPr>
            </w:pPr>
          </w:p>
        </w:tc>
        <w:tc>
          <w:tcPr>
            <w:tcW w:w="403" w:type="pct"/>
            <w:tcBorders>
              <w:bottom w:val="double" w:color="auto" w:sz="4" w:space="0"/>
            </w:tcBorders>
            <w:noWrap w:val="0"/>
            <w:vAlign w:val="top"/>
          </w:tcPr>
          <w:p>
            <w:pPr>
              <w:spacing w:line="360" w:lineRule="auto"/>
              <w:rPr>
                <w:rFonts w:hint="eastAsia"/>
                <w:sz w:val="24"/>
                <w:highlight w:val="none"/>
              </w:rPr>
            </w:pPr>
          </w:p>
        </w:tc>
        <w:tc>
          <w:tcPr>
            <w:tcW w:w="504" w:type="pct"/>
            <w:tcBorders>
              <w:bottom w:val="double" w:color="auto" w:sz="4" w:space="0"/>
            </w:tcBorders>
            <w:noWrap w:val="0"/>
            <w:vAlign w:val="top"/>
          </w:tcPr>
          <w:p>
            <w:pPr>
              <w:spacing w:line="360" w:lineRule="auto"/>
              <w:rPr>
                <w:rFonts w:hint="eastAsia"/>
                <w:sz w:val="24"/>
                <w:highlight w:val="none"/>
              </w:rPr>
            </w:pPr>
          </w:p>
        </w:tc>
        <w:tc>
          <w:tcPr>
            <w:tcW w:w="504" w:type="pct"/>
            <w:tcBorders>
              <w:bottom w:val="double" w:color="auto" w:sz="4" w:space="0"/>
            </w:tcBorders>
            <w:noWrap w:val="0"/>
            <w:vAlign w:val="top"/>
          </w:tcPr>
          <w:p>
            <w:pPr>
              <w:spacing w:line="360" w:lineRule="auto"/>
              <w:rPr>
                <w:rFonts w:hint="eastAsia"/>
                <w:sz w:val="24"/>
                <w:highlight w:val="none"/>
              </w:rPr>
            </w:pPr>
          </w:p>
        </w:tc>
        <w:tc>
          <w:tcPr>
            <w:tcW w:w="606" w:type="pct"/>
            <w:tcBorders>
              <w:bottom w:val="double" w:color="auto" w:sz="4" w:space="0"/>
              <w:right w:val="double" w:color="auto" w:sz="4" w:space="0"/>
            </w:tcBorders>
            <w:noWrap w:val="0"/>
            <w:vAlign w:val="top"/>
          </w:tcPr>
          <w:p>
            <w:pPr>
              <w:spacing w:line="360" w:lineRule="auto"/>
              <w:rPr>
                <w:rFonts w:hint="eastAsia"/>
                <w:sz w:val="24"/>
                <w:highlight w:val="none"/>
              </w:rPr>
            </w:pPr>
          </w:p>
        </w:tc>
      </w:tr>
    </w:tbl>
    <w:p>
      <w:pPr>
        <w:spacing w:line="360" w:lineRule="auto"/>
        <w:ind w:firstLine="240" w:firstLineChars="1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注：此表备品备件报价包含在投标总价中。</w:t>
      </w:r>
    </w:p>
    <w:p>
      <w:pPr>
        <w:spacing w:line="360" w:lineRule="auto"/>
        <w:ind w:right="480"/>
        <w:rPr>
          <w:rFonts w:ascii="宋体" w:hAnsi="宋体" w:cs="宋体"/>
          <w:spacing w:val="10"/>
          <w:sz w:val="24"/>
          <w:highlight w:val="none"/>
        </w:rPr>
      </w:pPr>
      <w:r>
        <w:rPr>
          <w:rFonts w:hint="eastAsia" w:ascii="宋体" w:hAnsi="宋体" w:cs="宋体"/>
          <w:spacing w:val="10"/>
          <w:sz w:val="24"/>
          <w:highlight w:val="none"/>
        </w:rPr>
        <w:t>投标人（盖章）：</w:t>
      </w:r>
    </w:p>
    <w:p>
      <w:pPr>
        <w:spacing w:line="360" w:lineRule="auto"/>
        <w:ind w:right="480"/>
        <w:rPr>
          <w:rFonts w:ascii="宋体" w:hAnsi="宋体" w:cs="宋体"/>
          <w:spacing w:val="10"/>
          <w:sz w:val="24"/>
          <w:highlight w:val="none"/>
        </w:rPr>
      </w:pPr>
      <w:r>
        <w:rPr>
          <w:rFonts w:hint="eastAsia" w:ascii="宋体" w:hAnsi="宋体" w:cs="宋体"/>
          <w:spacing w:val="10"/>
          <w:sz w:val="24"/>
          <w:highlight w:val="none"/>
        </w:rPr>
        <w:t>法定代表人或授权代表</w:t>
      </w:r>
      <w:r>
        <w:rPr>
          <w:rFonts w:hint="eastAsia" w:ascii="宋体" w:hAnsi="宋体" w:cs="宋体"/>
          <w:sz w:val="24"/>
          <w:highlight w:val="none"/>
        </w:rPr>
        <w:t>（签字或印章）</w:t>
      </w:r>
      <w:r>
        <w:rPr>
          <w:rFonts w:hint="eastAsia" w:ascii="宋体" w:hAnsi="宋体" w:cs="宋体"/>
          <w:spacing w:val="10"/>
          <w:sz w:val="24"/>
          <w:highlight w:val="none"/>
        </w:rPr>
        <w:t>：</w:t>
      </w:r>
    </w:p>
    <w:p>
      <w:pPr>
        <w:pStyle w:val="7"/>
        <w:numPr>
          <w:ilvl w:val="0"/>
          <w:numId w:val="0"/>
        </w:numPr>
        <w:spacing w:before="0" w:after="100" w:afterAutospacing="1"/>
        <w:jc w:val="both"/>
        <w:rPr>
          <w:rFonts w:hint="eastAsia" w:ascii="宋体" w:hAnsi="宋体" w:cs="宋体"/>
          <w:b w:val="0"/>
          <w:bCs w:val="0"/>
          <w:color w:val="000000"/>
          <w:spacing w:val="10"/>
          <w:highlight w:val="none"/>
          <w:lang w:val="en-US" w:eastAsia="zh-CN"/>
        </w:rPr>
      </w:pPr>
      <w:r>
        <w:rPr>
          <w:rFonts w:hint="eastAsia" w:ascii="宋体" w:hAnsi="宋体" w:cs="宋体"/>
          <w:b w:val="0"/>
          <w:bCs w:val="0"/>
          <w:spacing w:val="10"/>
          <w:sz w:val="24"/>
          <w:highlight w:val="none"/>
        </w:rPr>
        <w:t>日期：</w:t>
      </w:r>
    </w:p>
    <w:p>
      <w:pPr>
        <w:pStyle w:val="7"/>
        <w:numPr>
          <w:ilvl w:val="0"/>
          <w:numId w:val="0"/>
        </w:numPr>
        <w:spacing w:before="0" w:after="100" w:afterAutospacing="1"/>
        <w:rPr>
          <w:rFonts w:hint="eastAsia" w:ascii="宋体" w:hAnsi="宋体" w:cs="宋体"/>
          <w:color w:val="000000"/>
          <w:spacing w:val="10"/>
          <w:highlight w:val="none"/>
          <w:lang w:val="en-US" w:eastAsia="zh-CN"/>
        </w:rPr>
      </w:pPr>
    </w:p>
    <w:p>
      <w:pPr>
        <w:rPr>
          <w:rFonts w:hint="eastAsia" w:ascii="宋体" w:hAnsi="宋体" w:cs="宋体"/>
          <w:color w:val="000000"/>
          <w:spacing w:val="10"/>
          <w:highlight w:val="none"/>
          <w:lang w:val="en-US" w:eastAsia="zh-CN"/>
        </w:rPr>
      </w:pPr>
    </w:p>
    <w:p>
      <w:pPr>
        <w:pStyle w:val="3"/>
        <w:rPr>
          <w:rFonts w:hint="eastAsia" w:ascii="宋体" w:hAnsi="宋体" w:cs="宋体"/>
          <w:color w:val="000000"/>
          <w:spacing w:val="10"/>
          <w:highlight w:val="none"/>
          <w:lang w:val="en-US" w:eastAsia="zh-CN"/>
        </w:rPr>
      </w:pPr>
    </w:p>
    <w:p>
      <w:pPr>
        <w:pStyle w:val="4"/>
        <w:rPr>
          <w:rFonts w:hint="eastAsia" w:ascii="宋体" w:hAnsi="宋体" w:cs="宋体"/>
          <w:color w:val="000000"/>
          <w:spacing w:val="10"/>
          <w:highlight w:val="none"/>
          <w:lang w:val="en-US" w:eastAsia="zh-CN"/>
        </w:rPr>
      </w:pPr>
    </w:p>
    <w:p>
      <w:pPr>
        <w:pStyle w:val="4"/>
        <w:rPr>
          <w:rFonts w:hint="eastAsia" w:ascii="宋体" w:hAnsi="宋体" w:cs="宋体"/>
          <w:color w:val="000000"/>
          <w:spacing w:val="10"/>
          <w:highlight w:val="none"/>
          <w:lang w:val="en-US" w:eastAsia="zh-CN"/>
        </w:rPr>
      </w:pPr>
    </w:p>
    <w:p>
      <w:pPr>
        <w:pStyle w:val="4"/>
        <w:rPr>
          <w:rFonts w:hint="eastAsia" w:ascii="宋体" w:hAnsi="宋体" w:cs="宋体"/>
          <w:color w:val="000000"/>
          <w:spacing w:val="10"/>
          <w:highlight w:val="none"/>
          <w:lang w:val="en-US" w:eastAsia="zh-CN"/>
        </w:rPr>
      </w:pPr>
    </w:p>
    <w:p>
      <w:pPr>
        <w:pStyle w:val="4"/>
        <w:rPr>
          <w:rFonts w:hint="eastAsia" w:ascii="宋体" w:hAnsi="宋体" w:cs="宋体"/>
          <w:color w:val="000000"/>
          <w:spacing w:val="10"/>
          <w:highlight w:val="none"/>
          <w:lang w:val="en-US" w:eastAsia="zh-CN"/>
        </w:rPr>
      </w:pPr>
    </w:p>
    <w:p>
      <w:pPr>
        <w:pStyle w:val="4"/>
        <w:rPr>
          <w:rFonts w:hint="eastAsia" w:ascii="宋体" w:hAnsi="宋体" w:cs="宋体"/>
          <w:color w:val="000000"/>
          <w:spacing w:val="10"/>
          <w:highlight w:val="none"/>
          <w:lang w:val="en-US" w:eastAsia="zh-CN"/>
        </w:rPr>
      </w:pPr>
    </w:p>
    <w:p>
      <w:pPr>
        <w:pStyle w:val="4"/>
        <w:rPr>
          <w:rFonts w:hint="eastAsia" w:ascii="宋体" w:hAnsi="宋体" w:cs="宋体"/>
          <w:color w:val="000000"/>
          <w:spacing w:val="10"/>
          <w:highlight w:val="none"/>
          <w:lang w:val="en-US" w:eastAsia="zh-CN"/>
        </w:rPr>
      </w:pPr>
    </w:p>
    <w:p>
      <w:pPr>
        <w:pStyle w:val="4"/>
        <w:rPr>
          <w:rFonts w:hint="eastAsia" w:ascii="宋体" w:hAnsi="宋体" w:cs="宋体"/>
          <w:color w:val="000000"/>
          <w:spacing w:val="10"/>
          <w:highlight w:val="none"/>
          <w:lang w:val="en-US" w:eastAsia="zh-CN"/>
        </w:rPr>
      </w:pPr>
    </w:p>
    <w:p>
      <w:pPr>
        <w:pStyle w:val="4"/>
        <w:rPr>
          <w:rFonts w:hint="eastAsia" w:ascii="宋体" w:hAnsi="宋体" w:cs="宋体"/>
          <w:color w:val="000000"/>
          <w:spacing w:val="10"/>
          <w:highlight w:val="none"/>
          <w:lang w:val="en-US" w:eastAsia="zh-CN"/>
        </w:rPr>
      </w:pPr>
    </w:p>
    <w:p>
      <w:pPr>
        <w:pStyle w:val="4"/>
        <w:rPr>
          <w:rFonts w:hint="eastAsia" w:ascii="宋体" w:hAnsi="宋体" w:cs="宋体"/>
          <w:color w:val="000000"/>
          <w:spacing w:val="10"/>
          <w:highlight w:val="none"/>
          <w:lang w:val="en-US" w:eastAsia="zh-CN"/>
        </w:rPr>
      </w:pPr>
    </w:p>
    <w:p>
      <w:pPr>
        <w:pStyle w:val="4"/>
        <w:rPr>
          <w:rFonts w:hint="eastAsia" w:ascii="宋体" w:hAnsi="宋体" w:cs="宋体"/>
          <w:color w:val="000000"/>
          <w:spacing w:val="10"/>
          <w:highlight w:val="none"/>
          <w:lang w:val="en-US" w:eastAsia="zh-CN"/>
        </w:rPr>
      </w:pPr>
    </w:p>
    <w:p>
      <w:pPr>
        <w:pStyle w:val="4"/>
        <w:rPr>
          <w:rFonts w:hint="eastAsia" w:ascii="宋体" w:hAnsi="宋体" w:cs="宋体"/>
          <w:color w:val="000000"/>
          <w:spacing w:val="10"/>
          <w:highlight w:val="none"/>
          <w:lang w:val="en-US" w:eastAsia="zh-CN"/>
        </w:rPr>
      </w:pPr>
    </w:p>
    <w:p>
      <w:pPr>
        <w:pStyle w:val="4"/>
        <w:rPr>
          <w:rFonts w:hint="eastAsia" w:ascii="宋体" w:hAnsi="宋体" w:cs="宋体"/>
          <w:color w:val="000000"/>
          <w:spacing w:val="10"/>
          <w:highlight w:val="none"/>
          <w:lang w:val="en-US" w:eastAsia="zh-CN"/>
        </w:rPr>
      </w:pPr>
    </w:p>
    <w:p>
      <w:pPr>
        <w:pStyle w:val="4"/>
        <w:rPr>
          <w:rFonts w:hint="eastAsia" w:ascii="宋体" w:hAnsi="宋体" w:cs="宋体"/>
          <w:color w:val="000000"/>
          <w:spacing w:val="10"/>
          <w:highlight w:val="none"/>
          <w:lang w:val="en-US" w:eastAsia="zh-CN"/>
        </w:rPr>
      </w:pPr>
    </w:p>
    <w:p>
      <w:pPr>
        <w:pStyle w:val="4"/>
        <w:rPr>
          <w:rFonts w:hint="eastAsia" w:ascii="宋体" w:hAnsi="宋体" w:cs="宋体"/>
          <w:color w:val="000000"/>
          <w:spacing w:val="10"/>
          <w:highlight w:val="none"/>
          <w:lang w:val="en-US" w:eastAsia="zh-CN"/>
        </w:rPr>
      </w:pPr>
    </w:p>
    <w:p>
      <w:pPr>
        <w:pStyle w:val="3"/>
        <w:numPr>
          <w:ilvl w:val="0"/>
          <w:numId w:val="0"/>
        </w:numPr>
        <w:ind w:leftChars="200"/>
        <w:jc w:val="center"/>
        <w:rPr>
          <w:rFonts w:hint="eastAsia" w:ascii="宋体" w:hAnsi="宋体" w:eastAsia="宋体" w:cs="宋体"/>
          <w:b/>
          <w:color w:val="auto"/>
          <w:sz w:val="28"/>
          <w:szCs w:val="28"/>
          <w:highlight w:val="none"/>
          <w:lang w:eastAsia="zh-CN"/>
        </w:rPr>
      </w:pPr>
      <w:r>
        <w:rPr>
          <w:rFonts w:hint="eastAsia" w:ascii="宋体" w:hAnsi="宋体" w:eastAsia="宋体" w:cs="宋体"/>
          <w:b/>
          <w:color w:val="auto"/>
          <w:sz w:val="28"/>
          <w:szCs w:val="28"/>
          <w:highlight w:val="none"/>
          <w:lang w:val="en-US" w:eastAsia="zh-CN"/>
        </w:rPr>
        <w:t>10.</w:t>
      </w:r>
      <w:r>
        <w:rPr>
          <w:rFonts w:hint="eastAsia" w:ascii="宋体" w:hAnsi="宋体" w:eastAsia="宋体" w:cs="宋体"/>
          <w:b/>
          <w:color w:val="auto"/>
          <w:sz w:val="28"/>
          <w:szCs w:val="28"/>
          <w:highlight w:val="none"/>
        </w:rPr>
        <w:t>专用工具清单</w:t>
      </w:r>
      <w:r>
        <w:rPr>
          <w:rFonts w:hint="eastAsia" w:ascii="宋体" w:hAnsi="宋体" w:eastAsia="宋体" w:cs="宋体"/>
          <w:b/>
          <w:color w:val="auto"/>
          <w:sz w:val="28"/>
          <w:szCs w:val="28"/>
          <w:highlight w:val="none"/>
          <w:lang w:eastAsia="zh-CN"/>
        </w:rPr>
        <w:t>（如有）</w:t>
      </w:r>
    </w:p>
    <w:p>
      <w:pPr>
        <w:spacing w:line="360" w:lineRule="auto"/>
        <w:rPr>
          <w:rFonts w:ascii="宋体" w:hAnsi="宋体" w:cs="宋体"/>
          <w:sz w:val="24"/>
          <w:highlight w:val="none"/>
        </w:rPr>
      </w:pPr>
      <w:r>
        <w:rPr>
          <w:rFonts w:hint="eastAsia" w:ascii="宋体" w:hAnsi="宋体" w:cs="宋体"/>
          <w:spacing w:val="10"/>
          <w:sz w:val="24"/>
          <w:highlight w:val="none"/>
        </w:rPr>
        <w:t>项目名称：</w:t>
      </w:r>
    </w:p>
    <w:p>
      <w:pPr>
        <w:spacing w:line="360" w:lineRule="auto"/>
        <w:rPr>
          <w:rFonts w:hint="eastAsia" w:ascii="宋体" w:hAnsi="宋体" w:cs="宋体"/>
          <w:spacing w:val="10"/>
          <w:sz w:val="24"/>
          <w:highlight w:val="none"/>
        </w:rPr>
      </w:pPr>
      <w:r>
        <w:rPr>
          <w:rFonts w:hint="eastAsia" w:ascii="宋体" w:hAnsi="宋体" w:cs="宋体"/>
          <w:spacing w:val="10"/>
          <w:sz w:val="24"/>
          <w:highlight w:val="none"/>
        </w:rPr>
        <w:t>招标编号：</w:t>
      </w:r>
    </w:p>
    <w:p>
      <w:pPr>
        <w:spacing w:line="360" w:lineRule="auto"/>
        <w:rPr>
          <w:rFonts w:ascii="宋体" w:hAnsi="宋体" w:cs="宋体"/>
          <w:spacing w:val="10"/>
          <w:sz w:val="24"/>
          <w:highlight w:val="none"/>
        </w:rPr>
      </w:pPr>
      <w:r>
        <w:rPr>
          <w:rFonts w:hint="eastAsia" w:ascii="宋体" w:hAnsi="宋体" w:cs="宋体"/>
          <w:spacing w:val="10"/>
          <w:sz w:val="24"/>
          <w:highlight w:val="none"/>
        </w:rPr>
        <w:t>投标人名称：</w:t>
      </w:r>
    </w:p>
    <w:tbl>
      <w:tblPr>
        <w:tblStyle w:val="37"/>
        <w:tblW w:w="4994"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73"/>
        <w:gridCol w:w="1049"/>
        <w:gridCol w:w="1577"/>
        <w:gridCol w:w="1202"/>
        <w:gridCol w:w="1198"/>
        <w:gridCol w:w="773"/>
        <w:gridCol w:w="965"/>
        <w:gridCol w:w="965"/>
        <w:gridCol w:w="115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1" w:hRule="atLeast"/>
        </w:trPr>
        <w:tc>
          <w:tcPr>
            <w:tcW w:w="352" w:type="pct"/>
            <w:tcBorders>
              <w:top w:val="double" w:color="auto" w:sz="4" w:space="0"/>
              <w:left w:val="double" w:color="auto" w:sz="4" w:space="0"/>
              <w:bottom w:val="double" w:color="auto" w:sz="4" w:space="0"/>
            </w:tcBorders>
            <w:noWrap w:val="0"/>
            <w:vAlign w:val="center"/>
          </w:tcPr>
          <w:p>
            <w:pPr>
              <w:spacing w:line="360" w:lineRule="auto"/>
              <w:jc w:val="center"/>
              <w:rPr>
                <w:rFonts w:hint="eastAsia"/>
                <w:sz w:val="24"/>
                <w:highlight w:val="none"/>
              </w:rPr>
            </w:pPr>
            <w:r>
              <w:rPr>
                <w:rFonts w:hint="eastAsia" w:ascii="宋体" w:hAnsi="宋体"/>
                <w:color w:val="auto"/>
                <w:sz w:val="24"/>
                <w:highlight w:val="none"/>
              </w:rPr>
              <w:t>序号</w:t>
            </w:r>
          </w:p>
        </w:tc>
        <w:tc>
          <w:tcPr>
            <w:tcW w:w="548" w:type="pct"/>
            <w:tcBorders>
              <w:top w:val="double" w:color="auto" w:sz="4" w:space="0"/>
              <w:bottom w:val="double" w:color="auto" w:sz="4" w:space="0"/>
            </w:tcBorders>
            <w:noWrap w:val="0"/>
            <w:vAlign w:val="center"/>
          </w:tcPr>
          <w:p>
            <w:pPr>
              <w:spacing w:line="360" w:lineRule="auto"/>
              <w:jc w:val="center"/>
              <w:rPr>
                <w:rFonts w:hint="eastAsia"/>
                <w:sz w:val="24"/>
                <w:highlight w:val="none"/>
              </w:rPr>
            </w:pPr>
            <w:r>
              <w:rPr>
                <w:rFonts w:hint="eastAsia" w:ascii="宋体" w:hAnsi="宋体"/>
                <w:color w:val="auto"/>
                <w:sz w:val="24"/>
                <w:highlight w:val="none"/>
              </w:rPr>
              <w:t>名称</w:t>
            </w:r>
          </w:p>
        </w:tc>
        <w:tc>
          <w:tcPr>
            <w:tcW w:w="824" w:type="pct"/>
            <w:tcBorders>
              <w:top w:val="double" w:color="auto" w:sz="4" w:space="0"/>
              <w:bottom w:val="double" w:color="auto" w:sz="4" w:space="0"/>
            </w:tcBorders>
            <w:noWrap w:val="0"/>
            <w:vAlign w:val="center"/>
          </w:tcPr>
          <w:p>
            <w:pPr>
              <w:spacing w:line="360" w:lineRule="auto"/>
              <w:jc w:val="center"/>
              <w:rPr>
                <w:rFonts w:hint="eastAsia"/>
                <w:sz w:val="24"/>
                <w:highlight w:val="none"/>
              </w:rPr>
            </w:pPr>
            <w:r>
              <w:rPr>
                <w:rFonts w:hint="eastAsia" w:ascii="宋体" w:hAnsi="宋体"/>
                <w:color w:val="auto"/>
                <w:sz w:val="24"/>
                <w:highlight w:val="none"/>
              </w:rPr>
              <w:t>型号规格</w:t>
            </w:r>
          </w:p>
        </w:tc>
        <w:tc>
          <w:tcPr>
            <w:tcW w:w="628" w:type="pct"/>
            <w:tcBorders>
              <w:top w:val="double" w:color="auto" w:sz="4" w:space="0"/>
              <w:bottom w:val="double" w:color="auto" w:sz="4" w:space="0"/>
            </w:tcBorders>
            <w:noWrap w:val="0"/>
            <w:vAlign w:val="center"/>
          </w:tcPr>
          <w:p>
            <w:pPr>
              <w:spacing w:line="360" w:lineRule="auto"/>
              <w:jc w:val="center"/>
              <w:rPr>
                <w:rFonts w:hint="eastAsia"/>
                <w:sz w:val="24"/>
                <w:highlight w:val="none"/>
              </w:rPr>
            </w:pPr>
            <w:r>
              <w:rPr>
                <w:rFonts w:hint="eastAsia" w:ascii="宋体" w:hAnsi="宋体"/>
                <w:color w:val="auto"/>
                <w:sz w:val="24"/>
                <w:highlight w:val="none"/>
              </w:rPr>
              <w:t>品牌</w:t>
            </w:r>
          </w:p>
        </w:tc>
        <w:tc>
          <w:tcPr>
            <w:tcW w:w="626" w:type="pct"/>
            <w:tcBorders>
              <w:top w:val="double" w:color="auto" w:sz="4" w:space="0"/>
              <w:bottom w:val="double" w:color="auto" w:sz="4" w:space="0"/>
            </w:tcBorders>
            <w:noWrap w:val="0"/>
            <w:vAlign w:val="center"/>
          </w:tcPr>
          <w:p>
            <w:pPr>
              <w:spacing w:line="360" w:lineRule="auto"/>
              <w:jc w:val="center"/>
              <w:rPr>
                <w:rFonts w:hint="eastAsia"/>
                <w:sz w:val="24"/>
                <w:highlight w:val="none"/>
              </w:rPr>
            </w:pPr>
            <w:r>
              <w:rPr>
                <w:rFonts w:hint="eastAsia" w:ascii="宋体" w:hAnsi="宋体"/>
                <w:color w:val="auto"/>
                <w:sz w:val="24"/>
                <w:highlight w:val="none"/>
                <w:lang w:eastAsia="zh-CN"/>
              </w:rPr>
              <w:t>生产</w:t>
            </w:r>
            <w:r>
              <w:rPr>
                <w:rFonts w:hint="eastAsia" w:ascii="宋体" w:hAnsi="宋体"/>
                <w:color w:val="auto"/>
                <w:sz w:val="24"/>
                <w:highlight w:val="none"/>
              </w:rPr>
              <w:t>厂</w:t>
            </w:r>
            <w:r>
              <w:rPr>
                <w:rFonts w:hint="eastAsia" w:ascii="宋体" w:hAnsi="宋体"/>
                <w:color w:val="auto"/>
                <w:sz w:val="24"/>
                <w:highlight w:val="none"/>
                <w:lang w:eastAsia="zh-CN"/>
              </w:rPr>
              <w:t>家</w:t>
            </w:r>
          </w:p>
        </w:tc>
        <w:tc>
          <w:tcPr>
            <w:tcW w:w="404" w:type="pct"/>
            <w:tcBorders>
              <w:top w:val="double" w:color="auto" w:sz="4" w:space="0"/>
              <w:bottom w:val="double" w:color="auto" w:sz="4" w:space="0"/>
            </w:tcBorders>
            <w:noWrap w:val="0"/>
            <w:vAlign w:val="center"/>
          </w:tcPr>
          <w:p>
            <w:pPr>
              <w:spacing w:line="360" w:lineRule="auto"/>
              <w:jc w:val="center"/>
              <w:rPr>
                <w:rFonts w:hint="eastAsia"/>
                <w:color w:val="auto"/>
                <w:sz w:val="24"/>
                <w:highlight w:val="none"/>
                <w:lang w:eastAsia="zh-CN"/>
              </w:rPr>
            </w:pPr>
            <w:r>
              <w:rPr>
                <w:rFonts w:hint="eastAsia"/>
                <w:color w:val="auto"/>
                <w:sz w:val="24"/>
                <w:highlight w:val="none"/>
                <w:lang w:eastAsia="zh-CN"/>
              </w:rPr>
              <w:t>注册</w:t>
            </w:r>
          </w:p>
          <w:p>
            <w:pPr>
              <w:spacing w:line="360" w:lineRule="auto"/>
              <w:jc w:val="center"/>
              <w:rPr>
                <w:rFonts w:hint="eastAsia"/>
                <w:sz w:val="24"/>
                <w:highlight w:val="none"/>
              </w:rPr>
            </w:pPr>
            <w:r>
              <w:rPr>
                <w:rFonts w:hint="eastAsia"/>
                <w:color w:val="auto"/>
                <w:sz w:val="24"/>
                <w:highlight w:val="none"/>
                <w:lang w:eastAsia="zh-CN"/>
              </w:rPr>
              <w:t>证号</w:t>
            </w:r>
          </w:p>
        </w:tc>
        <w:tc>
          <w:tcPr>
            <w:tcW w:w="504" w:type="pct"/>
            <w:tcBorders>
              <w:top w:val="double" w:color="auto" w:sz="4" w:space="0"/>
              <w:bottom w:val="double" w:color="auto" w:sz="4" w:space="0"/>
            </w:tcBorders>
            <w:noWrap w:val="0"/>
            <w:vAlign w:val="center"/>
          </w:tcPr>
          <w:p>
            <w:pPr>
              <w:spacing w:line="360" w:lineRule="auto"/>
              <w:jc w:val="center"/>
              <w:rPr>
                <w:rFonts w:hint="eastAsia"/>
                <w:sz w:val="24"/>
                <w:highlight w:val="none"/>
              </w:rPr>
            </w:pPr>
            <w:r>
              <w:rPr>
                <w:rFonts w:hint="eastAsia" w:ascii="宋体" w:hAnsi="宋体"/>
                <w:color w:val="auto"/>
                <w:sz w:val="24"/>
                <w:highlight w:val="none"/>
              </w:rPr>
              <w:t>国别</w:t>
            </w:r>
          </w:p>
        </w:tc>
        <w:tc>
          <w:tcPr>
            <w:tcW w:w="504" w:type="pct"/>
            <w:tcBorders>
              <w:top w:val="double" w:color="auto" w:sz="4" w:space="0"/>
              <w:bottom w:val="double" w:color="auto" w:sz="4" w:space="0"/>
            </w:tcBorders>
            <w:noWrap w:val="0"/>
            <w:vAlign w:val="center"/>
          </w:tcPr>
          <w:p>
            <w:pPr>
              <w:spacing w:line="360" w:lineRule="auto"/>
              <w:jc w:val="center"/>
              <w:rPr>
                <w:rFonts w:hint="eastAsia"/>
                <w:sz w:val="24"/>
                <w:highlight w:val="none"/>
              </w:rPr>
            </w:pPr>
            <w:r>
              <w:rPr>
                <w:rFonts w:hint="eastAsia"/>
                <w:sz w:val="24"/>
                <w:highlight w:val="none"/>
              </w:rPr>
              <w:t>单价</w:t>
            </w:r>
          </w:p>
        </w:tc>
        <w:tc>
          <w:tcPr>
            <w:tcW w:w="605" w:type="pct"/>
            <w:tcBorders>
              <w:top w:val="double" w:color="auto" w:sz="4" w:space="0"/>
              <w:bottom w:val="double" w:color="auto" w:sz="4" w:space="0"/>
              <w:right w:val="double" w:color="auto" w:sz="4" w:space="0"/>
            </w:tcBorders>
            <w:noWrap w:val="0"/>
            <w:vAlign w:val="center"/>
          </w:tcPr>
          <w:p>
            <w:pPr>
              <w:spacing w:line="360" w:lineRule="auto"/>
              <w:jc w:val="center"/>
              <w:rPr>
                <w:rFonts w:hint="eastAsia"/>
                <w:sz w:val="24"/>
                <w:highlight w:val="none"/>
              </w:rPr>
            </w:pPr>
            <w:r>
              <w:rPr>
                <w:rFonts w:hint="eastAsia"/>
                <w:sz w:val="24"/>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trPr>
        <w:tc>
          <w:tcPr>
            <w:tcW w:w="352" w:type="pct"/>
            <w:tcBorders>
              <w:top w:val="double" w:color="auto" w:sz="4" w:space="0"/>
              <w:left w:val="double" w:color="auto" w:sz="4" w:space="0"/>
            </w:tcBorders>
            <w:noWrap w:val="0"/>
            <w:vAlign w:val="top"/>
          </w:tcPr>
          <w:p>
            <w:pPr>
              <w:spacing w:line="360" w:lineRule="auto"/>
              <w:rPr>
                <w:rFonts w:hint="eastAsia"/>
                <w:sz w:val="24"/>
                <w:highlight w:val="none"/>
              </w:rPr>
            </w:pPr>
          </w:p>
        </w:tc>
        <w:tc>
          <w:tcPr>
            <w:tcW w:w="548" w:type="pct"/>
            <w:tcBorders>
              <w:top w:val="double" w:color="auto" w:sz="4" w:space="0"/>
            </w:tcBorders>
            <w:noWrap w:val="0"/>
            <w:vAlign w:val="top"/>
          </w:tcPr>
          <w:p>
            <w:pPr>
              <w:spacing w:line="360" w:lineRule="auto"/>
              <w:rPr>
                <w:rFonts w:hint="eastAsia"/>
                <w:sz w:val="24"/>
                <w:highlight w:val="none"/>
              </w:rPr>
            </w:pPr>
          </w:p>
        </w:tc>
        <w:tc>
          <w:tcPr>
            <w:tcW w:w="824" w:type="pct"/>
            <w:tcBorders>
              <w:top w:val="double" w:color="auto" w:sz="4" w:space="0"/>
            </w:tcBorders>
            <w:noWrap w:val="0"/>
            <w:vAlign w:val="top"/>
          </w:tcPr>
          <w:p>
            <w:pPr>
              <w:spacing w:line="360" w:lineRule="auto"/>
              <w:rPr>
                <w:rFonts w:hint="eastAsia"/>
                <w:sz w:val="24"/>
                <w:highlight w:val="none"/>
              </w:rPr>
            </w:pPr>
          </w:p>
        </w:tc>
        <w:tc>
          <w:tcPr>
            <w:tcW w:w="628" w:type="pct"/>
            <w:tcBorders>
              <w:top w:val="double" w:color="auto" w:sz="4" w:space="0"/>
            </w:tcBorders>
            <w:noWrap w:val="0"/>
            <w:vAlign w:val="top"/>
          </w:tcPr>
          <w:p>
            <w:pPr>
              <w:spacing w:line="360" w:lineRule="auto"/>
              <w:rPr>
                <w:rFonts w:hint="eastAsia"/>
                <w:sz w:val="24"/>
                <w:highlight w:val="none"/>
              </w:rPr>
            </w:pPr>
          </w:p>
        </w:tc>
        <w:tc>
          <w:tcPr>
            <w:tcW w:w="626" w:type="pct"/>
            <w:tcBorders>
              <w:top w:val="double" w:color="auto" w:sz="4" w:space="0"/>
            </w:tcBorders>
            <w:noWrap w:val="0"/>
            <w:vAlign w:val="top"/>
          </w:tcPr>
          <w:p>
            <w:pPr>
              <w:spacing w:line="360" w:lineRule="auto"/>
              <w:rPr>
                <w:rFonts w:hint="eastAsia"/>
                <w:sz w:val="24"/>
                <w:highlight w:val="none"/>
              </w:rPr>
            </w:pPr>
          </w:p>
        </w:tc>
        <w:tc>
          <w:tcPr>
            <w:tcW w:w="404" w:type="pct"/>
            <w:tcBorders>
              <w:top w:val="double" w:color="auto" w:sz="4" w:space="0"/>
            </w:tcBorders>
            <w:noWrap w:val="0"/>
            <w:vAlign w:val="top"/>
          </w:tcPr>
          <w:p>
            <w:pPr>
              <w:spacing w:line="360" w:lineRule="auto"/>
              <w:rPr>
                <w:rFonts w:hint="eastAsia"/>
                <w:sz w:val="24"/>
                <w:highlight w:val="none"/>
              </w:rPr>
            </w:pPr>
          </w:p>
        </w:tc>
        <w:tc>
          <w:tcPr>
            <w:tcW w:w="504" w:type="pct"/>
            <w:tcBorders>
              <w:top w:val="double" w:color="auto" w:sz="4" w:space="0"/>
            </w:tcBorders>
            <w:noWrap w:val="0"/>
            <w:vAlign w:val="top"/>
          </w:tcPr>
          <w:p>
            <w:pPr>
              <w:spacing w:line="360" w:lineRule="auto"/>
              <w:rPr>
                <w:rFonts w:hint="eastAsia"/>
                <w:sz w:val="24"/>
                <w:highlight w:val="none"/>
              </w:rPr>
            </w:pPr>
          </w:p>
        </w:tc>
        <w:tc>
          <w:tcPr>
            <w:tcW w:w="504" w:type="pct"/>
            <w:tcBorders>
              <w:top w:val="double" w:color="auto" w:sz="4" w:space="0"/>
            </w:tcBorders>
            <w:noWrap w:val="0"/>
            <w:vAlign w:val="top"/>
          </w:tcPr>
          <w:p>
            <w:pPr>
              <w:spacing w:line="360" w:lineRule="auto"/>
              <w:rPr>
                <w:rFonts w:hint="eastAsia"/>
                <w:sz w:val="24"/>
                <w:highlight w:val="none"/>
              </w:rPr>
            </w:pPr>
          </w:p>
        </w:tc>
        <w:tc>
          <w:tcPr>
            <w:tcW w:w="605" w:type="pct"/>
            <w:tcBorders>
              <w:top w:val="double" w:color="auto" w:sz="4" w:space="0"/>
              <w:right w:val="double" w:color="auto" w:sz="4" w:space="0"/>
            </w:tcBorders>
            <w:noWrap w:val="0"/>
            <w:vAlign w:val="top"/>
          </w:tcPr>
          <w:p>
            <w:pPr>
              <w:spacing w:line="360" w:lineRule="auto"/>
              <w:rPr>
                <w:rFonts w:hint="eastAsia"/>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9" w:hRule="atLeast"/>
        </w:trPr>
        <w:tc>
          <w:tcPr>
            <w:tcW w:w="352" w:type="pct"/>
            <w:tcBorders>
              <w:left w:val="double" w:color="auto" w:sz="4" w:space="0"/>
            </w:tcBorders>
            <w:noWrap w:val="0"/>
            <w:vAlign w:val="top"/>
          </w:tcPr>
          <w:p>
            <w:pPr>
              <w:spacing w:line="360" w:lineRule="auto"/>
              <w:rPr>
                <w:rFonts w:hint="eastAsia"/>
                <w:sz w:val="24"/>
                <w:highlight w:val="none"/>
              </w:rPr>
            </w:pPr>
          </w:p>
        </w:tc>
        <w:tc>
          <w:tcPr>
            <w:tcW w:w="548" w:type="pct"/>
            <w:noWrap w:val="0"/>
            <w:vAlign w:val="top"/>
          </w:tcPr>
          <w:p>
            <w:pPr>
              <w:spacing w:line="360" w:lineRule="auto"/>
              <w:rPr>
                <w:rFonts w:hint="eastAsia"/>
                <w:sz w:val="24"/>
                <w:highlight w:val="none"/>
              </w:rPr>
            </w:pPr>
          </w:p>
        </w:tc>
        <w:tc>
          <w:tcPr>
            <w:tcW w:w="824" w:type="pct"/>
            <w:noWrap w:val="0"/>
            <w:vAlign w:val="top"/>
          </w:tcPr>
          <w:p>
            <w:pPr>
              <w:spacing w:line="360" w:lineRule="auto"/>
              <w:rPr>
                <w:rFonts w:hint="eastAsia"/>
                <w:sz w:val="24"/>
                <w:highlight w:val="none"/>
              </w:rPr>
            </w:pPr>
          </w:p>
        </w:tc>
        <w:tc>
          <w:tcPr>
            <w:tcW w:w="628" w:type="pct"/>
            <w:noWrap w:val="0"/>
            <w:vAlign w:val="top"/>
          </w:tcPr>
          <w:p>
            <w:pPr>
              <w:spacing w:line="360" w:lineRule="auto"/>
              <w:rPr>
                <w:rFonts w:hint="eastAsia"/>
                <w:sz w:val="24"/>
                <w:highlight w:val="none"/>
              </w:rPr>
            </w:pPr>
          </w:p>
        </w:tc>
        <w:tc>
          <w:tcPr>
            <w:tcW w:w="626" w:type="pct"/>
            <w:noWrap w:val="0"/>
            <w:vAlign w:val="top"/>
          </w:tcPr>
          <w:p>
            <w:pPr>
              <w:spacing w:line="360" w:lineRule="auto"/>
              <w:rPr>
                <w:rFonts w:hint="eastAsia"/>
                <w:sz w:val="24"/>
                <w:highlight w:val="none"/>
              </w:rPr>
            </w:pPr>
          </w:p>
        </w:tc>
        <w:tc>
          <w:tcPr>
            <w:tcW w:w="404" w:type="pct"/>
            <w:noWrap w:val="0"/>
            <w:vAlign w:val="top"/>
          </w:tcPr>
          <w:p>
            <w:pPr>
              <w:spacing w:line="360" w:lineRule="auto"/>
              <w:rPr>
                <w:rFonts w:hint="eastAsia"/>
                <w:sz w:val="24"/>
                <w:highlight w:val="none"/>
              </w:rPr>
            </w:pPr>
          </w:p>
        </w:tc>
        <w:tc>
          <w:tcPr>
            <w:tcW w:w="504" w:type="pct"/>
            <w:noWrap w:val="0"/>
            <w:vAlign w:val="top"/>
          </w:tcPr>
          <w:p>
            <w:pPr>
              <w:spacing w:line="360" w:lineRule="auto"/>
              <w:rPr>
                <w:rFonts w:hint="eastAsia"/>
                <w:sz w:val="24"/>
                <w:highlight w:val="none"/>
              </w:rPr>
            </w:pPr>
          </w:p>
        </w:tc>
        <w:tc>
          <w:tcPr>
            <w:tcW w:w="504" w:type="pct"/>
            <w:noWrap w:val="0"/>
            <w:vAlign w:val="top"/>
          </w:tcPr>
          <w:p>
            <w:pPr>
              <w:spacing w:line="360" w:lineRule="auto"/>
              <w:rPr>
                <w:rFonts w:hint="eastAsia"/>
                <w:sz w:val="24"/>
                <w:highlight w:val="none"/>
              </w:rPr>
            </w:pPr>
          </w:p>
        </w:tc>
        <w:tc>
          <w:tcPr>
            <w:tcW w:w="605" w:type="pct"/>
            <w:tcBorders>
              <w:right w:val="double" w:color="auto" w:sz="4" w:space="0"/>
            </w:tcBorders>
            <w:noWrap w:val="0"/>
            <w:vAlign w:val="top"/>
          </w:tcPr>
          <w:p>
            <w:pPr>
              <w:spacing w:line="360" w:lineRule="auto"/>
              <w:rPr>
                <w:rFonts w:hint="eastAsia"/>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9" w:hRule="atLeast"/>
        </w:trPr>
        <w:tc>
          <w:tcPr>
            <w:tcW w:w="352" w:type="pct"/>
            <w:tcBorders>
              <w:left w:val="double" w:color="auto" w:sz="4" w:space="0"/>
            </w:tcBorders>
            <w:noWrap w:val="0"/>
            <w:vAlign w:val="top"/>
          </w:tcPr>
          <w:p>
            <w:pPr>
              <w:spacing w:line="360" w:lineRule="auto"/>
              <w:rPr>
                <w:rFonts w:hint="eastAsia"/>
                <w:sz w:val="24"/>
                <w:highlight w:val="none"/>
              </w:rPr>
            </w:pPr>
          </w:p>
        </w:tc>
        <w:tc>
          <w:tcPr>
            <w:tcW w:w="548" w:type="pct"/>
            <w:noWrap w:val="0"/>
            <w:vAlign w:val="top"/>
          </w:tcPr>
          <w:p>
            <w:pPr>
              <w:spacing w:line="360" w:lineRule="auto"/>
              <w:rPr>
                <w:rFonts w:hint="eastAsia"/>
                <w:sz w:val="24"/>
                <w:highlight w:val="none"/>
              </w:rPr>
            </w:pPr>
          </w:p>
        </w:tc>
        <w:tc>
          <w:tcPr>
            <w:tcW w:w="824" w:type="pct"/>
            <w:noWrap w:val="0"/>
            <w:vAlign w:val="top"/>
          </w:tcPr>
          <w:p>
            <w:pPr>
              <w:spacing w:line="360" w:lineRule="auto"/>
              <w:rPr>
                <w:rFonts w:hint="eastAsia"/>
                <w:sz w:val="24"/>
                <w:highlight w:val="none"/>
              </w:rPr>
            </w:pPr>
          </w:p>
        </w:tc>
        <w:tc>
          <w:tcPr>
            <w:tcW w:w="628" w:type="pct"/>
            <w:noWrap w:val="0"/>
            <w:vAlign w:val="top"/>
          </w:tcPr>
          <w:p>
            <w:pPr>
              <w:spacing w:line="360" w:lineRule="auto"/>
              <w:rPr>
                <w:rFonts w:hint="eastAsia"/>
                <w:sz w:val="24"/>
                <w:highlight w:val="none"/>
              </w:rPr>
            </w:pPr>
          </w:p>
        </w:tc>
        <w:tc>
          <w:tcPr>
            <w:tcW w:w="626" w:type="pct"/>
            <w:noWrap w:val="0"/>
            <w:vAlign w:val="top"/>
          </w:tcPr>
          <w:p>
            <w:pPr>
              <w:spacing w:line="360" w:lineRule="auto"/>
              <w:rPr>
                <w:rFonts w:hint="eastAsia"/>
                <w:sz w:val="24"/>
                <w:highlight w:val="none"/>
              </w:rPr>
            </w:pPr>
          </w:p>
        </w:tc>
        <w:tc>
          <w:tcPr>
            <w:tcW w:w="404" w:type="pct"/>
            <w:noWrap w:val="0"/>
            <w:vAlign w:val="top"/>
          </w:tcPr>
          <w:p>
            <w:pPr>
              <w:spacing w:line="360" w:lineRule="auto"/>
              <w:rPr>
                <w:rFonts w:hint="eastAsia"/>
                <w:sz w:val="24"/>
                <w:highlight w:val="none"/>
              </w:rPr>
            </w:pPr>
          </w:p>
        </w:tc>
        <w:tc>
          <w:tcPr>
            <w:tcW w:w="504" w:type="pct"/>
            <w:noWrap w:val="0"/>
            <w:vAlign w:val="top"/>
          </w:tcPr>
          <w:p>
            <w:pPr>
              <w:spacing w:line="360" w:lineRule="auto"/>
              <w:rPr>
                <w:rFonts w:hint="eastAsia"/>
                <w:sz w:val="24"/>
                <w:highlight w:val="none"/>
              </w:rPr>
            </w:pPr>
          </w:p>
        </w:tc>
        <w:tc>
          <w:tcPr>
            <w:tcW w:w="504" w:type="pct"/>
            <w:noWrap w:val="0"/>
            <w:vAlign w:val="top"/>
          </w:tcPr>
          <w:p>
            <w:pPr>
              <w:spacing w:line="360" w:lineRule="auto"/>
              <w:rPr>
                <w:rFonts w:hint="eastAsia"/>
                <w:sz w:val="24"/>
                <w:highlight w:val="none"/>
              </w:rPr>
            </w:pPr>
          </w:p>
        </w:tc>
        <w:tc>
          <w:tcPr>
            <w:tcW w:w="605" w:type="pct"/>
            <w:tcBorders>
              <w:right w:val="double" w:color="auto" w:sz="4" w:space="0"/>
            </w:tcBorders>
            <w:noWrap w:val="0"/>
            <w:vAlign w:val="top"/>
          </w:tcPr>
          <w:p>
            <w:pPr>
              <w:spacing w:line="360" w:lineRule="auto"/>
              <w:rPr>
                <w:rFonts w:hint="eastAsia"/>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9" w:hRule="atLeast"/>
        </w:trPr>
        <w:tc>
          <w:tcPr>
            <w:tcW w:w="352" w:type="pct"/>
            <w:tcBorders>
              <w:left w:val="double" w:color="auto" w:sz="4" w:space="0"/>
            </w:tcBorders>
            <w:noWrap w:val="0"/>
            <w:vAlign w:val="top"/>
          </w:tcPr>
          <w:p>
            <w:pPr>
              <w:spacing w:line="360" w:lineRule="auto"/>
              <w:rPr>
                <w:rFonts w:hint="eastAsia"/>
                <w:sz w:val="24"/>
                <w:highlight w:val="none"/>
              </w:rPr>
            </w:pPr>
          </w:p>
        </w:tc>
        <w:tc>
          <w:tcPr>
            <w:tcW w:w="548" w:type="pct"/>
            <w:noWrap w:val="0"/>
            <w:vAlign w:val="top"/>
          </w:tcPr>
          <w:p>
            <w:pPr>
              <w:spacing w:line="360" w:lineRule="auto"/>
              <w:rPr>
                <w:rFonts w:hint="eastAsia"/>
                <w:sz w:val="24"/>
                <w:highlight w:val="none"/>
              </w:rPr>
            </w:pPr>
          </w:p>
        </w:tc>
        <w:tc>
          <w:tcPr>
            <w:tcW w:w="824" w:type="pct"/>
            <w:noWrap w:val="0"/>
            <w:vAlign w:val="top"/>
          </w:tcPr>
          <w:p>
            <w:pPr>
              <w:spacing w:line="360" w:lineRule="auto"/>
              <w:rPr>
                <w:rFonts w:hint="eastAsia"/>
                <w:sz w:val="24"/>
                <w:highlight w:val="none"/>
              </w:rPr>
            </w:pPr>
          </w:p>
        </w:tc>
        <w:tc>
          <w:tcPr>
            <w:tcW w:w="628" w:type="pct"/>
            <w:noWrap w:val="0"/>
            <w:vAlign w:val="top"/>
          </w:tcPr>
          <w:p>
            <w:pPr>
              <w:spacing w:line="360" w:lineRule="auto"/>
              <w:rPr>
                <w:rFonts w:hint="eastAsia"/>
                <w:sz w:val="24"/>
                <w:highlight w:val="none"/>
              </w:rPr>
            </w:pPr>
          </w:p>
        </w:tc>
        <w:tc>
          <w:tcPr>
            <w:tcW w:w="626" w:type="pct"/>
            <w:noWrap w:val="0"/>
            <w:vAlign w:val="top"/>
          </w:tcPr>
          <w:p>
            <w:pPr>
              <w:spacing w:line="360" w:lineRule="auto"/>
              <w:rPr>
                <w:rFonts w:hint="eastAsia"/>
                <w:sz w:val="24"/>
                <w:highlight w:val="none"/>
              </w:rPr>
            </w:pPr>
          </w:p>
        </w:tc>
        <w:tc>
          <w:tcPr>
            <w:tcW w:w="404" w:type="pct"/>
            <w:noWrap w:val="0"/>
            <w:vAlign w:val="top"/>
          </w:tcPr>
          <w:p>
            <w:pPr>
              <w:spacing w:line="360" w:lineRule="auto"/>
              <w:rPr>
                <w:rFonts w:hint="eastAsia"/>
                <w:sz w:val="24"/>
                <w:highlight w:val="none"/>
              </w:rPr>
            </w:pPr>
          </w:p>
        </w:tc>
        <w:tc>
          <w:tcPr>
            <w:tcW w:w="504" w:type="pct"/>
            <w:noWrap w:val="0"/>
            <w:vAlign w:val="top"/>
          </w:tcPr>
          <w:p>
            <w:pPr>
              <w:spacing w:line="360" w:lineRule="auto"/>
              <w:rPr>
                <w:rFonts w:hint="eastAsia"/>
                <w:sz w:val="24"/>
                <w:highlight w:val="none"/>
              </w:rPr>
            </w:pPr>
          </w:p>
        </w:tc>
        <w:tc>
          <w:tcPr>
            <w:tcW w:w="504" w:type="pct"/>
            <w:noWrap w:val="0"/>
            <w:vAlign w:val="top"/>
          </w:tcPr>
          <w:p>
            <w:pPr>
              <w:spacing w:line="360" w:lineRule="auto"/>
              <w:rPr>
                <w:rFonts w:hint="eastAsia"/>
                <w:sz w:val="24"/>
                <w:highlight w:val="none"/>
              </w:rPr>
            </w:pPr>
          </w:p>
        </w:tc>
        <w:tc>
          <w:tcPr>
            <w:tcW w:w="605" w:type="pct"/>
            <w:tcBorders>
              <w:right w:val="double" w:color="auto" w:sz="4" w:space="0"/>
            </w:tcBorders>
            <w:noWrap w:val="0"/>
            <w:vAlign w:val="top"/>
          </w:tcPr>
          <w:p>
            <w:pPr>
              <w:spacing w:line="360" w:lineRule="auto"/>
              <w:rPr>
                <w:rFonts w:hint="eastAsia"/>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9" w:hRule="atLeast"/>
        </w:trPr>
        <w:tc>
          <w:tcPr>
            <w:tcW w:w="352" w:type="pct"/>
            <w:tcBorders>
              <w:left w:val="double" w:color="auto" w:sz="4" w:space="0"/>
            </w:tcBorders>
            <w:noWrap w:val="0"/>
            <w:vAlign w:val="top"/>
          </w:tcPr>
          <w:p>
            <w:pPr>
              <w:spacing w:line="360" w:lineRule="auto"/>
              <w:rPr>
                <w:rFonts w:hint="eastAsia"/>
                <w:sz w:val="24"/>
                <w:highlight w:val="none"/>
              </w:rPr>
            </w:pPr>
          </w:p>
        </w:tc>
        <w:tc>
          <w:tcPr>
            <w:tcW w:w="548" w:type="pct"/>
            <w:noWrap w:val="0"/>
            <w:vAlign w:val="top"/>
          </w:tcPr>
          <w:p>
            <w:pPr>
              <w:spacing w:line="360" w:lineRule="auto"/>
              <w:rPr>
                <w:rFonts w:hint="eastAsia"/>
                <w:sz w:val="24"/>
                <w:highlight w:val="none"/>
              </w:rPr>
            </w:pPr>
          </w:p>
        </w:tc>
        <w:tc>
          <w:tcPr>
            <w:tcW w:w="824" w:type="pct"/>
            <w:noWrap w:val="0"/>
            <w:vAlign w:val="top"/>
          </w:tcPr>
          <w:p>
            <w:pPr>
              <w:spacing w:line="360" w:lineRule="auto"/>
              <w:rPr>
                <w:rFonts w:hint="eastAsia"/>
                <w:sz w:val="24"/>
                <w:highlight w:val="none"/>
              </w:rPr>
            </w:pPr>
          </w:p>
        </w:tc>
        <w:tc>
          <w:tcPr>
            <w:tcW w:w="628" w:type="pct"/>
            <w:noWrap w:val="0"/>
            <w:vAlign w:val="top"/>
          </w:tcPr>
          <w:p>
            <w:pPr>
              <w:spacing w:line="360" w:lineRule="auto"/>
              <w:rPr>
                <w:rFonts w:hint="eastAsia"/>
                <w:sz w:val="24"/>
                <w:highlight w:val="none"/>
              </w:rPr>
            </w:pPr>
          </w:p>
        </w:tc>
        <w:tc>
          <w:tcPr>
            <w:tcW w:w="626" w:type="pct"/>
            <w:noWrap w:val="0"/>
            <w:vAlign w:val="top"/>
          </w:tcPr>
          <w:p>
            <w:pPr>
              <w:spacing w:line="360" w:lineRule="auto"/>
              <w:rPr>
                <w:rFonts w:hint="eastAsia"/>
                <w:sz w:val="24"/>
                <w:highlight w:val="none"/>
              </w:rPr>
            </w:pPr>
          </w:p>
        </w:tc>
        <w:tc>
          <w:tcPr>
            <w:tcW w:w="404" w:type="pct"/>
            <w:noWrap w:val="0"/>
            <w:vAlign w:val="top"/>
          </w:tcPr>
          <w:p>
            <w:pPr>
              <w:spacing w:line="360" w:lineRule="auto"/>
              <w:rPr>
                <w:rFonts w:hint="eastAsia"/>
                <w:sz w:val="24"/>
                <w:highlight w:val="none"/>
              </w:rPr>
            </w:pPr>
          </w:p>
        </w:tc>
        <w:tc>
          <w:tcPr>
            <w:tcW w:w="504" w:type="pct"/>
            <w:noWrap w:val="0"/>
            <w:vAlign w:val="top"/>
          </w:tcPr>
          <w:p>
            <w:pPr>
              <w:spacing w:line="360" w:lineRule="auto"/>
              <w:rPr>
                <w:rFonts w:hint="eastAsia"/>
                <w:sz w:val="24"/>
                <w:highlight w:val="none"/>
              </w:rPr>
            </w:pPr>
          </w:p>
        </w:tc>
        <w:tc>
          <w:tcPr>
            <w:tcW w:w="504" w:type="pct"/>
            <w:noWrap w:val="0"/>
            <w:vAlign w:val="top"/>
          </w:tcPr>
          <w:p>
            <w:pPr>
              <w:spacing w:line="360" w:lineRule="auto"/>
              <w:rPr>
                <w:rFonts w:hint="eastAsia"/>
                <w:sz w:val="24"/>
                <w:highlight w:val="none"/>
              </w:rPr>
            </w:pPr>
          </w:p>
        </w:tc>
        <w:tc>
          <w:tcPr>
            <w:tcW w:w="605" w:type="pct"/>
            <w:tcBorders>
              <w:right w:val="double" w:color="auto" w:sz="4" w:space="0"/>
            </w:tcBorders>
            <w:noWrap w:val="0"/>
            <w:vAlign w:val="top"/>
          </w:tcPr>
          <w:p>
            <w:pPr>
              <w:spacing w:line="360" w:lineRule="auto"/>
              <w:rPr>
                <w:rFonts w:hint="eastAsia"/>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trPr>
        <w:tc>
          <w:tcPr>
            <w:tcW w:w="352" w:type="pct"/>
            <w:tcBorders>
              <w:left w:val="double" w:color="auto" w:sz="4" w:space="0"/>
              <w:bottom w:val="double" w:color="auto" w:sz="4" w:space="0"/>
            </w:tcBorders>
            <w:noWrap w:val="0"/>
            <w:vAlign w:val="top"/>
          </w:tcPr>
          <w:p>
            <w:pPr>
              <w:spacing w:line="360" w:lineRule="auto"/>
              <w:rPr>
                <w:rFonts w:hint="eastAsia"/>
                <w:sz w:val="24"/>
                <w:highlight w:val="none"/>
              </w:rPr>
            </w:pPr>
          </w:p>
        </w:tc>
        <w:tc>
          <w:tcPr>
            <w:tcW w:w="548" w:type="pct"/>
            <w:tcBorders>
              <w:bottom w:val="double" w:color="auto" w:sz="4" w:space="0"/>
            </w:tcBorders>
            <w:noWrap w:val="0"/>
            <w:vAlign w:val="top"/>
          </w:tcPr>
          <w:p>
            <w:pPr>
              <w:spacing w:line="360" w:lineRule="auto"/>
              <w:rPr>
                <w:rFonts w:hint="eastAsia"/>
                <w:sz w:val="24"/>
                <w:highlight w:val="none"/>
              </w:rPr>
            </w:pPr>
          </w:p>
        </w:tc>
        <w:tc>
          <w:tcPr>
            <w:tcW w:w="824" w:type="pct"/>
            <w:tcBorders>
              <w:bottom w:val="double" w:color="auto" w:sz="4" w:space="0"/>
            </w:tcBorders>
            <w:noWrap w:val="0"/>
            <w:vAlign w:val="top"/>
          </w:tcPr>
          <w:p>
            <w:pPr>
              <w:spacing w:line="360" w:lineRule="auto"/>
              <w:rPr>
                <w:rFonts w:hint="eastAsia"/>
                <w:sz w:val="24"/>
                <w:highlight w:val="none"/>
              </w:rPr>
            </w:pPr>
          </w:p>
        </w:tc>
        <w:tc>
          <w:tcPr>
            <w:tcW w:w="628" w:type="pct"/>
            <w:tcBorders>
              <w:bottom w:val="double" w:color="auto" w:sz="4" w:space="0"/>
            </w:tcBorders>
            <w:noWrap w:val="0"/>
            <w:vAlign w:val="top"/>
          </w:tcPr>
          <w:p>
            <w:pPr>
              <w:spacing w:line="360" w:lineRule="auto"/>
              <w:rPr>
                <w:rFonts w:hint="eastAsia"/>
                <w:sz w:val="24"/>
                <w:highlight w:val="none"/>
              </w:rPr>
            </w:pPr>
          </w:p>
        </w:tc>
        <w:tc>
          <w:tcPr>
            <w:tcW w:w="626" w:type="pct"/>
            <w:tcBorders>
              <w:bottom w:val="double" w:color="auto" w:sz="4" w:space="0"/>
            </w:tcBorders>
            <w:noWrap w:val="0"/>
            <w:vAlign w:val="top"/>
          </w:tcPr>
          <w:p>
            <w:pPr>
              <w:spacing w:line="360" w:lineRule="auto"/>
              <w:rPr>
                <w:rFonts w:hint="eastAsia"/>
                <w:sz w:val="24"/>
                <w:highlight w:val="none"/>
              </w:rPr>
            </w:pPr>
          </w:p>
        </w:tc>
        <w:tc>
          <w:tcPr>
            <w:tcW w:w="404" w:type="pct"/>
            <w:tcBorders>
              <w:bottom w:val="double" w:color="auto" w:sz="4" w:space="0"/>
            </w:tcBorders>
            <w:noWrap w:val="0"/>
            <w:vAlign w:val="top"/>
          </w:tcPr>
          <w:p>
            <w:pPr>
              <w:spacing w:line="360" w:lineRule="auto"/>
              <w:rPr>
                <w:rFonts w:hint="eastAsia"/>
                <w:sz w:val="24"/>
                <w:highlight w:val="none"/>
              </w:rPr>
            </w:pPr>
          </w:p>
        </w:tc>
        <w:tc>
          <w:tcPr>
            <w:tcW w:w="504" w:type="pct"/>
            <w:tcBorders>
              <w:bottom w:val="double" w:color="auto" w:sz="4" w:space="0"/>
            </w:tcBorders>
            <w:noWrap w:val="0"/>
            <w:vAlign w:val="top"/>
          </w:tcPr>
          <w:p>
            <w:pPr>
              <w:spacing w:line="360" w:lineRule="auto"/>
              <w:rPr>
                <w:rFonts w:hint="eastAsia"/>
                <w:sz w:val="24"/>
                <w:highlight w:val="none"/>
              </w:rPr>
            </w:pPr>
          </w:p>
        </w:tc>
        <w:tc>
          <w:tcPr>
            <w:tcW w:w="504" w:type="pct"/>
            <w:tcBorders>
              <w:bottom w:val="double" w:color="auto" w:sz="4" w:space="0"/>
            </w:tcBorders>
            <w:noWrap w:val="0"/>
            <w:vAlign w:val="top"/>
          </w:tcPr>
          <w:p>
            <w:pPr>
              <w:spacing w:line="360" w:lineRule="auto"/>
              <w:rPr>
                <w:rFonts w:hint="eastAsia"/>
                <w:sz w:val="24"/>
                <w:highlight w:val="none"/>
              </w:rPr>
            </w:pPr>
          </w:p>
        </w:tc>
        <w:tc>
          <w:tcPr>
            <w:tcW w:w="605" w:type="pct"/>
            <w:tcBorders>
              <w:bottom w:val="double" w:color="auto" w:sz="4" w:space="0"/>
              <w:right w:val="double" w:color="auto" w:sz="4" w:space="0"/>
            </w:tcBorders>
            <w:noWrap w:val="0"/>
            <w:vAlign w:val="top"/>
          </w:tcPr>
          <w:p>
            <w:pPr>
              <w:spacing w:line="360" w:lineRule="auto"/>
              <w:rPr>
                <w:rFonts w:hint="eastAsia"/>
                <w:sz w:val="24"/>
                <w:highlight w:val="none"/>
              </w:rPr>
            </w:pPr>
          </w:p>
        </w:tc>
      </w:tr>
    </w:tbl>
    <w:p>
      <w:pPr>
        <w:pStyle w:val="7"/>
        <w:numPr>
          <w:ilvl w:val="0"/>
          <w:numId w:val="0"/>
        </w:numPr>
        <w:spacing w:before="0" w:after="100" w:afterAutospacing="1"/>
        <w:jc w:val="both"/>
        <w:rPr>
          <w:rFonts w:hint="eastAsia" w:ascii="宋体" w:hAnsi="宋体" w:eastAsia="宋体" w:cs="宋体"/>
          <w:color w:val="auto"/>
          <w:sz w:val="24"/>
          <w:szCs w:val="24"/>
          <w:highlight w:val="none"/>
        </w:rPr>
      </w:pPr>
      <w:r>
        <w:rPr>
          <w:rFonts w:hint="eastAsia" w:ascii="宋体" w:hAnsi="宋体" w:eastAsia="宋体" w:cs="宋体"/>
          <w:b w:val="0"/>
          <w:bCs w:val="0"/>
          <w:color w:val="auto"/>
          <w:sz w:val="24"/>
          <w:szCs w:val="24"/>
          <w:highlight w:val="none"/>
        </w:rPr>
        <w:t>注：此表专用工具清单报价包含在投标总价中。</w:t>
      </w:r>
    </w:p>
    <w:p>
      <w:pPr>
        <w:spacing w:line="360" w:lineRule="auto"/>
        <w:ind w:right="480"/>
        <w:rPr>
          <w:rFonts w:ascii="宋体" w:hAnsi="宋体" w:cs="宋体"/>
          <w:spacing w:val="10"/>
          <w:sz w:val="24"/>
          <w:highlight w:val="none"/>
        </w:rPr>
      </w:pPr>
      <w:r>
        <w:rPr>
          <w:rFonts w:hint="eastAsia" w:ascii="宋体" w:hAnsi="宋体" w:cs="宋体"/>
          <w:spacing w:val="10"/>
          <w:sz w:val="24"/>
          <w:highlight w:val="none"/>
        </w:rPr>
        <w:t>投标人（盖章）：</w:t>
      </w:r>
    </w:p>
    <w:p>
      <w:pPr>
        <w:spacing w:line="360" w:lineRule="auto"/>
        <w:ind w:right="480"/>
        <w:rPr>
          <w:rFonts w:ascii="宋体" w:hAnsi="宋体" w:cs="宋体"/>
          <w:spacing w:val="10"/>
          <w:sz w:val="24"/>
          <w:highlight w:val="none"/>
        </w:rPr>
      </w:pPr>
      <w:r>
        <w:rPr>
          <w:rFonts w:hint="eastAsia" w:ascii="宋体" w:hAnsi="宋体" w:cs="宋体"/>
          <w:spacing w:val="10"/>
          <w:sz w:val="24"/>
          <w:highlight w:val="none"/>
        </w:rPr>
        <w:t>法定代表人或授权代表</w:t>
      </w:r>
      <w:r>
        <w:rPr>
          <w:rFonts w:hint="eastAsia" w:ascii="宋体" w:hAnsi="宋体" w:cs="宋体"/>
          <w:sz w:val="24"/>
          <w:highlight w:val="none"/>
        </w:rPr>
        <w:t>（签字或印章）</w:t>
      </w:r>
      <w:r>
        <w:rPr>
          <w:rFonts w:hint="eastAsia" w:ascii="宋体" w:hAnsi="宋体" w:cs="宋体"/>
          <w:spacing w:val="10"/>
          <w:sz w:val="24"/>
          <w:highlight w:val="none"/>
        </w:rPr>
        <w:t>：</w:t>
      </w:r>
    </w:p>
    <w:p>
      <w:pPr>
        <w:pStyle w:val="7"/>
        <w:spacing w:before="0" w:after="100" w:afterAutospacing="1"/>
        <w:jc w:val="both"/>
        <w:rPr>
          <w:rFonts w:hint="eastAsia" w:ascii="宋体" w:hAnsi="宋体" w:cs="宋体"/>
          <w:color w:val="000000"/>
          <w:spacing w:val="10"/>
          <w:highlight w:val="none"/>
        </w:rPr>
      </w:pPr>
      <w:r>
        <w:rPr>
          <w:rFonts w:hint="eastAsia" w:ascii="宋体" w:hAnsi="宋体" w:cs="宋体"/>
          <w:b w:val="0"/>
          <w:bCs w:val="0"/>
          <w:spacing w:val="10"/>
          <w:sz w:val="24"/>
          <w:highlight w:val="none"/>
        </w:rPr>
        <w:t>日期：</w:t>
      </w:r>
    </w:p>
    <w:p>
      <w:pPr>
        <w:rPr>
          <w:rFonts w:hint="eastAsia" w:ascii="宋体" w:hAnsi="宋体" w:cs="宋体"/>
          <w:color w:val="000000"/>
          <w:spacing w:val="10"/>
          <w:highlight w:val="none"/>
        </w:rPr>
      </w:pPr>
      <w:r>
        <w:rPr>
          <w:rFonts w:hint="eastAsia" w:ascii="宋体" w:hAnsi="宋体" w:cs="宋体"/>
          <w:color w:val="000000"/>
          <w:spacing w:val="10"/>
          <w:highlight w:val="none"/>
        </w:rPr>
        <w:br w:type="page"/>
      </w:r>
    </w:p>
    <w:p>
      <w:pPr>
        <w:pStyle w:val="7"/>
        <w:spacing w:before="0" w:after="100" w:afterAutospacing="1"/>
        <w:rPr>
          <w:rFonts w:ascii="宋体" w:hAnsi="宋体" w:cs="宋体"/>
          <w:color w:val="000000"/>
          <w:spacing w:val="10"/>
          <w:highlight w:val="none"/>
        </w:rPr>
      </w:pPr>
      <w:r>
        <w:rPr>
          <w:rFonts w:hint="eastAsia" w:ascii="宋体" w:hAnsi="宋体" w:cs="宋体"/>
          <w:color w:val="000000"/>
          <w:spacing w:val="10"/>
          <w:highlight w:val="none"/>
          <w:lang w:val="en-US" w:eastAsia="zh-CN"/>
        </w:rPr>
        <w:t>11</w:t>
      </w:r>
      <w:r>
        <w:rPr>
          <w:rFonts w:hint="eastAsia" w:ascii="宋体" w:hAnsi="宋体" w:cs="宋体"/>
          <w:color w:val="000000"/>
          <w:spacing w:val="10"/>
          <w:highlight w:val="none"/>
        </w:rPr>
        <w:t>.采购活动商业关系承诺书</w:t>
      </w:r>
      <w:bookmarkEnd w:id="515"/>
    </w:p>
    <w:p>
      <w:pPr>
        <w:rPr>
          <w:sz w:val="24"/>
          <w:szCs w:val="32"/>
          <w:highlight w:val="none"/>
        </w:rPr>
      </w:pPr>
      <w:r>
        <w:rPr>
          <w:rFonts w:hint="eastAsia"/>
          <w:sz w:val="24"/>
          <w:szCs w:val="32"/>
          <w:highlight w:val="none"/>
        </w:rPr>
        <w:t>（采购单位名称）：</w:t>
      </w:r>
    </w:p>
    <w:p>
      <w:pPr>
        <w:pStyle w:val="30"/>
        <w:spacing w:line="360" w:lineRule="auto"/>
        <w:ind w:left="1858" w:leftChars="542" w:hanging="720" w:hangingChars="300"/>
        <w:rPr>
          <w:sz w:val="24"/>
          <w:szCs w:val="32"/>
          <w:highlight w:val="none"/>
        </w:rPr>
      </w:pPr>
      <w:r>
        <w:rPr>
          <w:rFonts w:hint="eastAsia"/>
          <w:sz w:val="24"/>
          <w:szCs w:val="32"/>
          <w:highlight w:val="none"/>
        </w:rPr>
        <w:t>兹有</w:t>
      </w:r>
      <w:r>
        <w:rPr>
          <w:rFonts w:hint="eastAsia"/>
          <w:sz w:val="24"/>
          <w:szCs w:val="32"/>
          <w:highlight w:val="none"/>
          <w:u w:val="single"/>
        </w:rPr>
        <w:t xml:space="preserve"> </w:t>
      </w:r>
      <w:r>
        <w:rPr>
          <w:rFonts w:hint="eastAsia"/>
          <w:sz w:val="24"/>
          <w:szCs w:val="32"/>
          <w:highlight w:val="none"/>
          <w:u w:val="single"/>
        </w:rPr>
        <w:tab/>
      </w:r>
      <w:r>
        <w:rPr>
          <w:rFonts w:hint="eastAsia"/>
          <w:sz w:val="24"/>
          <w:szCs w:val="32"/>
          <w:highlight w:val="none"/>
          <w:u w:val="single"/>
        </w:rPr>
        <w:t xml:space="preserve">                 （单位）</w:t>
      </w:r>
      <w:r>
        <w:rPr>
          <w:rFonts w:hint="eastAsia"/>
          <w:sz w:val="24"/>
          <w:szCs w:val="32"/>
          <w:highlight w:val="none"/>
        </w:rPr>
        <w:t>，法定代表人（姓名）</w:t>
      </w:r>
      <w:r>
        <w:rPr>
          <w:rFonts w:hint="eastAsia"/>
          <w:sz w:val="24"/>
          <w:szCs w:val="32"/>
          <w:highlight w:val="none"/>
          <w:u w:val="single"/>
        </w:rPr>
        <w:t xml:space="preserve">           </w:t>
      </w:r>
      <w:r>
        <w:rPr>
          <w:rFonts w:hint="eastAsia"/>
          <w:sz w:val="24"/>
          <w:szCs w:val="32"/>
          <w:highlight w:val="none"/>
        </w:rPr>
        <w:t>合法</w:t>
      </w:r>
    </w:p>
    <w:p>
      <w:pPr>
        <w:pStyle w:val="30"/>
        <w:spacing w:line="360" w:lineRule="auto"/>
        <w:rPr>
          <w:sz w:val="24"/>
          <w:szCs w:val="32"/>
          <w:highlight w:val="none"/>
        </w:rPr>
      </w:pPr>
      <w:r>
        <w:rPr>
          <w:rFonts w:hint="eastAsia"/>
          <w:sz w:val="24"/>
          <w:szCs w:val="32"/>
          <w:highlight w:val="none"/>
        </w:rPr>
        <w:t>参加</w:t>
      </w:r>
      <w:r>
        <w:rPr>
          <w:rFonts w:hint="eastAsia"/>
          <w:sz w:val="24"/>
          <w:szCs w:val="32"/>
          <w:highlight w:val="none"/>
          <w:u w:val="single"/>
        </w:rPr>
        <w:t xml:space="preserve">                         </w:t>
      </w:r>
      <w:r>
        <w:rPr>
          <w:rFonts w:hint="eastAsia"/>
          <w:sz w:val="24"/>
          <w:szCs w:val="32"/>
          <w:highlight w:val="none"/>
        </w:rPr>
        <w:t>项目（项目编号：</w:t>
      </w:r>
      <w:r>
        <w:rPr>
          <w:rFonts w:hint="eastAsia"/>
          <w:sz w:val="24"/>
          <w:szCs w:val="32"/>
          <w:highlight w:val="none"/>
          <w:u w:val="single"/>
        </w:rPr>
        <w:t xml:space="preserve">              </w:t>
      </w:r>
      <w:r>
        <w:rPr>
          <w:rFonts w:hint="eastAsia"/>
          <w:sz w:val="24"/>
          <w:szCs w:val="32"/>
          <w:highlight w:val="none"/>
        </w:rPr>
        <w:t xml:space="preserve">）采购活动。现就有关公平竞争事项郑重承诺如下： </w:t>
      </w:r>
    </w:p>
    <w:p>
      <w:pPr>
        <w:ind w:firstLine="241" w:firstLineChars="100"/>
        <w:rPr>
          <w:b/>
          <w:sz w:val="24"/>
          <w:highlight w:val="none"/>
        </w:rPr>
      </w:pPr>
      <w:r>
        <w:rPr>
          <w:rFonts w:hint="eastAsia"/>
          <w:b/>
          <w:sz w:val="24"/>
          <w:highlight w:val="none"/>
        </w:rPr>
        <w:t>一、</w:t>
      </w:r>
      <w:r>
        <w:rPr>
          <w:b/>
          <w:sz w:val="24"/>
          <w:highlight w:val="none"/>
        </w:rPr>
        <w:t>本单位与采购人之间</w:t>
      </w:r>
    </w:p>
    <w:p>
      <w:pPr>
        <w:pStyle w:val="30"/>
        <w:spacing w:line="360" w:lineRule="auto"/>
        <w:rPr>
          <w:sz w:val="24"/>
          <w:szCs w:val="32"/>
          <w:highlight w:val="none"/>
        </w:rPr>
      </w:pPr>
      <w:r>
        <w:rPr>
          <w:sz w:val="24"/>
          <w:szCs w:val="32"/>
          <w:highlight w:val="none"/>
        </w:rPr>
        <w:t>□不存在利害关系。</w:t>
      </w:r>
    </w:p>
    <w:p>
      <w:pPr>
        <w:pStyle w:val="30"/>
        <w:spacing w:line="360" w:lineRule="auto"/>
        <w:rPr>
          <w:sz w:val="24"/>
          <w:szCs w:val="32"/>
          <w:highlight w:val="none"/>
          <w:u w:val="single"/>
        </w:rPr>
      </w:pPr>
      <w:r>
        <w:rPr>
          <w:sz w:val="24"/>
          <w:szCs w:val="32"/>
          <w:highlight w:val="none"/>
        </w:rPr>
        <w:t>□存在下列利害关系</w:t>
      </w:r>
      <w:r>
        <w:rPr>
          <w:rFonts w:hint="eastAsia"/>
          <w:sz w:val="24"/>
          <w:szCs w:val="32"/>
          <w:highlight w:val="none"/>
        </w:rPr>
        <w:t>：</w:t>
      </w:r>
      <w:r>
        <w:rPr>
          <w:rFonts w:hint="eastAsia"/>
          <w:sz w:val="24"/>
          <w:szCs w:val="32"/>
          <w:highlight w:val="none"/>
          <w:u w:val="single"/>
        </w:rPr>
        <w:t xml:space="preserve">             </w:t>
      </w:r>
    </w:p>
    <w:p>
      <w:pPr>
        <w:pStyle w:val="30"/>
        <w:spacing w:line="360" w:lineRule="auto"/>
        <w:ind w:firstLine="480" w:firstLineChars="200"/>
        <w:rPr>
          <w:sz w:val="24"/>
          <w:szCs w:val="32"/>
          <w:highlight w:val="none"/>
        </w:rPr>
      </w:pPr>
      <w:r>
        <w:rPr>
          <w:rFonts w:hint="eastAsia"/>
          <w:sz w:val="24"/>
          <w:szCs w:val="32"/>
          <w:highlight w:val="none"/>
        </w:rPr>
        <w:t>A．投资关系      B.行政隶属关系</w:t>
      </w:r>
      <w:r>
        <w:rPr>
          <w:rFonts w:hint="eastAsia"/>
          <w:sz w:val="24"/>
          <w:szCs w:val="32"/>
          <w:highlight w:val="none"/>
        </w:rPr>
        <w:tab/>
      </w:r>
      <w:r>
        <w:rPr>
          <w:rFonts w:hint="eastAsia"/>
          <w:sz w:val="24"/>
          <w:szCs w:val="32"/>
          <w:highlight w:val="none"/>
        </w:rPr>
        <w:t xml:space="preserve">    C.业务指导关系</w:t>
      </w:r>
    </w:p>
    <w:p>
      <w:pPr>
        <w:pStyle w:val="30"/>
        <w:spacing w:line="360" w:lineRule="auto"/>
        <w:ind w:firstLine="480" w:firstLineChars="200"/>
        <w:rPr>
          <w:sz w:val="24"/>
          <w:szCs w:val="32"/>
          <w:highlight w:val="none"/>
          <w:u w:val="single"/>
        </w:rPr>
      </w:pPr>
      <w:r>
        <w:rPr>
          <w:rFonts w:hint="eastAsia"/>
          <w:sz w:val="24"/>
          <w:szCs w:val="32"/>
          <w:highlight w:val="none"/>
        </w:rPr>
        <w:t>D.其他可能影响采购公正的利害关系（如有，请如实说明）</w:t>
      </w:r>
      <w:r>
        <w:rPr>
          <w:rFonts w:hint="eastAsia"/>
          <w:sz w:val="24"/>
          <w:szCs w:val="32"/>
          <w:highlight w:val="none"/>
        </w:rPr>
        <w:tab/>
      </w:r>
      <w:r>
        <w:rPr>
          <w:rFonts w:hint="eastAsia"/>
          <w:sz w:val="24"/>
          <w:szCs w:val="32"/>
          <w:highlight w:val="none"/>
        </w:rPr>
        <w:t>。</w:t>
      </w:r>
      <w:r>
        <w:rPr>
          <w:rFonts w:hint="eastAsia"/>
          <w:sz w:val="24"/>
          <w:szCs w:val="32"/>
          <w:highlight w:val="none"/>
          <w:u w:val="single"/>
        </w:rPr>
        <w:t xml:space="preserve">             </w:t>
      </w:r>
    </w:p>
    <w:p>
      <w:pPr>
        <w:ind w:firstLine="241" w:firstLineChars="100"/>
        <w:rPr>
          <w:b/>
          <w:sz w:val="24"/>
          <w:highlight w:val="none"/>
        </w:rPr>
      </w:pPr>
      <w:r>
        <w:rPr>
          <w:rFonts w:hint="eastAsia"/>
          <w:b/>
          <w:sz w:val="24"/>
          <w:highlight w:val="none"/>
        </w:rPr>
        <w:t>二、本单位承诺：与本单位存在如下关系的其他单位不参加本项目的投标活动。</w:t>
      </w:r>
    </w:p>
    <w:p>
      <w:pPr>
        <w:pStyle w:val="30"/>
        <w:spacing w:line="360" w:lineRule="auto"/>
        <w:ind w:firstLine="480" w:firstLineChars="200"/>
        <w:rPr>
          <w:sz w:val="24"/>
          <w:szCs w:val="32"/>
          <w:highlight w:val="none"/>
        </w:rPr>
      </w:pPr>
      <w:r>
        <w:rPr>
          <w:rFonts w:hint="eastAsia"/>
          <w:sz w:val="24"/>
          <w:szCs w:val="32"/>
          <w:highlight w:val="none"/>
        </w:rPr>
        <w:t>1.单位负责人为同一人或者存在直接控股、管理关系的其他单位，不参加本项目的投标活动。</w:t>
      </w:r>
    </w:p>
    <w:p>
      <w:pPr>
        <w:pStyle w:val="30"/>
        <w:spacing w:line="360" w:lineRule="auto"/>
        <w:ind w:firstLine="480" w:firstLineChars="200"/>
        <w:rPr>
          <w:sz w:val="24"/>
          <w:szCs w:val="32"/>
          <w:highlight w:val="none"/>
        </w:rPr>
      </w:pPr>
      <w:r>
        <w:rPr>
          <w:rFonts w:hint="eastAsia"/>
          <w:sz w:val="24"/>
          <w:szCs w:val="32"/>
          <w:highlight w:val="none"/>
        </w:rPr>
        <w:t>2.其他法律法规规定的可能影响公平竞争的情形下，不参加本项目的投标活动。</w:t>
      </w:r>
    </w:p>
    <w:p>
      <w:pPr>
        <w:pStyle w:val="7"/>
        <w:spacing w:before="0" w:after="100" w:afterAutospacing="1"/>
        <w:ind w:firstLine="482" w:firstLineChars="200"/>
        <w:jc w:val="both"/>
        <w:rPr>
          <w:rFonts w:ascii="Times New Roman" w:hAnsi="Times New Roman"/>
          <w:kern w:val="2"/>
          <w:sz w:val="24"/>
          <w:highlight w:val="none"/>
        </w:rPr>
      </w:pPr>
      <w:bookmarkStart w:id="522" w:name="_Toc14814"/>
      <w:r>
        <w:rPr>
          <w:rFonts w:hint="eastAsia" w:ascii="Times New Roman" w:hAnsi="Times New Roman"/>
          <w:kern w:val="2"/>
          <w:sz w:val="24"/>
          <w:highlight w:val="none"/>
        </w:rPr>
        <w:t>本单位</w:t>
      </w:r>
      <w:r>
        <w:rPr>
          <w:rFonts w:hint="eastAsia" w:ascii="Times New Roman" w:hAnsi="Times New Roman"/>
          <w:kern w:val="2"/>
          <w:sz w:val="24"/>
          <w:highlight w:val="none"/>
          <w:lang w:eastAsia="zh-CN"/>
        </w:rPr>
        <w:t>承诺</w:t>
      </w:r>
      <w:r>
        <w:rPr>
          <w:rFonts w:hint="eastAsia" w:ascii="Times New Roman" w:hAnsi="Times New Roman"/>
          <w:kern w:val="2"/>
          <w:sz w:val="24"/>
          <w:highlight w:val="none"/>
        </w:rPr>
        <w:t>以上声明情况真实，若存在虚假情况，一切后果由本单位承担；对采购人造成损失的，由本单位承担。</w:t>
      </w:r>
      <w:bookmarkEnd w:id="522"/>
    </w:p>
    <w:p>
      <w:pPr>
        <w:pStyle w:val="3"/>
        <w:tabs>
          <w:tab w:val="left" w:pos="9602"/>
        </w:tabs>
        <w:ind w:left="5347"/>
        <w:rPr>
          <w:rFonts w:eastAsia="Times New Roman"/>
          <w:highlight w:val="none"/>
        </w:rPr>
      </w:pPr>
      <w:r>
        <w:rPr>
          <w:highlight w:val="none"/>
        </w:rPr>
        <w:t>法定代表人签字或盖章：</w:t>
      </w:r>
      <w:r>
        <w:rPr>
          <w:rFonts w:eastAsia="Times New Roman"/>
          <w:highlight w:val="none"/>
          <w:u w:val="single"/>
        </w:rPr>
        <w:t xml:space="preserve"> </w:t>
      </w:r>
      <w:r>
        <w:rPr>
          <w:rFonts w:eastAsia="Times New Roman"/>
          <w:highlight w:val="none"/>
          <w:u w:val="single"/>
        </w:rPr>
        <w:tab/>
      </w:r>
    </w:p>
    <w:p>
      <w:pPr>
        <w:pStyle w:val="3"/>
        <w:rPr>
          <w:sz w:val="20"/>
          <w:highlight w:val="none"/>
        </w:rPr>
      </w:pPr>
    </w:p>
    <w:p>
      <w:pPr>
        <w:pStyle w:val="3"/>
        <w:spacing w:before="66"/>
        <w:jc w:val="right"/>
        <w:rPr>
          <w:highlight w:val="none"/>
        </w:rPr>
      </w:pPr>
      <w:r>
        <w:rPr>
          <w:highlight w:val="none"/>
        </w:rPr>
        <w:t>（单位公章）</w:t>
      </w:r>
    </w:p>
    <w:p>
      <w:pPr>
        <w:pStyle w:val="7"/>
        <w:spacing w:before="0" w:after="100" w:afterAutospacing="1"/>
        <w:ind w:firstLine="480" w:firstLineChars="200"/>
        <w:jc w:val="right"/>
        <w:rPr>
          <w:rFonts w:ascii="Calibri" w:hAnsi="Calibri"/>
          <w:b w:val="0"/>
          <w:bCs w:val="0"/>
          <w:sz w:val="24"/>
          <w:szCs w:val="24"/>
          <w:highlight w:val="none"/>
        </w:rPr>
        <w:sectPr>
          <w:headerReference r:id="rId17" w:type="first"/>
          <w:headerReference r:id="rId16" w:type="default"/>
          <w:pgSz w:w="11906" w:h="16838"/>
          <w:pgMar w:top="1077" w:right="1134" w:bottom="1077" w:left="1417" w:header="851" w:footer="992" w:gutter="0"/>
          <w:pgNumType w:fmt="decimal"/>
          <w:cols w:space="720" w:num="1"/>
          <w:titlePg/>
          <w:docGrid w:type="lines" w:linePitch="322" w:charSpace="0"/>
        </w:sectPr>
      </w:pPr>
      <w:bookmarkStart w:id="523" w:name="_Toc23354"/>
      <w:r>
        <w:rPr>
          <w:rFonts w:ascii="Calibri" w:hAnsi="Calibri"/>
          <w:b w:val="0"/>
          <w:bCs w:val="0"/>
          <w:sz w:val="24"/>
          <w:szCs w:val="24"/>
          <w:highlight w:val="none"/>
        </w:rPr>
        <w:t>年</w:t>
      </w:r>
      <w:r>
        <w:rPr>
          <w:rFonts w:ascii="Calibri" w:hAnsi="Calibri"/>
          <w:b w:val="0"/>
          <w:bCs w:val="0"/>
          <w:sz w:val="24"/>
          <w:szCs w:val="24"/>
          <w:highlight w:val="none"/>
        </w:rPr>
        <w:tab/>
      </w:r>
      <w:bookmarkEnd w:id="523"/>
    </w:p>
    <w:bookmarkEnd w:id="516"/>
    <w:bookmarkEnd w:id="517"/>
    <w:bookmarkEnd w:id="518"/>
    <w:bookmarkEnd w:id="519"/>
    <w:bookmarkEnd w:id="520"/>
    <w:bookmarkEnd w:id="521"/>
    <w:p>
      <w:pPr>
        <w:pStyle w:val="30"/>
        <w:ind w:left="0" w:leftChars="0" w:firstLine="3914" w:firstLineChars="1300"/>
        <w:jc w:val="both"/>
        <w:rPr>
          <w:rFonts w:ascii="宋体" w:hAnsi="宋体" w:cs="宋体"/>
          <w:b/>
          <w:bCs/>
          <w:spacing w:val="10"/>
          <w:sz w:val="28"/>
          <w:szCs w:val="36"/>
          <w:highlight w:val="none"/>
        </w:rPr>
      </w:pPr>
      <w:bookmarkStart w:id="524" w:name="_Toc32248"/>
      <w:bookmarkStart w:id="525" w:name="_Toc15259"/>
      <w:bookmarkStart w:id="526" w:name="_Toc15499"/>
      <w:bookmarkStart w:id="527" w:name="_Toc26776"/>
      <w:bookmarkStart w:id="528" w:name="_Toc29323"/>
      <w:bookmarkStart w:id="529" w:name="_Toc2273"/>
      <w:r>
        <w:rPr>
          <w:rFonts w:hint="eastAsia" w:ascii="宋体" w:hAnsi="宋体" w:cs="宋体"/>
          <w:b/>
          <w:bCs/>
          <w:spacing w:val="10"/>
          <w:sz w:val="28"/>
          <w:szCs w:val="36"/>
          <w:highlight w:val="none"/>
        </w:rPr>
        <w:t>1</w:t>
      </w:r>
      <w:r>
        <w:rPr>
          <w:rFonts w:hint="eastAsia" w:ascii="宋体" w:hAnsi="宋体" w:cs="宋体"/>
          <w:b/>
          <w:bCs/>
          <w:spacing w:val="10"/>
          <w:sz w:val="28"/>
          <w:szCs w:val="36"/>
          <w:highlight w:val="none"/>
          <w:lang w:val="en-US" w:eastAsia="zh-CN"/>
        </w:rPr>
        <w:t>2</w:t>
      </w:r>
      <w:r>
        <w:rPr>
          <w:rFonts w:hint="eastAsia" w:ascii="宋体" w:hAnsi="宋体" w:cs="宋体"/>
          <w:b/>
          <w:bCs/>
          <w:spacing w:val="10"/>
          <w:sz w:val="28"/>
          <w:szCs w:val="36"/>
          <w:highlight w:val="none"/>
        </w:rPr>
        <w:t>.投标人一般情况表</w:t>
      </w:r>
      <w:bookmarkEnd w:id="524"/>
      <w:bookmarkEnd w:id="525"/>
      <w:bookmarkEnd w:id="526"/>
      <w:bookmarkEnd w:id="527"/>
      <w:bookmarkEnd w:id="528"/>
      <w:bookmarkEnd w:id="529"/>
    </w:p>
    <w:tbl>
      <w:tblPr>
        <w:tblStyle w:val="37"/>
        <w:tblW w:w="9571" w:type="dxa"/>
        <w:tblInd w:w="0" w:type="dxa"/>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Layout w:type="fixed"/>
        <w:tblCellMar>
          <w:top w:w="0" w:type="dxa"/>
          <w:left w:w="108" w:type="dxa"/>
          <w:bottom w:w="0" w:type="dxa"/>
          <w:right w:w="108" w:type="dxa"/>
        </w:tblCellMar>
      </w:tblPr>
      <w:tblGrid>
        <w:gridCol w:w="1706"/>
        <w:gridCol w:w="1084"/>
        <w:gridCol w:w="1381"/>
        <w:gridCol w:w="1397"/>
        <w:gridCol w:w="8"/>
        <w:gridCol w:w="1477"/>
        <w:gridCol w:w="179"/>
        <w:gridCol w:w="1129"/>
        <w:gridCol w:w="1210"/>
      </w:tblGrid>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843" w:hRule="atLeast"/>
        </w:trPr>
        <w:tc>
          <w:tcPr>
            <w:tcW w:w="1706" w:type="dxa"/>
            <w:vAlign w:val="center"/>
          </w:tcPr>
          <w:p>
            <w:pPr>
              <w:autoSpaceDE w:val="0"/>
              <w:autoSpaceDN w:val="0"/>
              <w:adjustRightInd w:val="0"/>
              <w:spacing w:line="360" w:lineRule="auto"/>
              <w:jc w:val="center"/>
              <w:rPr>
                <w:rFonts w:ascii="宋体" w:hAnsi="宋体" w:cs="宋体"/>
                <w:szCs w:val="21"/>
                <w:highlight w:val="none"/>
              </w:rPr>
            </w:pPr>
            <w:r>
              <w:rPr>
                <w:rFonts w:hint="eastAsia" w:ascii="宋体" w:hAnsi="宋体" w:cs="宋体"/>
                <w:szCs w:val="21"/>
                <w:highlight w:val="none"/>
              </w:rPr>
              <w:t>投标人名称</w:t>
            </w:r>
          </w:p>
        </w:tc>
        <w:tc>
          <w:tcPr>
            <w:tcW w:w="7865" w:type="dxa"/>
            <w:gridSpan w:val="8"/>
            <w:vAlign w:val="center"/>
          </w:tcPr>
          <w:p>
            <w:pPr>
              <w:autoSpaceDE w:val="0"/>
              <w:autoSpaceDN w:val="0"/>
              <w:adjustRightInd w:val="0"/>
              <w:spacing w:line="360" w:lineRule="auto"/>
              <w:ind w:firstLine="420" w:firstLineChars="200"/>
              <w:jc w:val="center"/>
              <w:rPr>
                <w:rFonts w:ascii="宋体" w:hAnsi="宋体" w:cs="宋体"/>
                <w:szCs w:val="21"/>
                <w:highlight w:val="none"/>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708" w:hRule="atLeast"/>
        </w:trPr>
        <w:tc>
          <w:tcPr>
            <w:tcW w:w="1706" w:type="dxa"/>
            <w:vAlign w:val="center"/>
          </w:tcPr>
          <w:p>
            <w:pPr>
              <w:autoSpaceDE w:val="0"/>
              <w:autoSpaceDN w:val="0"/>
              <w:adjustRightInd w:val="0"/>
              <w:spacing w:line="360" w:lineRule="auto"/>
              <w:jc w:val="center"/>
              <w:rPr>
                <w:rFonts w:ascii="宋体" w:hAnsi="宋体" w:cs="宋体"/>
                <w:szCs w:val="21"/>
                <w:highlight w:val="none"/>
              </w:rPr>
            </w:pPr>
            <w:r>
              <w:rPr>
                <w:rFonts w:hint="eastAsia" w:ascii="宋体" w:hAnsi="宋体" w:cs="宋体"/>
                <w:szCs w:val="21"/>
                <w:highlight w:val="none"/>
              </w:rPr>
              <w:t>注册地址</w:t>
            </w:r>
          </w:p>
        </w:tc>
        <w:tc>
          <w:tcPr>
            <w:tcW w:w="3870" w:type="dxa"/>
            <w:gridSpan w:val="4"/>
            <w:vAlign w:val="center"/>
          </w:tcPr>
          <w:p>
            <w:pPr>
              <w:autoSpaceDE w:val="0"/>
              <w:autoSpaceDN w:val="0"/>
              <w:adjustRightInd w:val="0"/>
              <w:spacing w:line="360" w:lineRule="auto"/>
              <w:ind w:firstLine="420" w:firstLineChars="200"/>
              <w:jc w:val="center"/>
              <w:rPr>
                <w:rFonts w:ascii="宋体" w:hAnsi="宋体" w:cs="宋体"/>
                <w:szCs w:val="21"/>
                <w:highlight w:val="none"/>
              </w:rPr>
            </w:pPr>
          </w:p>
        </w:tc>
        <w:tc>
          <w:tcPr>
            <w:tcW w:w="1477" w:type="dxa"/>
            <w:vAlign w:val="center"/>
          </w:tcPr>
          <w:p>
            <w:pPr>
              <w:autoSpaceDE w:val="0"/>
              <w:autoSpaceDN w:val="0"/>
              <w:adjustRightInd w:val="0"/>
              <w:spacing w:line="360" w:lineRule="auto"/>
              <w:jc w:val="center"/>
              <w:rPr>
                <w:rFonts w:ascii="宋体" w:hAnsi="宋体" w:cs="宋体"/>
                <w:szCs w:val="21"/>
                <w:highlight w:val="none"/>
              </w:rPr>
            </w:pPr>
            <w:r>
              <w:rPr>
                <w:rFonts w:hint="eastAsia" w:ascii="宋体" w:hAnsi="宋体" w:cs="宋体"/>
                <w:szCs w:val="21"/>
                <w:highlight w:val="none"/>
              </w:rPr>
              <w:t>邮政编码</w:t>
            </w:r>
          </w:p>
        </w:tc>
        <w:tc>
          <w:tcPr>
            <w:tcW w:w="2518" w:type="dxa"/>
            <w:gridSpan w:val="3"/>
            <w:vAlign w:val="center"/>
          </w:tcPr>
          <w:p>
            <w:pPr>
              <w:autoSpaceDE w:val="0"/>
              <w:autoSpaceDN w:val="0"/>
              <w:adjustRightInd w:val="0"/>
              <w:spacing w:line="360" w:lineRule="auto"/>
              <w:ind w:firstLine="420" w:firstLineChars="200"/>
              <w:jc w:val="center"/>
              <w:rPr>
                <w:rFonts w:ascii="宋体" w:hAnsi="宋体" w:cs="宋体"/>
                <w:szCs w:val="21"/>
                <w:highlight w:val="none"/>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633" w:hRule="atLeast"/>
        </w:trPr>
        <w:tc>
          <w:tcPr>
            <w:tcW w:w="1706" w:type="dxa"/>
            <w:vMerge w:val="restart"/>
            <w:vAlign w:val="center"/>
          </w:tcPr>
          <w:p>
            <w:pPr>
              <w:autoSpaceDE w:val="0"/>
              <w:autoSpaceDN w:val="0"/>
              <w:adjustRightInd w:val="0"/>
              <w:spacing w:line="360" w:lineRule="auto"/>
              <w:jc w:val="center"/>
              <w:rPr>
                <w:rFonts w:ascii="宋体" w:hAnsi="宋体" w:cs="宋体"/>
                <w:szCs w:val="21"/>
                <w:highlight w:val="none"/>
              </w:rPr>
            </w:pPr>
            <w:r>
              <w:rPr>
                <w:rFonts w:hint="eastAsia" w:ascii="宋体" w:hAnsi="宋体" w:cs="宋体"/>
                <w:szCs w:val="21"/>
                <w:highlight w:val="none"/>
              </w:rPr>
              <w:t>联系方式</w:t>
            </w:r>
          </w:p>
        </w:tc>
        <w:tc>
          <w:tcPr>
            <w:tcW w:w="1084" w:type="dxa"/>
            <w:vAlign w:val="center"/>
          </w:tcPr>
          <w:p>
            <w:pPr>
              <w:autoSpaceDE w:val="0"/>
              <w:autoSpaceDN w:val="0"/>
              <w:adjustRightInd w:val="0"/>
              <w:spacing w:line="360" w:lineRule="auto"/>
              <w:jc w:val="center"/>
              <w:rPr>
                <w:rFonts w:ascii="宋体" w:hAnsi="宋体" w:cs="宋体"/>
                <w:szCs w:val="21"/>
                <w:highlight w:val="none"/>
              </w:rPr>
            </w:pPr>
            <w:r>
              <w:rPr>
                <w:rFonts w:hint="eastAsia" w:ascii="宋体" w:hAnsi="宋体" w:cs="宋体"/>
                <w:szCs w:val="21"/>
                <w:highlight w:val="none"/>
              </w:rPr>
              <w:t>联系人</w:t>
            </w:r>
          </w:p>
        </w:tc>
        <w:tc>
          <w:tcPr>
            <w:tcW w:w="2778" w:type="dxa"/>
            <w:gridSpan w:val="2"/>
            <w:vAlign w:val="center"/>
          </w:tcPr>
          <w:p>
            <w:pPr>
              <w:autoSpaceDE w:val="0"/>
              <w:autoSpaceDN w:val="0"/>
              <w:adjustRightInd w:val="0"/>
              <w:spacing w:line="360" w:lineRule="auto"/>
              <w:ind w:firstLine="420" w:firstLineChars="200"/>
              <w:jc w:val="center"/>
              <w:rPr>
                <w:rFonts w:ascii="宋体" w:hAnsi="宋体" w:cs="宋体"/>
                <w:szCs w:val="21"/>
                <w:highlight w:val="none"/>
              </w:rPr>
            </w:pPr>
          </w:p>
        </w:tc>
        <w:tc>
          <w:tcPr>
            <w:tcW w:w="1485" w:type="dxa"/>
            <w:gridSpan w:val="2"/>
            <w:vAlign w:val="center"/>
          </w:tcPr>
          <w:p>
            <w:pPr>
              <w:autoSpaceDE w:val="0"/>
              <w:autoSpaceDN w:val="0"/>
              <w:adjustRightInd w:val="0"/>
              <w:spacing w:line="360" w:lineRule="auto"/>
              <w:jc w:val="center"/>
              <w:rPr>
                <w:rFonts w:ascii="宋体" w:hAnsi="宋体" w:cs="宋体"/>
                <w:szCs w:val="21"/>
                <w:highlight w:val="none"/>
              </w:rPr>
            </w:pPr>
            <w:r>
              <w:rPr>
                <w:rFonts w:hint="eastAsia" w:ascii="宋体" w:hAnsi="宋体" w:cs="宋体"/>
                <w:szCs w:val="21"/>
                <w:highlight w:val="none"/>
              </w:rPr>
              <w:t>电话</w:t>
            </w:r>
          </w:p>
        </w:tc>
        <w:tc>
          <w:tcPr>
            <w:tcW w:w="2518" w:type="dxa"/>
            <w:gridSpan w:val="3"/>
            <w:vAlign w:val="center"/>
          </w:tcPr>
          <w:p>
            <w:pPr>
              <w:autoSpaceDE w:val="0"/>
              <w:autoSpaceDN w:val="0"/>
              <w:adjustRightInd w:val="0"/>
              <w:spacing w:line="360" w:lineRule="auto"/>
              <w:ind w:firstLine="420" w:firstLineChars="200"/>
              <w:jc w:val="center"/>
              <w:rPr>
                <w:rFonts w:ascii="宋体" w:hAnsi="宋体" w:cs="宋体"/>
                <w:szCs w:val="21"/>
                <w:highlight w:val="none"/>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706" w:type="dxa"/>
            <w:vMerge w:val="continue"/>
            <w:vAlign w:val="center"/>
          </w:tcPr>
          <w:p>
            <w:pPr>
              <w:autoSpaceDE w:val="0"/>
              <w:autoSpaceDN w:val="0"/>
              <w:adjustRightInd w:val="0"/>
              <w:spacing w:line="360" w:lineRule="auto"/>
              <w:ind w:firstLine="420" w:firstLineChars="200"/>
              <w:jc w:val="center"/>
              <w:rPr>
                <w:rFonts w:ascii="宋体" w:hAnsi="宋体" w:cs="宋体"/>
                <w:szCs w:val="21"/>
                <w:highlight w:val="none"/>
              </w:rPr>
            </w:pPr>
          </w:p>
        </w:tc>
        <w:tc>
          <w:tcPr>
            <w:tcW w:w="1084" w:type="dxa"/>
            <w:vAlign w:val="center"/>
          </w:tcPr>
          <w:p>
            <w:pPr>
              <w:autoSpaceDE w:val="0"/>
              <w:autoSpaceDN w:val="0"/>
              <w:adjustRightInd w:val="0"/>
              <w:spacing w:line="360" w:lineRule="auto"/>
              <w:jc w:val="center"/>
              <w:rPr>
                <w:rFonts w:ascii="宋体" w:hAnsi="宋体" w:cs="宋体"/>
                <w:szCs w:val="21"/>
                <w:highlight w:val="none"/>
              </w:rPr>
            </w:pPr>
            <w:r>
              <w:rPr>
                <w:rFonts w:hint="eastAsia" w:ascii="宋体" w:hAnsi="宋体" w:cs="宋体"/>
                <w:szCs w:val="21"/>
                <w:highlight w:val="none"/>
              </w:rPr>
              <w:t>传真</w:t>
            </w:r>
          </w:p>
        </w:tc>
        <w:tc>
          <w:tcPr>
            <w:tcW w:w="2778" w:type="dxa"/>
            <w:gridSpan w:val="2"/>
            <w:vAlign w:val="center"/>
          </w:tcPr>
          <w:p>
            <w:pPr>
              <w:autoSpaceDE w:val="0"/>
              <w:autoSpaceDN w:val="0"/>
              <w:adjustRightInd w:val="0"/>
              <w:spacing w:line="360" w:lineRule="auto"/>
              <w:ind w:firstLine="420" w:firstLineChars="200"/>
              <w:jc w:val="center"/>
              <w:rPr>
                <w:rFonts w:ascii="宋体" w:hAnsi="宋体" w:cs="宋体"/>
                <w:szCs w:val="21"/>
                <w:highlight w:val="none"/>
              </w:rPr>
            </w:pPr>
          </w:p>
        </w:tc>
        <w:tc>
          <w:tcPr>
            <w:tcW w:w="1485" w:type="dxa"/>
            <w:gridSpan w:val="2"/>
            <w:vAlign w:val="center"/>
          </w:tcPr>
          <w:p>
            <w:pPr>
              <w:autoSpaceDE w:val="0"/>
              <w:autoSpaceDN w:val="0"/>
              <w:adjustRightInd w:val="0"/>
              <w:spacing w:line="360" w:lineRule="auto"/>
              <w:jc w:val="center"/>
              <w:rPr>
                <w:rFonts w:ascii="宋体" w:hAnsi="宋体" w:cs="宋体"/>
                <w:szCs w:val="21"/>
                <w:highlight w:val="none"/>
              </w:rPr>
            </w:pPr>
            <w:r>
              <w:rPr>
                <w:rFonts w:hint="eastAsia" w:ascii="宋体" w:hAnsi="宋体" w:cs="宋体"/>
                <w:szCs w:val="21"/>
                <w:highlight w:val="none"/>
              </w:rPr>
              <w:t>网址</w:t>
            </w:r>
          </w:p>
        </w:tc>
        <w:tc>
          <w:tcPr>
            <w:tcW w:w="2518" w:type="dxa"/>
            <w:gridSpan w:val="3"/>
            <w:vAlign w:val="center"/>
          </w:tcPr>
          <w:p>
            <w:pPr>
              <w:autoSpaceDE w:val="0"/>
              <w:autoSpaceDN w:val="0"/>
              <w:adjustRightInd w:val="0"/>
              <w:spacing w:line="360" w:lineRule="auto"/>
              <w:ind w:firstLine="420" w:firstLineChars="200"/>
              <w:jc w:val="center"/>
              <w:rPr>
                <w:rFonts w:ascii="宋体" w:hAnsi="宋体" w:cs="宋体"/>
                <w:szCs w:val="21"/>
                <w:highlight w:val="none"/>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948" w:hRule="atLeast"/>
        </w:trPr>
        <w:tc>
          <w:tcPr>
            <w:tcW w:w="1706" w:type="dxa"/>
            <w:vAlign w:val="center"/>
          </w:tcPr>
          <w:p>
            <w:pPr>
              <w:autoSpaceDE w:val="0"/>
              <w:autoSpaceDN w:val="0"/>
              <w:adjustRightInd w:val="0"/>
              <w:spacing w:line="360" w:lineRule="auto"/>
              <w:jc w:val="center"/>
              <w:rPr>
                <w:rFonts w:ascii="宋体" w:hAnsi="宋体" w:cs="宋体"/>
                <w:szCs w:val="21"/>
                <w:highlight w:val="none"/>
              </w:rPr>
            </w:pPr>
            <w:r>
              <w:rPr>
                <w:rFonts w:hint="eastAsia" w:ascii="宋体" w:hAnsi="宋体" w:cs="宋体"/>
                <w:szCs w:val="21"/>
                <w:highlight w:val="none"/>
              </w:rPr>
              <w:t>组织结构</w:t>
            </w:r>
          </w:p>
        </w:tc>
        <w:tc>
          <w:tcPr>
            <w:tcW w:w="7865" w:type="dxa"/>
            <w:gridSpan w:val="8"/>
            <w:vAlign w:val="center"/>
          </w:tcPr>
          <w:p>
            <w:pPr>
              <w:autoSpaceDE w:val="0"/>
              <w:autoSpaceDN w:val="0"/>
              <w:adjustRightInd w:val="0"/>
              <w:spacing w:line="360" w:lineRule="auto"/>
              <w:ind w:firstLine="420" w:firstLineChars="200"/>
              <w:jc w:val="center"/>
              <w:rPr>
                <w:rFonts w:ascii="宋体" w:hAnsi="宋体" w:cs="宋体"/>
                <w:szCs w:val="21"/>
                <w:highlight w:val="none"/>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trHeight w:val="918" w:hRule="atLeast"/>
        </w:trPr>
        <w:tc>
          <w:tcPr>
            <w:tcW w:w="1706" w:type="dxa"/>
            <w:vAlign w:val="center"/>
          </w:tcPr>
          <w:p>
            <w:pPr>
              <w:autoSpaceDE w:val="0"/>
              <w:autoSpaceDN w:val="0"/>
              <w:adjustRightInd w:val="0"/>
              <w:spacing w:line="360" w:lineRule="auto"/>
              <w:jc w:val="center"/>
              <w:rPr>
                <w:rFonts w:ascii="宋体" w:hAnsi="宋体" w:cs="宋体"/>
                <w:szCs w:val="21"/>
                <w:highlight w:val="none"/>
              </w:rPr>
            </w:pPr>
            <w:r>
              <w:rPr>
                <w:rFonts w:hint="eastAsia" w:ascii="宋体" w:hAnsi="宋体" w:cs="宋体"/>
                <w:szCs w:val="21"/>
                <w:highlight w:val="none"/>
              </w:rPr>
              <w:t>法定代表人</w:t>
            </w:r>
          </w:p>
        </w:tc>
        <w:tc>
          <w:tcPr>
            <w:tcW w:w="1084" w:type="dxa"/>
            <w:vAlign w:val="center"/>
          </w:tcPr>
          <w:p>
            <w:pPr>
              <w:autoSpaceDE w:val="0"/>
              <w:autoSpaceDN w:val="0"/>
              <w:adjustRightInd w:val="0"/>
              <w:spacing w:line="360" w:lineRule="auto"/>
              <w:jc w:val="center"/>
              <w:rPr>
                <w:rFonts w:ascii="宋体" w:hAnsi="宋体" w:cs="宋体"/>
                <w:szCs w:val="21"/>
                <w:highlight w:val="none"/>
              </w:rPr>
            </w:pPr>
            <w:r>
              <w:rPr>
                <w:rFonts w:hint="eastAsia" w:ascii="宋体" w:hAnsi="宋体" w:cs="宋体"/>
                <w:szCs w:val="21"/>
                <w:highlight w:val="none"/>
              </w:rPr>
              <w:t>姓名</w:t>
            </w:r>
          </w:p>
        </w:tc>
        <w:tc>
          <w:tcPr>
            <w:tcW w:w="1381" w:type="dxa"/>
            <w:vAlign w:val="center"/>
          </w:tcPr>
          <w:p>
            <w:pPr>
              <w:autoSpaceDE w:val="0"/>
              <w:autoSpaceDN w:val="0"/>
              <w:adjustRightInd w:val="0"/>
              <w:spacing w:line="360" w:lineRule="auto"/>
              <w:ind w:firstLine="420" w:firstLineChars="200"/>
              <w:jc w:val="center"/>
              <w:rPr>
                <w:rFonts w:ascii="宋体" w:hAnsi="宋体" w:cs="宋体"/>
                <w:szCs w:val="21"/>
                <w:highlight w:val="none"/>
              </w:rPr>
            </w:pPr>
          </w:p>
        </w:tc>
        <w:tc>
          <w:tcPr>
            <w:tcW w:w="1397" w:type="dxa"/>
            <w:vAlign w:val="center"/>
          </w:tcPr>
          <w:p>
            <w:pPr>
              <w:autoSpaceDE w:val="0"/>
              <w:autoSpaceDN w:val="0"/>
              <w:adjustRightInd w:val="0"/>
              <w:spacing w:line="360" w:lineRule="auto"/>
              <w:jc w:val="center"/>
              <w:rPr>
                <w:rFonts w:ascii="宋体" w:hAnsi="宋体" w:cs="宋体"/>
                <w:szCs w:val="21"/>
                <w:highlight w:val="none"/>
              </w:rPr>
            </w:pPr>
            <w:r>
              <w:rPr>
                <w:rFonts w:hint="eastAsia" w:ascii="宋体" w:hAnsi="宋体" w:cs="宋体"/>
                <w:szCs w:val="21"/>
                <w:highlight w:val="none"/>
              </w:rPr>
              <w:t>技术职称</w:t>
            </w:r>
          </w:p>
        </w:tc>
        <w:tc>
          <w:tcPr>
            <w:tcW w:w="1485" w:type="dxa"/>
            <w:gridSpan w:val="2"/>
            <w:vAlign w:val="center"/>
          </w:tcPr>
          <w:p>
            <w:pPr>
              <w:autoSpaceDE w:val="0"/>
              <w:autoSpaceDN w:val="0"/>
              <w:adjustRightInd w:val="0"/>
              <w:spacing w:line="360" w:lineRule="auto"/>
              <w:ind w:firstLine="420" w:firstLineChars="200"/>
              <w:jc w:val="center"/>
              <w:rPr>
                <w:rFonts w:ascii="宋体" w:hAnsi="宋体" w:cs="宋体"/>
                <w:szCs w:val="21"/>
                <w:highlight w:val="none"/>
              </w:rPr>
            </w:pPr>
          </w:p>
        </w:tc>
        <w:tc>
          <w:tcPr>
            <w:tcW w:w="1308" w:type="dxa"/>
            <w:gridSpan w:val="2"/>
            <w:vAlign w:val="center"/>
          </w:tcPr>
          <w:p>
            <w:pPr>
              <w:autoSpaceDE w:val="0"/>
              <w:autoSpaceDN w:val="0"/>
              <w:adjustRightInd w:val="0"/>
              <w:spacing w:line="360" w:lineRule="auto"/>
              <w:ind w:firstLine="420" w:firstLineChars="200"/>
              <w:jc w:val="center"/>
              <w:rPr>
                <w:rFonts w:ascii="宋体" w:hAnsi="宋体" w:cs="宋体"/>
                <w:szCs w:val="21"/>
                <w:highlight w:val="none"/>
              </w:rPr>
            </w:pPr>
            <w:r>
              <w:rPr>
                <w:rFonts w:hint="eastAsia" w:ascii="宋体" w:hAnsi="宋体" w:cs="宋体"/>
                <w:szCs w:val="21"/>
                <w:highlight w:val="none"/>
              </w:rPr>
              <w:t>电话</w:t>
            </w:r>
          </w:p>
        </w:tc>
        <w:tc>
          <w:tcPr>
            <w:tcW w:w="1210" w:type="dxa"/>
            <w:vAlign w:val="center"/>
          </w:tcPr>
          <w:p>
            <w:pPr>
              <w:autoSpaceDE w:val="0"/>
              <w:autoSpaceDN w:val="0"/>
              <w:adjustRightInd w:val="0"/>
              <w:spacing w:line="360" w:lineRule="auto"/>
              <w:ind w:firstLine="420" w:firstLineChars="200"/>
              <w:jc w:val="center"/>
              <w:rPr>
                <w:rFonts w:ascii="宋体" w:hAnsi="宋体" w:cs="宋体"/>
                <w:szCs w:val="21"/>
                <w:highlight w:val="none"/>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trHeight w:val="948" w:hRule="atLeast"/>
        </w:trPr>
        <w:tc>
          <w:tcPr>
            <w:tcW w:w="1706" w:type="dxa"/>
            <w:vAlign w:val="center"/>
          </w:tcPr>
          <w:p>
            <w:pPr>
              <w:autoSpaceDE w:val="0"/>
              <w:autoSpaceDN w:val="0"/>
              <w:adjustRightInd w:val="0"/>
              <w:spacing w:line="360" w:lineRule="auto"/>
              <w:jc w:val="center"/>
              <w:rPr>
                <w:rFonts w:ascii="宋体" w:hAnsi="宋体" w:cs="宋体"/>
                <w:szCs w:val="21"/>
                <w:highlight w:val="none"/>
              </w:rPr>
            </w:pPr>
            <w:r>
              <w:rPr>
                <w:rFonts w:hint="eastAsia" w:ascii="宋体" w:hAnsi="宋体" w:cs="宋体"/>
                <w:szCs w:val="21"/>
                <w:highlight w:val="none"/>
              </w:rPr>
              <w:t>技术负责人</w:t>
            </w:r>
          </w:p>
        </w:tc>
        <w:tc>
          <w:tcPr>
            <w:tcW w:w="1084" w:type="dxa"/>
            <w:vAlign w:val="center"/>
          </w:tcPr>
          <w:p>
            <w:pPr>
              <w:autoSpaceDE w:val="0"/>
              <w:autoSpaceDN w:val="0"/>
              <w:adjustRightInd w:val="0"/>
              <w:spacing w:line="360" w:lineRule="auto"/>
              <w:jc w:val="center"/>
              <w:rPr>
                <w:rFonts w:ascii="宋体" w:hAnsi="宋体" w:cs="宋体"/>
                <w:szCs w:val="21"/>
                <w:highlight w:val="none"/>
              </w:rPr>
            </w:pPr>
            <w:r>
              <w:rPr>
                <w:rFonts w:hint="eastAsia" w:ascii="宋体" w:hAnsi="宋体" w:cs="宋体"/>
                <w:szCs w:val="21"/>
                <w:highlight w:val="none"/>
              </w:rPr>
              <w:t>姓名</w:t>
            </w:r>
          </w:p>
        </w:tc>
        <w:tc>
          <w:tcPr>
            <w:tcW w:w="1381" w:type="dxa"/>
            <w:vAlign w:val="center"/>
          </w:tcPr>
          <w:p>
            <w:pPr>
              <w:autoSpaceDE w:val="0"/>
              <w:autoSpaceDN w:val="0"/>
              <w:adjustRightInd w:val="0"/>
              <w:spacing w:line="360" w:lineRule="auto"/>
              <w:ind w:firstLine="420" w:firstLineChars="200"/>
              <w:jc w:val="center"/>
              <w:rPr>
                <w:rFonts w:ascii="宋体" w:hAnsi="宋体" w:cs="宋体"/>
                <w:szCs w:val="21"/>
                <w:highlight w:val="none"/>
              </w:rPr>
            </w:pPr>
          </w:p>
        </w:tc>
        <w:tc>
          <w:tcPr>
            <w:tcW w:w="1397" w:type="dxa"/>
            <w:vAlign w:val="center"/>
          </w:tcPr>
          <w:p>
            <w:pPr>
              <w:autoSpaceDE w:val="0"/>
              <w:autoSpaceDN w:val="0"/>
              <w:adjustRightInd w:val="0"/>
              <w:spacing w:line="360" w:lineRule="auto"/>
              <w:jc w:val="center"/>
              <w:rPr>
                <w:rFonts w:ascii="宋体" w:hAnsi="宋体" w:cs="宋体"/>
                <w:szCs w:val="21"/>
                <w:highlight w:val="none"/>
              </w:rPr>
            </w:pPr>
            <w:r>
              <w:rPr>
                <w:rFonts w:hint="eastAsia" w:ascii="宋体" w:hAnsi="宋体" w:cs="宋体"/>
                <w:szCs w:val="21"/>
                <w:highlight w:val="none"/>
              </w:rPr>
              <w:t>技术职称</w:t>
            </w:r>
          </w:p>
        </w:tc>
        <w:tc>
          <w:tcPr>
            <w:tcW w:w="1485" w:type="dxa"/>
            <w:gridSpan w:val="2"/>
            <w:vAlign w:val="center"/>
          </w:tcPr>
          <w:p>
            <w:pPr>
              <w:autoSpaceDE w:val="0"/>
              <w:autoSpaceDN w:val="0"/>
              <w:adjustRightInd w:val="0"/>
              <w:spacing w:line="360" w:lineRule="auto"/>
              <w:ind w:firstLine="420" w:firstLineChars="200"/>
              <w:jc w:val="center"/>
              <w:rPr>
                <w:rFonts w:ascii="宋体" w:hAnsi="宋体" w:cs="宋体"/>
                <w:szCs w:val="21"/>
                <w:highlight w:val="none"/>
              </w:rPr>
            </w:pPr>
          </w:p>
        </w:tc>
        <w:tc>
          <w:tcPr>
            <w:tcW w:w="1308" w:type="dxa"/>
            <w:gridSpan w:val="2"/>
            <w:vAlign w:val="center"/>
          </w:tcPr>
          <w:p>
            <w:pPr>
              <w:autoSpaceDE w:val="0"/>
              <w:autoSpaceDN w:val="0"/>
              <w:adjustRightInd w:val="0"/>
              <w:spacing w:line="360" w:lineRule="auto"/>
              <w:ind w:firstLine="420" w:firstLineChars="200"/>
              <w:jc w:val="center"/>
              <w:rPr>
                <w:rFonts w:ascii="宋体" w:hAnsi="宋体" w:cs="宋体"/>
                <w:szCs w:val="21"/>
                <w:highlight w:val="none"/>
              </w:rPr>
            </w:pPr>
            <w:r>
              <w:rPr>
                <w:rFonts w:hint="eastAsia" w:ascii="宋体" w:hAnsi="宋体" w:cs="宋体"/>
                <w:szCs w:val="21"/>
                <w:highlight w:val="none"/>
              </w:rPr>
              <w:t>电话</w:t>
            </w:r>
          </w:p>
        </w:tc>
        <w:tc>
          <w:tcPr>
            <w:tcW w:w="1210" w:type="dxa"/>
            <w:vAlign w:val="center"/>
          </w:tcPr>
          <w:p>
            <w:pPr>
              <w:autoSpaceDE w:val="0"/>
              <w:autoSpaceDN w:val="0"/>
              <w:adjustRightInd w:val="0"/>
              <w:spacing w:line="360" w:lineRule="auto"/>
              <w:ind w:firstLine="420" w:firstLineChars="200"/>
              <w:jc w:val="center"/>
              <w:rPr>
                <w:rFonts w:ascii="宋体" w:hAnsi="宋体" w:cs="宋体"/>
                <w:szCs w:val="21"/>
                <w:highlight w:val="none"/>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753" w:hRule="atLeast"/>
        </w:trPr>
        <w:tc>
          <w:tcPr>
            <w:tcW w:w="1706" w:type="dxa"/>
            <w:vAlign w:val="center"/>
          </w:tcPr>
          <w:p>
            <w:pPr>
              <w:autoSpaceDE w:val="0"/>
              <w:autoSpaceDN w:val="0"/>
              <w:adjustRightInd w:val="0"/>
              <w:spacing w:line="360" w:lineRule="auto"/>
              <w:jc w:val="center"/>
              <w:rPr>
                <w:rFonts w:ascii="宋体" w:hAnsi="宋体" w:cs="宋体"/>
                <w:szCs w:val="21"/>
                <w:highlight w:val="none"/>
              </w:rPr>
            </w:pPr>
            <w:r>
              <w:rPr>
                <w:rFonts w:hint="eastAsia" w:ascii="宋体" w:hAnsi="宋体" w:cs="宋体"/>
                <w:szCs w:val="21"/>
                <w:highlight w:val="none"/>
              </w:rPr>
              <w:t>成立时间</w:t>
            </w:r>
          </w:p>
        </w:tc>
        <w:tc>
          <w:tcPr>
            <w:tcW w:w="2465" w:type="dxa"/>
            <w:gridSpan w:val="2"/>
            <w:vAlign w:val="center"/>
          </w:tcPr>
          <w:p>
            <w:pPr>
              <w:autoSpaceDE w:val="0"/>
              <w:autoSpaceDN w:val="0"/>
              <w:adjustRightInd w:val="0"/>
              <w:spacing w:line="360" w:lineRule="auto"/>
              <w:ind w:firstLine="420" w:firstLineChars="200"/>
              <w:jc w:val="center"/>
              <w:rPr>
                <w:rFonts w:ascii="宋体" w:hAnsi="宋体" w:cs="宋体"/>
                <w:szCs w:val="21"/>
                <w:highlight w:val="none"/>
              </w:rPr>
            </w:pPr>
          </w:p>
        </w:tc>
        <w:tc>
          <w:tcPr>
            <w:tcW w:w="5400" w:type="dxa"/>
            <w:gridSpan w:val="6"/>
            <w:vAlign w:val="center"/>
          </w:tcPr>
          <w:p>
            <w:pPr>
              <w:autoSpaceDE w:val="0"/>
              <w:autoSpaceDN w:val="0"/>
              <w:adjustRightInd w:val="0"/>
              <w:spacing w:line="360" w:lineRule="auto"/>
              <w:jc w:val="center"/>
              <w:rPr>
                <w:rFonts w:ascii="宋体" w:hAnsi="宋体" w:cs="宋体"/>
                <w:szCs w:val="21"/>
                <w:highlight w:val="none"/>
              </w:rPr>
            </w:pPr>
            <w:r>
              <w:rPr>
                <w:rFonts w:hint="eastAsia" w:ascii="宋体" w:hAnsi="宋体" w:cs="宋体"/>
                <w:szCs w:val="21"/>
                <w:highlight w:val="none"/>
              </w:rPr>
              <w:t>员工总人数：</w:t>
            </w: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812" w:hRule="atLeast"/>
        </w:trPr>
        <w:tc>
          <w:tcPr>
            <w:tcW w:w="1706" w:type="dxa"/>
            <w:vAlign w:val="center"/>
          </w:tcPr>
          <w:p>
            <w:pPr>
              <w:autoSpaceDE w:val="0"/>
              <w:autoSpaceDN w:val="0"/>
              <w:adjustRightInd w:val="0"/>
              <w:spacing w:line="360" w:lineRule="auto"/>
              <w:jc w:val="center"/>
              <w:rPr>
                <w:rFonts w:ascii="宋体" w:hAnsi="宋体" w:cs="宋体"/>
                <w:szCs w:val="21"/>
                <w:highlight w:val="none"/>
              </w:rPr>
            </w:pPr>
            <w:r>
              <w:rPr>
                <w:rFonts w:hint="eastAsia" w:ascii="宋体" w:hAnsi="宋体" w:cs="宋体"/>
                <w:szCs w:val="21"/>
                <w:highlight w:val="none"/>
              </w:rPr>
              <w:t>企业资质等级</w:t>
            </w:r>
          </w:p>
        </w:tc>
        <w:tc>
          <w:tcPr>
            <w:tcW w:w="2465" w:type="dxa"/>
            <w:gridSpan w:val="2"/>
            <w:vAlign w:val="center"/>
          </w:tcPr>
          <w:p>
            <w:pPr>
              <w:autoSpaceDE w:val="0"/>
              <w:autoSpaceDN w:val="0"/>
              <w:adjustRightInd w:val="0"/>
              <w:spacing w:line="360" w:lineRule="auto"/>
              <w:ind w:firstLine="420" w:firstLineChars="200"/>
              <w:jc w:val="center"/>
              <w:rPr>
                <w:rFonts w:ascii="宋体" w:hAnsi="宋体" w:cs="宋体"/>
                <w:szCs w:val="21"/>
                <w:highlight w:val="none"/>
              </w:rPr>
            </w:pPr>
          </w:p>
        </w:tc>
        <w:tc>
          <w:tcPr>
            <w:tcW w:w="1397" w:type="dxa"/>
            <w:vMerge w:val="restart"/>
            <w:vAlign w:val="center"/>
          </w:tcPr>
          <w:p>
            <w:pPr>
              <w:autoSpaceDE w:val="0"/>
              <w:autoSpaceDN w:val="0"/>
              <w:adjustRightInd w:val="0"/>
              <w:spacing w:line="360" w:lineRule="auto"/>
              <w:jc w:val="center"/>
              <w:rPr>
                <w:rFonts w:ascii="宋体" w:hAnsi="宋体" w:cs="宋体"/>
                <w:szCs w:val="21"/>
                <w:highlight w:val="none"/>
              </w:rPr>
            </w:pPr>
            <w:r>
              <w:rPr>
                <w:rFonts w:hint="eastAsia" w:ascii="宋体" w:hAnsi="宋体" w:cs="宋体"/>
                <w:szCs w:val="21"/>
                <w:highlight w:val="none"/>
              </w:rPr>
              <w:t>其中</w:t>
            </w:r>
          </w:p>
        </w:tc>
        <w:tc>
          <w:tcPr>
            <w:tcW w:w="1664" w:type="dxa"/>
            <w:gridSpan w:val="3"/>
            <w:vAlign w:val="center"/>
          </w:tcPr>
          <w:p>
            <w:pPr>
              <w:autoSpaceDE w:val="0"/>
              <w:autoSpaceDN w:val="0"/>
              <w:adjustRightInd w:val="0"/>
              <w:spacing w:line="360" w:lineRule="auto"/>
              <w:jc w:val="center"/>
              <w:rPr>
                <w:rFonts w:ascii="宋体" w:hAnsi="宋体" w:cs="宋体"/>
                <w:szCs w:val="21"/>
                <w:highlight w:val="none"/>
              </w:rPr>
            </w:pPr>
            <w:r>
              <w:rPr>
                <w:rFonts w:hint="eastAsia" w:ascii="宋体" w:hAnsi="宋体" w:cs="宋体"/>
                <w:szCs w:val="21"/>
                <w:highlight w:val="none"/>
              </w:rPr>
              <w:t>项目经理</w:t>
            </w:r>
          </w:p>
        </w:tc>
        <w:tc>
          <w:tcPr>
            <w:tcW w:w="2339" w:type="dxa"/>
            <w:gridSpan w:val="2"/>
            <w:vAlign w:val="center"/>
          </w:tcPr>
          <w:p>
            <w:pPr>
              <w:autoSpaceDE w:val="0"/>
              <w:autoSpaceDN w:val="0"/>
              <w:adjustRightInd w:val="0"/>
              <w:spacing w:line="360" w:lineRule="auto"/>
              <w:ind w:firstLine="420" w:firstLineChars="200"/>
              <w:jc w:val="center"/>
              <w:rPr>
                <w:rFonts w:ascii="宋体" w:hAnsi="宋体" w:cs="宋体"/>
                <w:szCs w:val="21"/>
                <w:highlight w:val="none"/>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543" w:hRule="atLeast"/>
        </w:trPr>
        <w:tc>
          <w:tcPr>
            <w:tcW w:w="1706" w:type="dxa"/>
            <w:vAlign w:val="center"/>
          </w:tcPr>
          <w:p>
            <w:pPr>
              <w:autoSpaceDE w:val="0"/>
              <w:autoSpaceDN w:val="0"/>
              <w:adjustRightInd w:val="0"/>
              <w:spacing w:line="360" w:lineRule="auto"/>
              <w:jc w:val="center"/>
              <w:rPr>
                <w:rFonts w:ascii="宋体" w:hAnsi="宋体" w:cs="宋体"/>
                <w:szCs w:val="21"/>
                <w:highlight w:val="none"/>
              </w:rPr>
            </w:pPr>
            <w:r>
              <w:rPr>
                <w:rFonts w:hint="eastAsia" w:ascii="宋体" w:hAnsi="宋体" w:cs="宋体"/>
                <w:szCs w:val="21"/>
                <w:highlight w:val="none"/>
              </w:rPr>
              <w:t>营业执照号</w:t>
            </w:r>
          </w:p>
        </w:tc>
        <w:tc>
          <w:tcPr>
            <w:tcW w:w="2465" w:type="dxa"/>
            <w:gridSpan w:val="2"/>
            <w:vAlign w:val="center"/>
          </w:tcPr>
          <w:p>
            <w:pPr>
              <w:autoSpaceDE w:val="0"/>
              <w:autoSpaceDN w:val="0"/>
              <w:adjustRightInd w:val="0"/>
              <w:spacing w:line="360" w:lineRule="auto"/>
              <w:ind w:firstLine="420" w:firstLineChars="200"/>
              <w:jc w:val="center"/>
              <w:rPr>
                <w:rFonts w:ascii="宋体" w:hAnsi="宋体" w:cs="宋体"/>
                <w:szCs w:val="21"/>
                <w:highlight w:val="none"/>
              </w:rPr>
            </w:pPr>
          </w:p>
        </w:tc>
        <w:tc>
          <w:tcPr>
            <w:tcW w:w="1397" w:type="dxa"/>
            <w:vMerge w:val="continue"/>
            <w:vAlign w:val="center"/>
          </w:tcPr>
          <w:p>
            <w:pPr>
              <w:autoSpaceDE w:val="0"/>
              <w:autoSpaceDN w:val="0"/>
              <w:adjustRightInd w:val="0"/>
              <w:spacing w:line="360" w:lineRule="auto"/>
              <w:ind w:firstLine="420" w:firstLineChars="200"/>
              <w:jc w:val="center"/>
              <w:rPr>
                <w:rFonts w:ascii="宋体" w:hAnsi="宋体" w:cs="宋体"/>
                <w:szCs w:val="21"/>
                <w:highlight w:val="none"/>
              </w:rPr>
            </w:pPr>
          </w:p>
        </w:tc>
        <w:tc>
          <w:tcPr>
            <w:tcW w:w="1664" w:type="dxa"/>
            <w:gridSpan w:val="3"/>
            <w:vAlign w:val="center"/>
          </w:tcPr>
          <w:p>
            <w:pPr>
              <w:autoSpaceDE w:val="0"/>
              <w:autoSpaceDN w:val="0"/>
              <w:adjustRightInd w:val="0"/>
              <w:spacing w:line="360" w:lineRule="auto"/>
              <w:jc w:val="center"/>
              <w:rPr>
                <w:rFonts w:ascii="宋体" w:hAnsi="宋体" w:cs="宋体"/>
                <w:szCs w:val="21"/>
                <w:highlight w:val="none"/>
              </w:rPr>
            </w:pPr>
            <w:r>
              <w:rPr>
                <w:rFonts w:hint="eastAsia" w:ascii="宋体" w:hAnsi="宋体" w:cs="宋体"/>
                <w:szCs w:val="21"/>
                <w:highlight w:val="none"/>
              </w:rPr>
              <w:t>高级职称人员</w:t>
            </w:r>
          </w:p>
        </w:tc>
        <w:tc>
          <w:tcPr>
            <w:tcW w:w="2339" w:type="dxa"/>
            <w:gridSpan w:val="2"/>
            <w:vAlign w:val="center"/>
          </w:tcPr>
          <w:p>
            <w:pPr>
              <w:autoSpaceDE w:val="0"/>
              <w:autoSpaceDN w:val="0"/>
              <w:adjustRightInd w:val="0"/>
              <w:spacing w:line="360" w:lineRule="auto"/>
              <w:ind w:firstLine="420" w:firstLineChars="200"/>
              <w:jc w:val="center"/>
              <w:rPr>
                <w:rFonts w:ascii="宋体" w:hAnsi="宋体" w:cs="宋体"/>
                <w:szCs w:val="21"/>
                <w:highlight w:val="none"/>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708" w:hRule="atLeast"/>
        </w:trPr>
        <w:tc>
          <w:tcPr>
            <w:tcW w:w="1706" w:type="dxa"/>
            <w:vAlign w:val="center"/>
          </w:tcPr>
          <w:p>
            <w:pPr>
              <w:autoSpaceDE w:val="0"/>
              <w:autoSpaceDN w:val="0"/>
              <w:adjustRightInd w:val="0"/>
              <w:spacing w:line="360" w:lineRule="auto"/>
              <w:jc w:val="center"/>
              <w:rPr>
                <w:rFonts w:ascii="宋体" w:hAnsi="宋体" w:cs="宋体"/>
                <w:szCs w:val="21"/>
                <w:highlight w:val="none"/>
              </w:rPr>
            </w:pPr>
            <w:r>
              <w:rPr>
                <w:rFonts w:hint="eastAsia" w:ascii="宋体" w:hAnsi="宋体" w:cs="宋体"/>
                <w:szCs w:val="21"/>
                <w:highlight w:val="none"/>
              </w:rPr>
              <w:t>注册资金</w:t>
            </w:r>
          </w:p>
        </w:tc>
        <w:tc>
          <w:tcPr>
            <w:tcW w:w="2465" w:type="dxa"/>
            <w:gridSpan w:val="2"/>
            <w:vAlign w:val="center"/>
          </w:tcPr>
          <w:p>
            <w:pPr>
              <w:autoSpaceDE w:val="0"/>
              <w:autoSpaceDN w:val="0"/>
              <w:adjustRightInd w:val="0"/>
              <w:spacing w:line="360" w:lineRule="auto"/>
              <w:ind w:firstLine="420" w:firstLineChars="200"/>
              <w:jc w:val="center"/>
              <w:rPr>
                <w:rFonts w:ascii="宋体" w:hAnsi="宋体" w:cs="宋体"/>
                <w:szCs w:val="21"/>
                <w:highlight w:val="none"/>
              </w:rPr>
            </w:pPr>
          </w:p>
        </w:tc>
        <w:tc>
          <w:tcPr>
            <w:tcW w:w="1397" w:type="dxa"/>
            <w:vMerge w:val="continue"/>
            <w:vAlign w:val="center"/>
          </w:tcPr>
          <w:p>
            <w:pPr>
              <w:autoSpaceDE w:val="0"/>
              <w:autoSpaceDN w:val="0"/>
              <w:adjustRightInd w:val="0"/>
              <w:spacing w:line="360" w:lineRule="auto"/>
              <w:ind w:firstLine="420" w:firstLineChars="200"/>
              <w:jc w:val="center"/>
              <w:rPr>
                <w:rFonts w:ascii="宋体" w:hAnsi="宋体" w:cs="宋体"/>
                <w:szCs w:val="21"/>
                <w:highlight w:val="none"/>
              </w:rPr>
            </w:pPr>
          </w:p>
        </w:tc>
        <w:tc>
          <w:tcPr>
            <w:tcW w:w="1664" w:type="dxa"/>
            <w:gridSpan w:val="3"/>
            <w:vAlign w:val="center"/>
          </w:tcPr>
          <w:p>
            <w:pPr>
              <w:autoSpaceDE w:val="0"/>
              <w:autoSpaceDN w:val="0"/>
              <w:adjustRightInd w:val="0"/>
              <w:spacing w:line="360" w:lineRule="auto"/>
              <w:jc w:val="center"/>
              <w:rPr>
                <w:rFonts w:ascii="宋体" w:hAnsi="宋体" w:cs="宋体"/>
                <w:szCs w:val="21"/>
                <w:highlight w:val="none"/>
              </w:rPr>
            </w:pPr>
            <w:r>
              <w:rPr>
                <w:rFonts w:hint="eastAsia" w:ascii="宋体" w:hAnsi="宋体" w:cs="宋体"/>
                <w:szCs w:val="21"/>
                <w:highlight w:val="none"/>
              </w:rPr>
              <w:t>中级职称人员</w:t>
            </w:r>
          </w:p>
        </w:tc>
        <w:tc>
          <w:tcPr>
            <w:tcW w:w="2339" w:type="dxa"/>
            <w:gridSpan w:val="2"/>
            <w:vAlign w:val="center"/>
          </w:tcPr>
          <w:p>
            <w:pPr>
              <w:autoSpaceDE w:val="0"/>
              <w:autoSpaceDN w:val="0"/>
              <w:adjustRightInd w:val="0"/>
              <w:spacing w:line="360" w:lineRule="auto"/>
              <w:ind w:firstLine="420" w:firstLineChars="200"/>
              <w:jc w:val="center"/>
              <w:rPr>
                <w:rFonts w:ascii="宋体" w:hAnsi="宋体" w:cs="宋体"/>
                <w:szCs w:val="21"/>
                <w:highlight w:val="none"/>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663" w:hRule="atLeast"/>
        </w:trPr>
        <w:tc>
          <w:tcPr>
            <w:tcW w:w="1706" w:type="dxa"/>
            <w:vAlign w:val="center"/>
          </w:tcPr>
          <w:p>
            <w:pPr>
              <w:autoSpaceDE w:val="0"/>
              <w:autoSpaceDN w:val="0"/>
              <w:adjustRightInd w:val="0"/>
              <w:spacing w:line="360" w:lineRule="auto"/>
              <w:jc w:val="center"/>
              <w:rPr>
                <w:rFonts w:ascii="宋体" w:hAnsi="宋体" w:cs="宋体"/>
                <w:szCs w:val="21"/>
                <w:highlight w:val="none"/>
              </w:rPr>
            </w:pPr>
            <w:r>
              <w:rPr>
                <w:rFonts w:hint="eastAsia" w:ascii="宋体" w:hAnsi="宋体" w:cs="宋体"/>
                <w:szCs w:val="21"/>
                <w:highlight w:val="none"/>
              </w:rPr>
              <w:t>开户银行</w:t>
            </w:r>
          </w:p>
        </w:tc>
        <w:tc>
          <w:tcPr>
            <w:tcW w:w="2465" w:type="dxa"/>
            <w:gridSpan w:val="2"/>
            <w:vAlign w:val="center"/>
          </w:tcPr>
          <w:p>
            <w:pPr>
              <w:autoSpaceDE w:val="0"/>
              <w:autoSpaceDN w:val="0"/>
              <w:adjustRightInd w:val="0"/>
              <w:spacing w:line="360" w:lineRule="auto"/>
              <w:ind w:firstLine="420" w:firstLineChars="200"/>
              <w:jc w:val="center"/>
              <w:rPr>
                <w:rFonts w:ascii="宋体" w:hAnsi="宋体" w:cs="宋体"/>
                <w:szCs w:val="21"/>
                <w:highlight w:val="none"/>
              </w:rPr>
            </w:pPr>
          </w:p>
        </w:tc>
        <w:tc>
          <w:tcPr>
            <w:tcW w:w="1397" w:type="dxa"/>
            <w:vMerge w:val="continue"/>
            <w:vAlign w:val="center"/>
          </w:tcPr>
          <w:p>
            <w:pPr>
              <w:autoSpaceDE w:val="0"/>
              <w:autoSpaceDN w:val="0"/>
              <w:adjustRightInd w:val="0"/>
              <w:spacing w:line="360" w:lineRule="auto"/>
              <w:ind w:firstLine="420" w:firstLineChars="200"/>
              <w:jc w:val="center"/>
              <w:rPr>
                <w:rFonts w:ascii="宋体" w:hAnsi="宋体" w:cs="宋体"/>
                <w:szCs w:val="21"/>
                <w:highlight w:val="none"/>
              </w:rPr>
            </w:pPr>
          </w:p>
        </w:tc>
        <w:tc>
          <w:tcPr>
            <w:tcW w:w="1664" w:type="dxa"/>
            <w:gridSpan w:val="3"/>
            <w:vAlign w:val="center"/>
          </w:tcPr>
          <w:p>
            <w:pPr>
              <w:autoSpaceDE w:val="0"/>
              <w:autoSpaceDN w:val="0"/>
              <w:adjustRightInd w:val="0"/>
              <w:spacing w:line="360" w:lineRule="auto"/>
              <w:jc w:val="center"/>
              <w:rPr>
                <w:rFonts w:ascii="宋体" w:hAnsi="宋体" w:cs="宋体"/>
                <w:szCs w:val="21"/>
                <w:highlight w:val="none"/>
              </w:rPr>
            </w:pPr>
            <w:r>
              <w:rPr>
                <w:rFonts w:hint="eastAsia" w:ascii="宋体" w:hAnsi="宋体" w:cs="宋体"/>
                <w:szCs w:val="21"/>
                <w:highlight w:val="none"/>
              </w:rPr>
              <w:t>初级职称人员</w:t>
            </w:r>
          </w:p>
        </w:tc>
        <w:tc>
          <w:tcPr>
            <w:tcW w:w="2339" w:type="dxa"/>
            <w:gridSpan w:val="2"/>
            <w:vAlign w:val="center"/>
          </w:tcPr>
          <w:p>
            <w:pPr>
              <w:autoSpaceDE w:val="0"/>
              <w:autoSpaceDN w:val="0"/>
              <w:adjustRightInd w:val="0"/>
              <w:spacing w:line="360" w:lineRule="auto"/>
              <w:ind w:firstLine="420" w:firstLineChars="200"/>
              <w:jc w:val="center"/>
              <w:rPr>
                <w:rFonts w:ascii="宋体" w:hAnsi="宋体" w:cs="宋体"/>
                <w:szCs w:val="21"/>
                <w:highlight w:val="none"/>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706" w:type="dxa"/>
            <w:vAlign w:val="center"/>
          </w:tcPr>
          <w:p>
            <w:pPr>
              <w:autoSpaceDE w:val="0"/>
              <w:autoSpaceDN w:val="0"/>
              <w:adjustRightInd w:val="0"/>
              <w:spacing w:line="360" w:lineRule="auto"/>
              <w:jc w:val="center"/>
              <w:rPr>
                <w:rFonts w:ascii="宋体" w:hAnsi="宋体" w:cs="宋体"/>
                <w:szCs w:val="21"/>
                <w:highlight w:val="none"/>
              </w:rPr>
            </w:pPr>
            <w:r>
              <w:rPr>
                <w:rFonts w:hint="eastAsia" w:ascii="宋体" w:hAnsi="宋体" w:cs="宋体"/>
                <w:szCs w:val="21"/>
                <w:highlight w:val="none"/>
              </w:rPr>
              <w:t>账号</w:t>
            </w:r>
          </w:p>
        </w:tc>
        <w:tc>
          <w:tcPr>
            <w:tcW w:w="2465" w:type="dxa"/>
            <w:gridSpan w:val="2"/>
            <w:vAlign w:val="center"/>
          </w:tcPr>
          <w:p>
            <w:pPr>
              <w:autoSpaceDE w:val="0"/>
              <w:autoSpaceDN w:val="0"/>
              <w:adjustRightInd w:val="0"/>
              <w:spacing w:line="360" w:lineRule="auto"/>
              <w:ind w:firstLine="420" w:firstLineChars="200"/>
              <w:jc w:val="center"/>
              <w:rPr>
                <w:rFonts w:ascii="宋体" w:hAnsi="宋体" w:cs="宋体"/>
                <w:szCs w:val="21"/>
                <w:highlight w:val="none"/>
              </w:rPr>
            </w:pPr>
          </w:p>
        </w:tc>
        <w:tc>
          <w:tcPr>
            <w:tcW w:w="1397" w:type="dxa"/>
            <w:vMerge w:val="continue"/>
            <w:vAlign w:val="center"/>
          </w:tcPr>
          <w:p>
            <w:pPr>
              <w:autoSpaceDE w:val="0"/>
              <w:autoSpaceDN w:val="0"/>
              <w:adjustRightInd w:val="0"/>
              <w:spacing w:line="360" w:lineRule="auto"/>
              <w:ind w:firstLine="420" w:firstLineChars="200"/>
              <w:jc w:val="center"/>
              <w:rPr>
                <w:rFonts w:ascii="宋体" w:hAnsi="宋体" w:cs="宋体"/>
                <w:szCs w:val="21"/>
                <w:highlight w:val="none"/>
              </w:rPr>
            </w:pPr>
          </w:p>
        </w:tc>
        <w:tc>
          <w:tcPr>
            <w:tcW w:w="1664" w:type="dxa"/>
            <w:gridSpan w:val="3"/>
            <w:vAlign w:val="center"/>
          </w:tcPr>
          <w:p>
            <w:pPr>
              <w:autoSpaceDE w:val="0"/>
              <w:autoSpaceDN w:val="0"/>
              <w:adjustRightInd w:val="0"/>
              <w:spacing w:line="360" w:lineRule="auto"/>
              <w:jc w:val="center"/>
              <w:rPr>
                <w:rFonts w:ascii="宋体" w:hAnsi="宋体" w:cs="宋体"/>
                <w:szCs w:val="21"/>
                <w:highlight w:val="none"/>
              </w:rPr>
            </w:pPr>
            <w:r>
              <w:rPr>
                <w:rFonts w:hint="eastAsia" w:ascii="宋体" w:hAnsi="宋体" w:cs="宋体"/>
                <w:szCs w:val="21"/>
                <w:highlight w:val="none"/>
              </w:rPr>
              <w:t>技工</w:t>
            </w:r>
          </w:p>
        </w:tc>
        <w:tc>
          <w:tcPr>
            <w:tcW w:w="2339" w:type="dxa"/>
            <w:gridSpan w:val="2"/>
            <w:vAlign w:val="center"/>
          </w:tcPr>
          <w:p>
            <w:pPr>
              <w:autoSpaceDE w:val="0"/>
              <w:autoSpaceDN w:val="0"/>
              <w:adjustRightInd w:val="0"/>
              <w:spacing w:line="360" w:lineRule="auto"/>
              <w:ind w:firstLine="420" w:firstLineChars="200"/>
              <w:jc w:val="center"/>
              <w:rPr>
                <w:rFonts w:ascii="宋体" w:hAnsi="宋体" w:cs="宋体"/>
                <w:szCs w:val="21"/>
                <w:highlight w:val="none"/>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1652" w:hRule="atLeast"/>
        </w:trPr>
        <w:tc>
          <w:tcPr>
            <w:tcW w:w="1706" w:type="dxa"/>
            <w:vAlign w:val="center"/>
          </w:tcPr>
          <w:p>
            <w:pPr>
              <w:autoSpaceDE w:val="0"/>
              <w:autoSpaceDN w:val="0"/>
              <w:adjustRightInd w:val="0"/>
              <w:spacing w:line="360" w:lineRule="auto"/>
              <w:jc w:val="center"/>
              <w:rPr>
                <w:rFonts w:ascii="宋体" w:hAnsi="宋体" w:cs="宋体"/>
                <w:szCs w:val="21"/>
                <w:highlight w:val="none"/>
              </w:rPr>
            </w:pPr>
            <w:r>
              <w:rPr>
                <w:rFonts w:hint="eastAsia" w:ascii="宋体" w:hAnsi="宋体" w:cs="宋体"/>
                <w:szCs w:val="21"/>
                <w:highlight w:val="none"/>
              </w:rPr>
              <w:t>经营范围</w:t>
            </w:r>
          </w:p>
        </w:tc>
        <w:tc>
          <w:tcPr>
            <w:tcW w:w="7865" w:type="dxa"/>
            <w:gridSpan w:val="8"/>
            <w:vAlign w:val="center"/>
          </w:tcPr>
          <w:p>
            <w:pPr>
              <w:autoSpaceDE w:val="0"/>
              <w:autoSpaceDN w:val="0"/>
              <w:adjustRightInd w:val="0"/>
              <w:spacing w:line="360" w:lineRule="auto"/>
              <w:ind w:firstLine="420" w:firstLineChars="200"/>
              <w:jc w:val="center"/>
              <w:rPr>
                <w:rFonts w:ascii="宋体" w:hAnsi="宋体" w:cs="宋体"/>
                <w:szCs w:val="21"/>
                <w:highlight w:val="none"/>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1181" w:hRule="atLeast"/>
        </w:trPr>
        <w:tc>
          <w:tcPr>
            <w:tcW w:w="1706" w:type="dxa"/>
            <w:vAlign w:val="center"/>
          </w:tcPr>
          <w:p>
            <w:pPr>
              <w:autoSpaceDE w:val="0"/>
              <w:autoSpaceDN w:val="0"/>
              <w:adjustRightInd w:val="0"/>
              <w:spacing w:line="360" w:lineRule="auto"/>
              <w:jc w:val="center"/>
              <w:rPr>
                <w:rFonts w:ascii="宋体" w:hAnsi="宋体" w:cs="宋体"/>
                <w:szCs w:val="21"/>
                <w:highlight w:val="none"/>
              </w:rPr>
            </w:pPr>
            <w:r>
              <w:rPr>
                <w:rFonts w:hint="eastAsia" w:ascii="宋体" w:hAnsi="宋体" w:cs="宋体"/>
                <w:szCs w:val="21"/>
                <w:highlight w:val="none"/>
              </w:rPr>
              <w:t>备注</w:t>
            </w:r>
          </w:p>
        </w:tc>
        <w:tc>
          <w:tcPr>
            <w:tcW w:w="7865" w:type="dxa"/>
            <w:gridSpan w:val="8"/>
            <w:vAlign w:val="center"/>
          </w:tcPr>
          <w:p>
            <w:pPr>
              <w:autoSpaceDE w:val="0"/>
              <w:autoSpaceDN w:val="0"/>
              <w:adjustRightInd w:val="0"/>
              <w:spacing w:line="360" w:lineRule="auto"/>
              <w:ind w:firstLine="420" w:firstLineChars="200"/>
              <w:jc w:val="center"/>
              <w:rPr>
                <w:rFonts w:ascii="宋体" w:hAnsi="宋体" w:cs="宋体"/>
                <w:szCs w:val="21"/>
                <w:highlight w:val="none"/>
              </w:rPr>
            </w:pPr>
          </w:p>
        </w:tc>
      </w:tr>
    </w:tbl>
    <w:p>
      <w:pPr>
        <w:pStyle w:val="7"/>
        <w:spacing w:before="0" w:after="100" w:afterAutospacing="1"/>
        <w:rPr>
          <w:rFonts w:ascii="宋体" w:hAnsi="宋体" w:cs="宋体"/>
          <w:spacing w:val="10"/>
          <w:highlight w:val="none"/>
        </w:rPr>
      </w:pPr>
      <w:bookmarkStart w:id="530" w:name="_Toc8038"/>
      <w:bookmarkStart w:id="531" w:name="_Toc14157"/>
      <w:bookmarkStart w:id="532" w:name="_Toc29023"/>
      <w:bookmarkStart w:id="533" w:name="_Toc18921"/>
      <w:bookmarkStart w:id="534" w:name="_Toc13727"/>
      <w:bookmarkStart w:id="535" w:name="_Toc30871"/>
      <w:r>
        <w:rPr>
          <w:rFonts w:hint="eastAsia" w:ascii="宋体" w:hAnsi="宋体" w:cs="宋体"/>
          <w:spacing w:val="10"/>
          <w:highlight w:val="none"/>
          <w:lang w:val="en-US" w:eastAsia="zh-CN"/>
        </w:rPr>
        <w:t>13</w:t>
      </w:r>
      <w:r>
        <w:rPr>
          <w:rFonts w:hint="eastAsia" w:ascii="宋体" w:hAnsi="宋体" w:cs="宋体"/>
          <w:spacing w:val="10"/>
          <w:highlight w:val="none"/>
        </w:rPr>
        <w:t>.</w:t>
      </w:r>
      <w:r>
        <w:rPr>
          <w:rFonts w:hint="eastAsia" w:ascii="宋体" w:hAnsi="宋体" w:cs="宋体"/>
          <w:spacing w:val="10"/>
          <w:highlight w:val="none"/>
          <w:lang w:val="en-US" w:eastAsia="zh-CN"/>
        </w:rPr>
        <w:t>符合性审查</w:t>
      </w:r>
      <w:r>
        <w:rPr>
          <w:rFonts w:hint="eastAsia" w:ascii="宋体" w:hAnsi="宋体" w:cs="宋体"/>
          <w:spacing w:val="10"/>
          <w:highlight w:val="none"/>
        </w:rPr>
        <w:t>表</w:t>
      </w:r>
    </w:p>
    <w:tbl>
      <w:tblPr>
        <w:tblStyle w:val="37"/>
        <w:tblW w:w="4645"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0" w:type="dxa"/>
          <w:bottom w:w="0" w:type="dxa"/>
          <w:right w:w="0" w:type="dxa"/>
        </w:tblCellMar>
      </w:tblPr>
      <w:tblGrid>
        <w:gridCol w:w="3784"/>
        <w:gridCol w:w="3273"/>
        <w:gridCol w:w="190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3" w:hRule="atLeast"/>
        </w:trPr>
        <w:tc>
          <w:tcPr>
            <w:tcW w:w="2110" w:type="pct"/>
          </w:tcPr>
          <w:p>
            <w:pPr>
              <w:pStyle w:val="223"/>
              <w:spacing w:before="92"/>
              <w:ind w:left="609"/>
              <w:rPr>
                <w:sz w:val="24"/>
                <w:highlight w:val="none"/>
              </w:rPr>
            </w:pPr>
            <w:r>
              <w:rPr>
                <w:sz w:val="24"/>
                <w:highlight w:val="none"/>
              </w:rPr>
              <w:t>招标</w:t>
            </w:r>
            <w:r>
              <w:rPr>
                <w:rFonts w:hint="eastAsia"/>
                <w:sz w:val="24"/>
                <w:highlight w:val="none"/>
                <w:lang w:val="en-US" w:eastAsia="zh-CN"/>
              </w:rPr>
              <w:t>文件</w:t>
            </w:r>
            <w:r>
              <w:rPr>
                <w:sz w:val="24"/>
                <w:highlight w:val="none"/>
              </w:rPr>
              <w:t>要求投标应答</w:t>
            </w:r>
          </w:p>
        </w:tc>
        <w:tc>
          <w:tcPr>
            <w:tcW w:w="1825" w:type="pct"/>
          </w:tcPr>
          <w:p>
            <w:pPr>
              <w:pStyle w:val="223"/>
              <w:spacing w:before="92"/>
              <w:ind w:left="539"/>
              <w:rPr>
                <w:sz w:val="24"/>
                <w:highlight w:val="none"/>
              </w:rPr>
            </w:pPr>
            <w:r>
              <w:rPr>
                <w:sz w:val="24"/>
                <w:highlight w:val="none"/>
              </w:rPr>
              <w:t>投标</w:t>
            </w:r>
            <w:r>
              <w:rPr>
                <w:rFonts w:hint="eastAsia"/>
                <w:sz w:val="24"/>
                <w:highlight w:val="none"/>
                <w:lang w:val="en-US" w:eastAsia="zh-CN"/>
              </w:rPr>
              <w:t>商</w:t>
            </w:r>
            <w:r>
              <w:rPr>
                <w:sz w:val="24"/>
                <w:highlight w:val="none"/>
              </w:rPr>
              <w:t>应答</w:t>
            </w:r>
          </w:p>
        </w:tc>
        <w:tc>
          <w:tcPr>
            <w:tcW w:w="1063" w:type="pct"/>
          </w:tcPr>
          <w:p>
            <w:pPr>
              <w:pStyle w:val="223"/>
              <w:spacing w:before="92"/>
              <w:ind w:left="129"/>
              <w:rPr>
                <w:sz w:val="24"/>
                <w:highlight w:val="none"/>
              </w:rPr>
            </w:pPr>
            <w:r>
              <w:rPr>
                <w:sz w:val="24"/>
                <w:highlight w:val="none"/>
              </w:rPr>
              <w:t>投标文件页码</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5" w:hRule="atLeast"/>
        </w:trPr>
        <w:tc>
          <w:tcPr>
            <w:tcW w:w="2110" w:type="pct"/>
            <w:vAlign w:val="center"/>
          </w:tcPr>
          <w:p>
            <w:pPr>
              <w:pStyle w:val="223"/>
              <w:spacing w:before="145" w:line="360" w:lineRule="auto"/>
              <w:ind w:left="109" w:leftChars="0" w:right="101" w:rightChars="0"/>
              <w:jc w:val="center"/>
              <w:rPr>
                <w:sz w:val="24"/>
                <w:highlight w:val="none"/>
              </w:rPr>
            </w:pPr>
            <w:r>
              <w:rPr>
                <w:rFonts w:hint="eastAsia"/>
                <w:color w:val="auto"/>
                <w:sz w:val="24"/>
                <w:highlight w:val="none"/>
              </w:rPr>
              <w:t>报价不得超过招标文件中规定的预算金额或者最高限价的</w:t>
            </w:r>
          </w:p>
        </w:tc>
        <w:tc>
          <w:tcPr>
            <w:tcW w:w="1825" w:type="pct"/>
            <w:vAlign w:val="center"/>
          </w:tcPr>
          <w:p>
            <w:pPr>
              <w:pStyle w:val="223"/>
              <w:spacing w:before="145" w:line="360" w:lineRule="auto"/>
              <w:ind w:left="109" w:leftChars="0" w:right="101" w:rightChars="0"/>
              <w:jc w:val="center"/>
              <w:rPr>
                <w:rFonts w:ascii="宋体" w:hAnsi="宋体" w:eastAsia="宋体" w:cs="宋体"/>
                <w:color w:val="000000"/>
                <w:kern w:val="2"/>
                <w:sz w:val="24"/>
                <w:szCs w:val="24"/>
                <w:highlight w:val="none"/>
                <w:lang w:val="en-US" w:eastAsia="zh-CN" w:bidi="ar-SA"/>
              </w:rPr>
            </w:pPr>
          </w:p>
        </w:tc>
        <w:tc>
          <w:tcPr>
            <w:tcW w:w="1063" w:type="pct"/>
          </w:tcPr>
          <w:p>
            <w:pPr>
              <w:pStyle w:val="223"/>
              <w:rPr>
                <w:rFonts w:ascii="Times New Roman"/>
                <w:sz w:val="24"/>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3" w:hRule="atLeast"/>
        </w:trPr>
        <w:tc>
          <w:tcPr>
            <w:tcW w:w="2110" w:type="pct"/>
            <w:vAlign w:val="center"/>
          </w:tcPr>
          <w:p>
            <w:pPr>
              <w:pStyle w:val="223"/>
              <w:spacing w:before="145" w:line="360" w:lineRule="auto"/>
              <w:ind w:left="109" w:leftChars="0" w:right="101" w:rightChars="0"/>
              <w:jc w:val="center"/>
              <w:rPr>
                <w:sz w:val="24"/>
                <w:highlight w:val="none"/>
              </w:rPr>
            </w:pPr>
            <w:r>
              <w:rPr>
                <w:rFonts w:hint="eastAsia"/>
                <w:color w:val="auto"/>
                <w:sz w:val="24"/>
                <w:highlight w:val="none"/>
              </w:rPr>
              <w:t>投标文件严格按照招标文件要求签署、盖章</w:t>
            </w:r>
          </w:p>
        </w:tc>
        <w:tc>
          <w:tcPr>
            <w:tcW w:w="1825" w:type="pct"/>
            <w:vAlign w:val="center"/>
          </w:tcPr>
          <w:p>
            <w:pPr>
              <w:pStyle w:val="223"/>
              <w:spacing w:before="145" w:line="360" w:lineRule="auto"/>
              <w:ind w:left="109" w:leftChars="0" w:right="101" w:rightChars="0"/>
              <w:jc w:val="center"/>
              <w:rPr>
                <w:rFonts w:ascii="宋体" w:hAnsi="宋体" w:eastAsia="宋体" w:cs="宋体"/>
                <w:color w:val="000000"/>
                <w:kern w:val="2"/>
                <w:sz w:val="24"/>
                <w:szCs w:val="24"/>
                <w:highlight w:val="none"/>
                <w:lang w:val="en-US" w:eastAsia="zh-CN" w:bidi="ar-SA"/>
              </w:rPr>
            </w:pPr>
          </w:p>
        </w:tc>
        <w:tc>
          <w:tcPr>
            <w:tcW w:w="1063" w:type="pct"/>
          </w:tcPr>
          <w:p>
            <w:pPr>
              <w:pStyle w:val="223"/>
              <w:rPr>
                <w:rFonts w:ascii="Times New Roman"/>
                <w:sz w:val="24"/>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3" w:hRule="atLeast"/>
        </w:trPr>
        <w:tc>
          <w:tcPr>
            <w:tcW w:w="2110" w:type="pct"/>
            <w:vAlign w:val="center"/>
          </w:tcPr>
          <w:p>
            <w:pPr>
              <w:pStyle w:val="223"/>
              <w:spacing w:before="145" w:line="360" w:lineRule="auto"/>
              <w:ind w:left="109" w:leftChars="0" w:right="101" w:rightChars="0"/>
              <w:jc w:val="center"/>
              <w:rPr>
                <w:sz w:val="24"/>
                <w:highlight w:val="none"/>
              </w:rPr>
            </w:pPr>
            <w:r>
              <w:rPr>
                <w:rFonts w:hint="eastAsia"/>
                <w:color w:val="auto"/>
                <w:sz w:val="24"/>
                <w:highlight w:val="none"/>
              </w:rPr>
              <w:t>投标有效期完全响应招标文件的要求</w:t>
            </w:r>
          </w:p>
        </w:tc>
        <w:tc>
          <w:tcPr>
            <w:tcW w:w="1825" w:type="pct"/>
            <w:vAlign w:val="center"/>
          </w:tcPr>
          <w:p>
            <w:pPr>
              <w:pStyle w:val="223"/>
              <w:spacing w:before="145" w:line="360" w:lineRule="auto"/>
              <w:ind w:left="109" w:leftChars="0" w:right="101" w:rightChars="0"/>
              <w:jc w:val="center"/>
              <w:rPr>
                <w:rFonts w:ascii="宋体" w:hAnsi="宋体" w:eastAsia="宋体" w:cs="宋体"/>
                <w:color w:val="000000"/>
                <w:kern w:val="2"/>
                <w:sz w:val="24"/>
                <w:szCs w:val="24"/>
                <w:highlight w:val="none"/>
                <w:lang w:val="en-US" w:eastAsia="zh-CN" w:bidi="ar-SA"/>
              </w:rPr>
            </w:pPr>
          </w:p>
        </w:tc>
        <w:tc>
          <w:tcPr>
            <w:tcW w:w="1063" w:type="pct"/>
          </w:tcPr>
          <w:p>
            <w:pPr>
              <w:pStyle w:val="223"/>
              <w:rPr>
                <w:rFonts w:ascii="Times New Roman"/>
                <w:sz w:val="24"/>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5" w:hRule="atLeast"/>
        </w:trPr>
        <w:tc>
          <w:tcPr>
            <w:tcW w:w="2110" w:type="pct"/>
            <w:vAlign w:val="center"/>
          </w:tcPr>
          <w:p>
            <w:pPr>
              <w:pStyle w:val="223"/>
              <w:spacing w:before="145" w:line="360" w:lineRule="auto"/>
              <w:ind w:left="109" w:leftChars="0" w:right="101" w:rightChars="0"/>
              <w:jc w:val="center"/>
              <w:rPr>
                <w:sz w:val="24"/>
                <w:highlight w:val="none"/>
              </w:rPr>
            </w:pPr>
            <w:r>
              <w:rPr>
                <w:rFonts w:hint="eastAsia"/>
                <w:color w:val="auto"/>
                <w:sz w:val="24"/>
                <w:highlight w:val="none"/>
              </w:rPr>
              <w:t>交货期完全响应招标文件的要求；</w:t>
            </w:r>
          </w:p>
        </w:tc>
        <w:tc>
          <w:tcPr>
            <w:tcW w:w="1825" w:type="pct"/>
            <w:vAlign w:val="center"/>
          </w:tcPr>
          <w:p>
            <w:pPr>
              <w:pStyle w:val="223"/>
              <w:spacing w:before="145" w:line="360" w:lineRule="auto"/>
              <w:ind w:left="109" w:leftChars="0" w:right="101" w:rightChars="0"/>
              <w:jc w:val="center"/>
              <w:rPr>
                <w:rFonts w:hint="eastAsia" w:ascii="宋体" w:hAnsi="宋体" w:eastAsia="宋体" w:cs="宋体"/>
                <w:color w:val="000000"/>
                <w:kern w:val="2"/>
                <w:sz w:val="24"/>
                <w:szCs w:val="24"/>
                <w:highlight w:val="none"/>
                <w:lang w:val="en-US" w:eastAsia="zh-CN" w:bidi="ar-SA"/>
              </w:rPr>
            </w:pPr>
          </w:p>
        </w:tc>
        <w:tc>
          <w:tcPr>
            <w:tcW w:w="1063" w:type="pct"/>
          </w:tcPr>
          <w:p>
            <w:pPr>
              <w:pStyle w:val="223"/>
              <w:rPr>
                <w:rFonts w:ascii="Times New Roman"/>
                <w:sz w:val="24"/>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5" w:hRule="atLeast"/>
        </w:trPr>
        <w:tc>
          <w:tcPr>
            <w:tcW w:w="2110" w:type="pct"/>
            <w:vAlign w:val="center"/>
          </w:tcPr>
          <w:p>
            <w:pPr>
              <w:pStyle w:val="223"/>
              <w:spacing w:before="145" w:line="360" w:lineRule="auto"/>
              <w:ind w:left="109" w:leftChars="0" w:right="101" w:rightChars="0"/>
              <w:jc w:val="center"/>
              <w:rPr>
                <w:sz w:val="24"/>
                <w:highlight w:val="none"/>
              </w:rPr>
            </w:pPr>
            <w:r>
              <w:rPr>
                <w:rFonts w:hint="eastAsia" w:cs="宋体"/>
                <w:color w:val="auto"/>
                <w:sz w:val="24"/>
                <w:highlight w:val="none"/>
                <w:lang w:eastAsia="zh-CN"/>
              </w:rPr>
              <w:t>付款方式</w:t>
            </w:r>
            <w:r>
              <w:rPr>
                <w:rFonts w:hint="eastAsia" w:cs="宋体"/>
                <w:color w:val="auto"/>
                <w:sz w:val="24"/>
                <w:highlight w:val="none"/>
                <w:lang w:val="en-US" w:eastAsia="zh-CN"/>
              </w:rPr>
              <w:t>完全</w:t>
            </w:r>
            <w:r>
              <w:rPr>
                <w:rFonts w:hint="eastAsia" w:ascii="宋体" w:hAnsi="宋体" w:eastAsia="宋体" w:cs="宋体"/>
                <w:color w:val="auto"/>
                <w:sz w:val="24"/>
                <w:highlight w:val="none"/>
              </w:rPr>
              <w:t>响应招标文件的要求；</w:t>
            </w:r>
          </w:p>
        </w:tc>
        <w:tc>
          <w:tcPr>
            <w:tcW w:w="1825" w:type="pct"/>
            <w:vAlign w:val="center"/>
          </w:tcPr>
          <w:p>
            <w:pPr>
              <w:pStyle w:val="223"/>
              <w:spacing w:before="145" w:line="360" w:lineRule="auto"/>
              <w:ind w:left="109" w:leftChars="0" w:right="101" w:rightChars="0"/>
              <w:jc w:val="center"/>
              <w:rPr>
                <w:rFonts w:ascii="宋体" w:hAnsi="宋体" w:eastAsia="宋体" w:cs="宋体"/>
                <w:color w:val="000000"/>
                <w:kern w:val="2"/>
                <w:sz w:val="24"/>
                <w:szCs w:val="24"/>
                <w:highlight w:val="none"/>
                <w:lang w:val="en-US" w:eastAsia="zh-CN" w:bidi="ar-SA"/>
              </w:rPr>
            </w:pPr>
          </w:p>
        </w:tc>
        <w:tc>
          <w:tcPr>
            <w:tcW w:w="1063" w:type="pct"/>
          </w:tcPr>
          <w:p>
            <w:pPr>
              <w:pStyle w:val="223"/>
              <w:rPr>
                <w:rFonts w:ascii="Times New Roman"/>
                <w:sz w:val="24"/>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5" w:hRule="atLeast"/>
        </w:trPr>
        <w:tc>
          <w:tcPr>
            <w:tcW w:w="2110" w:type="pct"/>
            <w:vAlign w:val="center"/>
          </w:tcPr>
          <w:p>
            <w:pPr>
              <w:pStyle w:val="223"/>
              <w:spacing w:before="145" w:line="360" w:lineRule="auto"/>
              <w:ind w:left="109" w:leftChars="0" w:right="101" w:rightChars="0"/>
              <w:jc w:val="center"/>
              <w:rPr>
                <w:sz w:val="24"/>
                <w:highlight w:val="none"/>
              </w:rPr>
            </w:pPr>
            <w:r>
              <w:rPr>
                <w:rFonts w:hint="eastAsia" w:cs="宋体"/>
                <w:color w:val="auto"/>
                <w:sz w:val="24"/>
                <w:highlight w:val="none"/>
                <w:lang w:val="en-US" w:eastAsia="zh-CN"/>
              </w:rPr>
              <w:t>质保期完全</w:t>
            </w:r>
            <w:r>
              <w:rPr>
                <w:rFonts w:hint="eastAsia" w:ascii="宋体" w:hAnsi="宋体" w:eastAsia="宋体" w:cs="宋体"/>
                <w:color w:val="auto"/>
                <w:sz w:val="24"/>
                <w:highlight w:val="none"/>
              </w:rPr>
              <w:t>响应招标文件的要求；</w:t>
            </w:r>
          </w:p>
        </w:tc>
        <w:tc>
          <w:tcPr>
            <w:tcW w:w="1825" w:type="pct"/>
            <w:vAlign w:val="center"/>
          </w:tcPr>
          <w:p>
            <w:pPr>
              <w:pStyle w:val="223"/>
              <w:spacing w:before="145" w:line="360" w:lineRule="auto"/>
              <w:ind w:left="109" w:leftChars="0" w:right="101" w:rightChars="0"/>
              <w:jc w:val="center"/>
              <w:rPr>
                <w:rFonts w:ascii="宋体" w:hAnsi="宋体" w:eastAsia="宋体" w:cs="宋体"/>
                <w:color w:val="000000"/>
                <w:kern w:val="2"/>
                <w:sz w:val="24"/>
                <w:szCs w:val="24"/>
                <w:highlight w:val="none"/>
                <w:lang w:val="en-US" w:eastAsia="zh-CN" w:bidi="ar-SA"/>
              </w:rPr>
            </w:pPr>
          </w:p>
        </w:tc>
        <w:tc>
          <w:tcPr>
            <w:tcW w:w="1063" w:type="pct"/>
          </w:tcPr>
          <w:p>
            <w:pPr>
              <w:pStyle w:val="223"/>
              <w:rPr>
                <w:rFonts w:ascii="Times New Roman"/>
                <w:sz w:val="24"/>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5" w:hRule="atLeast"/>
        </w:trPr>
        <w:tc>
          <w:tcPr>
            <w:tcW w:w="2110" w:type="pct"/>
            <w:vAlign w:val="center"/>
          </w:tcPr>
          <w:p>
            <w:pPr>
              <w:pStyle w:val="223"/>
              <w:spacing w:before="145" w:line="360" w:lineRule="auto"/>
              <w:ind w:left="109" w:leftChars="0" w:right="101" w:rightChars="0"/>
              <w:jc w:val="center"/>
              <w:rPr>
                <w:sz w:val="24"/>
                <w:highlight w:val="none"/>
              </w:rPr>
            </w:pPr>
            <w:r>
              <w:rPr>
                <w:rFonts w:hint="eastAsia" w:cs="宋体"/>
                <w:sz w:val="24"/>
                <w:highlight w:val="none"/>
                <w:lang w:val="en-US" w:eastAsia="zh-CN"/>
              </w:rPr>
              <w:t>不</w:t>
            </w:r>
            <w:r>
              <w:rPr>
                <w:rFonts w:hint="eastAsia" w:ascii="宋体" w:hAnsi="宋体" w:eastAsia="宋体" w:cs="宋体"/>
                <w:sz w:val="24"/>
                <w:highlight w:val="none"/>
              </w:rPr>
              <w:t>存在法律、法规和招标文件规定的其他无效情形。</w:t>
            </w:r>
          </w:p>
        </w:tc>
        <w:tc>
          <w:tcPr>
            <w:tcW w:w="1825" w:type="pct"/>
            <w:vAlign w:val="center"/>
          </w:tcPr>
          <w:p>
            <w:pPr>
              <w:pStyle w:val="223"/>
              <w:spacing w:before="145" w:line="360" w:lineRule="auto"/>
              <w:ind w:left="109" w:leftChars="0" w:right="101" w:rightChars="0"/>
              <w:jc w:val="center"/>
              <w:rPr>
                <w:rFonts w:hint="eastAsia" w:ascii="宋体" w:hAnsi="宋体" w:eastAsia="宋体" w:cs="宋体"/>
                <w:color w:val="auto"/>
                <w:kern w:val="2"/>
                <w:sz w:val="24"/>
                <w:szCs w:val="24"/>
                <w:highlight w:val="none"/>
                <w:lang w:val="en-US" w:eastAsia="zh-CN" w:bidi="ar-SA"/>
              </w:rPr>
            </w:pPr>
          </w:p>
        </w:tc>
        <w:tc>
          <w:tcPr>
            <w:tcW w:w="1063" w:type="pct"/>
          </w:tcPr>
          <w:p>
            <w:pPr>
              <w:pStyle w:val="223"/>
              <w:rPr>
                <w:rFonts w:ascii="Times New Roman"/>
                <w:sz w:val="24"/>
                <w:highlight w:val="none"/>
              </w:rPr>
            </w:pPr>
          </w:p>
        </w:tc>
      </w:tr>
    </w:tbl>
    <w:p>
      <w:pPr>
        <w:spacing w:line="360" w:lineRule="auto"/>
        <w:rPr>
          <w:rFonts w:ascii="宋体" w:hAnsi="宋体" w:cs="宋体"/>
          <w:spacing w:val="10"/>
          <w:sz w:val="24"/>
          <w:highlight w:val="none"/>
        </w:rPr>
      </w:pPr>
    </w:p>
    <w:p>
      <w:pPr>
        <w:spacing w:line="360" w:lineRule="auto"/>
        <w:ind w:right="480"/>
        <w:rPr>
          <w:rFonts w:ascii="宋体" w:hAnsi="宋体" w:cs="宋体"/>
          <w:spacing w:val="10"/>
          <w:sz w:val="24"/>
          <w:highlight w:val="none"/>
        </w:rPr>
      </w:pPr>
      <w:r>
        <w:rPr>
          <w:rFonts w:hint="eastAsia" w:ascii="宋体" w:hAnsi="宋体" w:cs="宋体"/>
          <w:spacing w:val="10"/>
          <w:sz w:val="24"/>
          <w:highlight w:val="none"/>
        </w:rPr>
        <w:t>投标人（盖章）：</w:t>
      </w:r>
    </w:p>
    <w:p>
      <w:pPr>
        <w:spacing w:line="360" w:lineRule="auto"/>
        <w:ind w:right="480"/>
        <w:rPr>
          <w:rFonts w:ascii="宋体" w:hAnsi="宋体" w:cs="宋体"/>
          <w:spacing w:val="10"/>
          <w:sz w:val="24"/>
          <w:highlight w:val="none"/>
        </w:rPr>
      </w:pPr>
      <w:r>
        <w:rPr>
          <w:rFonts w:hint="eastAsia" w:ascii="宋体" w:hAnsi="宋体" w:cs="宋体"/>
          <w:spacing w:val="10"/>
          <w:sz w:val="24"/>
          <w:highlight w:val="none"/>
        </w:rPr>
        <w:t>法定代表人或授权代表</w:t>
      </w:r>
      <w:r>
        <w:rPr>
          <w:rFonts w:hint="eastAsia" w:ascii="宋体" w:hAnsi="宋体" w:cs="宋体"/>
          <w:sz w:val="24"/>
          <w:highlight w:val="none"/>
        </w:rPr>
        <w:t>（签字或印章）</w:t>
      </w:r>
      <w:r>
        <w:rPr>
          <w:rFonts w:hint="eastAsia" w:ascii="宋体" w:hAnsi="宋体" w:cs="宋体"/>
          <w:spacing w:val="10"/>
          <w:sz w:val="24"/>
          <w:highlight w:val="none"/>
        </w:rPr>
        <w:t>：</w:t>
      </w:r>
    </w:p>
    <w:p>
      <w:pPr>
        <w:spacing w:line="360" w:lineRule="auto"/>
        <w:rPr>
          <w:rFonts w:hint="eastAsia" w:ascii="宋体" w:hAnsi="宋体" w:cs="宋体"/>
          <w:spacing w:val="10"/>
          <w:sz w:val="24"/>
          <w:highlight w:val="none"/>
        </w:rPr>
      </w:pPr>
      <w:r>
        <w:rPr>
          <w:rFonts w:hint="eastAsia" w:ascii="宋体" w:hAnsi="宋体" w:cs="宋体"/>
          <w:spacing w:val="10"/>
          <w:sz w:val="24"/>
          <w:highlight w:val="none"/>
        </w:rPr>
        <w:t>日期：</w:t>
      </w:r>
    </w:p>
    <w:p>
      <w:pPr>
        <w:spacing w:line="360" w:lineRule="auto"/>
        <w:rPr>
          <w:rFonts w:ascii="宋体" w:hAnsi="宋体" w:cs="宋体"/>
          <w:sz w:val="24"/>
          <w:highlight w:val="none"/>
        </w:rPr>
      </w:pPr>
      <w:r>
        <w:rPr>
          <w:rFonts w:hint="eastAsia" w:ascii="宋体" w:hAnsi="宋体" w:cs="宋体"/>
          <w:b/>
          <w:bCs/>
          <w:spacing w:val="10"/>
          <w:sz w:val="24"/>
          <w:highlight w:val="none"/>
          <w:lang w:val="en-US" w:eastAsia="zh-CN"/>
        </w:rPr>
        <w:t>备注：</w:t>
      </w:r>
      <w:r>
        <w:rPr>
          <w:rFonts w:hint="eastAsia" w:ascii="宋体" w:hAnsi="宋体" w:cs="宋体"/>
          <w:b/>
          <w:bCs/>
          <w:sz w:val="24"/>
          <w:highlight w:val="none"/>
        </w:rPr>
        <w:t>投标人有以下任何一项不满足，则视为无效投标</w:t>
      </w:r>
      <w:r>
        <w:rPr>
          <w:rFonts w:hint="eastAsia" w:ascii="宋体" w:hAnsi="宋体" w:cs="宋体"/>
          <w:sz w:val="24"/>
          <w:highlight w:val="none"/>
        </w:rPr>
        <w:t>：</w:t>
      </w:r>
    </w:p>
    <w:p>
      <w:pPr>
        <w:spacing w:line="360" w:lineRule="auto"/>
        <w:rPr>
          <w:rFonts w:ascii="宋体" w:hAnsi="宋体" w:cs="宋体"/>
          <w:b/>
          <w:bCs/>
          <w:highlight w:val="none"/>
        </w:rPr>
      </w:pPr>
    </w:p>
    <w:p>
      <w:pPr>
        <w:pStyle w:val="2"/>
        <w:rPr>
          <w:rFonts w:ascii="宋体" w:hAnsi="宋体" w:cs="宋体"/>
          <w:b/>
          <w:bCs/>
          <w:highlight w:val="none"/>
        </w:rPr>
      </w:pPr>
    </w:p>
    <w:p>
      <w:pPr>
        <w:pStyle w:val="2"/>
        <w:rPr>
          <w:rFonts w:ascii="宋体" w:hAnsi="宋体" w:cs="宋体"/>
          <w:b/>
          <w:bCs/>
          <w:highlight w:val="none"/>
        </w:rPr>
      </w:pPr>
    </w:p>
    <w:p>
      <w:pPr>
        <w:pStyle w:val="2"/>
        <w:rPr>
          <w:rFonts w:ascii="宋体" w:hAnsi="宋体" w:cs="宋体"/>
          <w:b/>
          <w:bCs/>
          <w:highlight w:val="none"/>
        </w:rPr>
      </w:pPr>
    </w:p>
    <w:p>
      <w:pPr>
        <w:pStyle w:val="2"/>
        <w:rPr>
          <w:rFonts w:ascii="宋体" w:hAnsi="宋体" w:cs="宋体"/>
          <w:b/>
          <w:bCs/>
          <w:highlight w:val="none"/>
        </w:rPr>
      </w:pPr>
    </w:p>
    <w:p>
      <w:pPr>
        <w:pStyle w:val="2"/>
        <w:rPr>
          <w:rFonts w:ascii="宋体" w:hAnsi="宋体" w:cs="宋体"/>
          <w:b/>
          <w:bCs/>
          <w:highlight w:val="none"/>
        </w:rPr>
      </w:pPr>
    </w:p>
    <w:p>
      <w:pPr>
        <w:pStyle w:val="2"/>
        <w:rPr>
          <w:rFonts w:ascii="宋体" w:hAnsi="宋体" w:cs="宋体"/>
          <w:b/>
          <w:bCs/>
          <w:highlight w:val="none"/>
        </w:rPr>
      </w:pPr>
    </w:p>
    <w:p>
      <w:pPr>
        <w:pStyle w:val="2"/>
        <w:rPr>
          <w:rFonts w:ascii="宋体" w:hAnsi="宋体" w:cs="宋体"/>
          <w:b/>
          <w:bCs/>
          <w:highlight w:val="none"/>
        </w:rPr>
      </w:pPr>
    </w:p>
    <w:p>
      <w:pPr>
        <w:pStyle w:val="7"/>
        <w:spacing w:before="0" w:after="100" w:afterAutospacing="1"/>
        <w:rPr>
          <w:rFonts w:ascii="宋体" w:hAnsi="宋体" w:cs="宋体"/>
          <w:spacing w:val="10"/>
          <w:highlight w:val="none"/>
        </w:rPr>
      </w:pPr>
      <w:r>
        <w:rPr>
          <w:rFonts w:hint="eastAsia" w:ascii="宋体" w:hAnsi="宋体" w:cs="宋体"/>
          <w:spacing w:val="10"/>
          <w:highlight w:val="none"/>
          <w:lang w:val="en-US" w:eastAsia="zh-CN"/>
        </w:rPr>
        <w:t>14</w:t>
      </w:r>
      <w:r>
        <w:rPr>
          <w:rFonts w:hint="eastAsia" w:ascii="宋体" w:hAnsi="宋体" w:cs="宋体"/>
          <w:spacing w:val="10"/>
          <w:highlight w:val="none"/>
        </w:rPr>
        <w:t>.技术/服务偏离表</w:t>
      </w:r>
      <w:bookmarkEnd w:id="530"/>
      <w:bookmarkEnd w:id="531"/>
      <w:bookmarkEnd w:id="532"/>
      <w:bookmarkEnd w:id="533"/>
      <w:bookmarkEnd w:id="534"/>
      <w:bookmarkEnd w:id="535"/>
    </w:p>
    <w:tbl>
      <w:tblPr>
        <w:tblStyle w:val="37"/>
        <w:tblW w:w="5003"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0" w:type="dxa"/>
          <w:bottom w:w="0" w:type="dxa"/>
          <w:right w:w="0" w:type="dxa"/>
        </w:tblCellMar>
      </w:tblPr>
      <w:tblGrid>
        <w:gridCol w:w="1088"/>
        <w:gridCol w:w="2273"/>
        <w:gridCol w:w="2427"/>
        <w:gridCol w:w="1209"/>
        <w:gridCol w:w="265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0" w:hRule="atLeast"/>
        </w:trPr>
        <w:tc>
          <w:tcPr>
            <w:tcW w:w="564" w:type="pct"/>
          </w:tcPr>
          <w:p>
            <w:pPr>
              <w:pStyle w:val="223"/>
              <w:spacing w:before="37"/>
              <w:ind w:left="69" w:right="60"/>
              <w:jc w:val="center"/>
              <w:rPr>
                <w:sz w:val="24"/>
                <w:highlight w:val="none"/>
              </w:rPr>
            </w:pPr>
            <w:r>
              <w:rPr>
                <w:rFonts w:hint="eastAsia"/>
                <w:sz w:val="24"/>
                <w:highlight w:val="none"/>
              </w:rPr>
              <w:t>招标编号</w:t>
            </w:r>
          </w:p>
        </w:tc>
        <w:tc>
          <w:tcPr>
            <w:tcW w:w="2434" w:type="pct"/>
            <w:gridSpan w:val="2"/>
          </w:tcPr>
          <w:p>
            <w:pPr>
              <w:pStyle w:val="223"/>
              <w:rPr>
                <w:sz w:val="24"/>
                <w:highlight w:val="none"/>
              </w:rPr>
            </w:pPr>
          </w:p>
        </w:tc>
        <w:tc>
          <w:tcPr>
            <w:tcW w:w="626" w:type="pct"/>
          </w:tcPr>
          <w:p>
            <w:pPr>
              <w:pStyle w:val="223"/>
              <w:spacing w:before="37"/>
              <w:ind w:left="125" w:right="114"/>
              <w:jc w:val="center"/>
              <w:rPr>
                <w:sz w:val="24"/>
                <w:highlight w:val="none"/>
              </w:rPr>
            </w:pPr>
            <w:r>
              <w:rPr>
                <w:rFonts w:hint="eastAsia"/>
                <w:sz w:val="24"/>
                <w:highlight w:val="none"/>
              </w:rPr>
              <w:t>包号</w:t>
            </w:r>
          </w:p>
        </w:tc>
        <w:tc>
          <w:tcPr>
            <w:tcW w:w="1373" w:type="pct"/>
          </w:tcPr>
          <w:p>
            <w:pPr>
              <w:pStyle w:val="223"/>
              <w:rPr>
                <w:sz w:val="24"/>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0" w:hRule="atLeast"/>
        </w:trPr>
        <w:tc>
          <w:tcPr>
            <w:tcW w:w="5000" w:type="pct"/>
            <w:gridSpan w:val="5"/>
          </w:tcPr>
          <w:p>
            <w:pPr>
              <w:pStyle w:val="223"/>
              <w:spacing w:before="37"/>
              <w:ind w:right="2389"/>
              <w:jc w:val="center"/>
              <w:rPr>
                <w:sz w:val="24"/>
                <w:highlight w:val="none"/>
              </w:rPr>
            </w:pPr>
            <w:r>
              <w:rPr>
                <w:rFonts w:hint="eastAsia"/>
                <w:sz w:val="24"/>
                <w:highlight w:val="none"/>
                <w:lang w:val="en-US" w:eastAsia="zh-CN"/>
              </w:rPr>
              <w:t xml:space="preserve">                 </w:t>
            </w:r>
            <w:r>
              <w:rPr>
                <w:rFonts w:hint="eastAsia"/>
                <w:sz w:val="24"/>
                <w:highlight w:val="none"/>
              </w:rPr>
              <w:t>技术参数中</w:t>
            </w:r>
            <w:r>
              <w:rPr>
                <w:rFonts w:hint="eastAsia"/>
                <w:sz w:val="24"/>
                <w:highlight w:val="none"/>
                <w:lang w:val="en-US" w:eastAsia="zh-CN"/>
              </w:rPr>
              <w:t>所有</w:t>
            </w:r>
            <w:r>
              <w:rPr>
                <w:rFonts w:hint="eastAsia"/>
                <w:sz w:val="24"/>
                <w:highlight w:val="none"/>
              </w:rPr>
              <w:t>条款应答</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0" w:hRule="atLeast"/>
        </w:trPr>
        <w:tc>
          <w:tcPr>
            <w:tcW w:w="564" w:type="pct"/>
          </w:tcPr>
          <w:p>
            <w:pPr>
              <w:pStyle w:val="223"/>
              <w:spacing w:before="34"/>
              <w:ind w:left="69" w:right="57"/>
              <w:jc w:val="center"/>
              <w:rPr>
                <w:sz w:val="24"/>
                <w:highlight w:val="none"/>
              </w:rPr>
            </w:pPr>
            <w:r>
              <w:rPr>
                <w:rFonts w:hint="eastAsia"/>
                <w:sz w:val="24"/>
                <w:highlight w:val="none"/>
              </w:rPr>
              <w:t>条款号</w:t>
            </w:r>
          </w:p>
        </w:tc>
        <w:tc>
          <w:tcPr>
            <w:tcW w:w="1177" w:type="pct"/>
          </w:tcPr>
          <w:p>
            <w:pPr>
              <w:pStyle w:val="223"/>
              <w:spacing w:before="34"/>
              <w:ind w:left="624" w:right="613"/>
              <w:jc w:val="center"/>
              <w:rPr>
                <w:sz w:val="24"/>
                <w:highlight w:val="none"/>
              </w:rPr>
            </w:pPr>
            <w:r>
              <w:rPr>
                <w:rFonts w:hint="eastAsia"/>
                <w:sz w:val="24"/>
                <w:highlight w:val="none"/>
              </w:rPr>
              <w:t>招标要求</w:t>
            </w:r>
          </w:p>
        </w:tc>
        <w:tc>
          <w:tcPr>
            <w:tcW w:w="1256" w:type="pct"/>
          </w:tcPr>
          <w:p>
            <w:pPr>
              <w:pStyle w:val="223"/>
              <w:spacing w:before="34"/>
              <w:ind w:left="693" w:right="684"/>
              <w:jc w:val="center"/>
              <w:rPr>
                <w:sz w:val="24"/>
                <w:highlight w:val="none"/>
              </w:rPr>
            </w:pPr>
            <w:r>
              <w:rPr>
                <w:rFonts w:hint="eastAsia"/>
                <w:sz w:val="24"/>
                <w:highlight w:val="none"/>
              </w:rPr>
              <w:t>投标应答</w:t>
            </w:r>
          </w:p>
        </w:tc>
        <w:tc>
          <w:tcPr>
            <w:tcW w:w="626" w:type="pct"/>
          </w:tcPr>
          <w:p>
            <w:pPr>
              <w:pStyle w:val="223"/>
              <w:spacing w:before="34"/>
              <w:ind w:left="127" w:right="114"/>
              <w:jc w:val="center"/>
              <w:rPr>
                <w:sz w:val="24"/>
                <w:highlight w:val="none"/>
              </w:rPr>
            </w:pPr>
            <w:r>
              <w:rPr>
                <w:rFonts w:hint="eastAsia"/>
                <w:sz w:val="24"/>
                <w:highlight w:val="none"/>
              </w:rPr>
              <w:t>偏离说明</w:t>
            </w:r>
          </w:p>
        </w:tc>
        <w:tc>
          <w:tcPr>
            <w:tcW w:w="1373" w:type="pct"/>
          </w:tcPr>
          <w:p>
            <w:pPr>
              <w:pStyle w:val="223"/>
              <w:spacing w:before="34"/>
              <w:ind w:left="188"/>
              <w:rPr>
                <w:sz w:val="24"/>
                <w:highlight w:val="none"/>
              </w:rPr>
            </w:pPr>
            <w:r>
              <w:rPr>
                <w:rFonts w:hint="eastAsia"/>
                <w:sz w:val="24"/>
                <w:highlight w:val="none"/>
              </w:rPr>
              <w:t>技术支撑材料所在页码</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0" w:hRule="atLeast"/>
        </w:trPr>
        <w:tc>
          <w:tcPr>
            <w:tcW w:w="564" w:type="pct"/>
          </w:tcPr>
          <w:p>
            <w:pPr>
              <w:pStyle w:val="223"/>
              <w:rPr>
                <w:sz w:val="24"/>
                <w:highlight w:val="none"/>
              </w:rPr>
            </w:pPr>
          </w:p>
        </w:tc>
        <w:tc>
          <w:tcPr>
            <w:tcW w:w="1177" w:type="pct"/>
          </w:tcPr>
          <w:p>
            <w:pPr>
              <w:pStyle w:val="223"/>
              <w:rPr>
                <w:sz w:val="24"/>
                <w:highlight w:val="none"/>
              </w:rPr>
            </w:pPr>
          </w:p>
        </w:tc>
        <w:tc>
          <w:tcPr>
            <w:tcW w:w="1256" w:type="pct"/>
          </w:tcPr>
          <w:p>
            <w:pPr>
              <w:pStyle w:val="223"/>
              <w:rPr>
                <w:sz w:val="24"/>
                <w:highlight w:val="none"/>
              </w:rPr>
            </w:pPr>
          </w:p>
        </w:tc>
        <w:tc>
          <w:tcPr>
            <w:tcW w:w="626" w:type="pct"/>
          </w:tcPr>
          <w:p>
            <w:pPr>
              <w:pStyle w:val="223"/>
              <w:rPr>
                <w:sz w:val="24"/>
                <w:highlight w:val="none"/>
              </w:rPr>
            </w:pPr>
          </w:p>
        </w:tc>
        <w:tc>
          <w:tcPr>
            <w:tcW w:w="1373" w:type="pct"/>
          </w:tcPr>
          <w:p>
            <w:pPr>
              <w:pStyle w:val="223"/>
              <w:rPr>
                <w:sz w:val="24"/>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0" w:hRule="atLeast"/>
        </w:trPr>
        <w:tc>
          <w:tcPr>
            <w:tcW w:w="564" w:type="pct"/>
          </w:tcPr>
          <w:p>
            <w:pPr>
              <w:pStyle w:val="223"/>
              <w:rPr>
                <w:sz w:val="24"/>
                <w:highlight w:val="none"/>
              </w:rPr>
            </w:pPr>
          </w:p>
        </w:tc>
        <w:tc>
          <w:tcPr>
            <w:tcW w:w="1177" w:type="pct"/>
          </w:tcPr>
          <w:p>
            <w:pPr>
              <w:pStyle w:val="223"/>
              <w:rPr>
                <w:sz w:val="24"/>
                <w:highlight w:val="none"/>
              </w:rPr>
            </w:pPr>
          </w:p>
        </w:tc>
        <w:tc>
          <w:tcPr>
            <w:tcW w:w="1256" w:type="pct"/>
          </w:tcPr>
          <w:p>
            <w:pPr>
              <w:pStyle w:val="223"/>
              <w:rPr>
                <w:sz w:val="24"/>
                <w:highlight w:val="none"/>
              </w:rPr>
            </w:pPr>
          </w:p>
        </w:tc>
        <w:tc>
          <w:tcPr>
            <w:tcW w:w="626" w:type="pct"/>
          </w:tcPr>
          <w:p>
            <w:pPr>
              <w:pStyle w:val="223"/>
              <w:rPr>
                <w:sz w:val="24"/>
                <w:highlight w:val="none"/>
              </w:rPr>
            </w:pPr>
          </w:p>
        </w:tc>
        <w:tc>
          <w:tcPr>
            <w:tcW w:w="1373" w:type="pct"/>
          </w:tcPr>
          <w:p>
            <w:pPr>
              <w:pStyle w:val="223"/>
              <w:rPr>
                <w:sz w:val="24"/>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8" w:hRule="atLeast"/>
        </w:trPr>
        <w:tc>
          <w:tcPr>
            <w:tcW w:w="564" w:type="pct"/>
          </w:tcPr>
          <w:p>
            <w:pPr>
              <w:pStyle w:val="223"/>
              <w:rPr>
                <w:sz w:val="24"/>
                <w:highlight w:val="none"/>
              </w:rPr>
            </w:pPr>
          </w:p>
        </w:tc>
        <w:tc>
          <w:tcPr>
            <w:tcW w:w="1177" w:type="pct"/>
          </w:tcPr>
          <w:p>
            <w:pPr>
              <w:pStyle w:val="223"/>
              <w:rPr>
                <w:sz w:val="24"/>
                <w:highlight w:val="none"/>
              </w:rPr>
            </w:pPr>
          </w:p>
        </w:tc>
        <w:tc>
          <w:tcPr>
            <w:tcW w:w="1256" w:type="pct"/>
          </w:tcPr>
          <w:p>
            <w:pPr>
              <w:pStyle w:val="223"/>
              <w:rPr>
                <w:sz w:val="24"/>
                <w:highlight w:val="none"/>
              </w:rPr>
            </w:pPr>
          </w:p>
        </w:tc>
        <w:tc>
          <w:tcPr>
            <w:tcW w:w="626" w:type="pct"/>
          </w:tcPr>
          <w:p>
            <w:pPr>
              <w:pStyle w:val="223"/>
              <w:rPr>
                <w:sz w:val="24"/>
                <w:highlight w:val="none"/>
              </w:rPr>
            </w:pPr>
          </w:p>
        </w:tc>
        <w:tc>
          <w:tcPr>
            <w:tcW w:w="1373" w:type="pct"/>
          </w:tcPr>
          <w:p>
            <w:pPr>
              <w:pStyle w:val="223"/>
              <w:rPr>
                <w:sz w:val="24"/>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0" w:hRule="atLeast"/>
        </w:trPr>
        <w:tc>
          <w:tcPr>
            <w:tcW w:w="564" w:type="pct"/>
          </w:tcPr>
          <w:p>
            <w:pPr>
              <w:pStyle w:val="223"/>
              <w:rPr>
                <w:sz w:val="24"/>
                <w:highlight w:val="none"/>
              </w:rPr>
            </w:pPr>
          </w:p>
        </w:tc>
        <w:tc>
          <w:tcPr>
            <w:tcW w:w="1177" w:type="pct"/>
          </w:tcPr>
          <w:p>
            <w:pPr>
              <w:pStyle w:val="223"/>
              <w:rPr>
                <w:sz w:val="24"/>
                <w:highlight w:val="none"/>
              </w:rPr>
            </w:pPr>
          </w:p>
        </w:tc>
        <w:tc>
          <w:tcPr>
            <w:tcW w:w="1256" w:type="pct"/>
          </w:tcPr>
          <w:p>
            <w:pPr>
              <w:pStyle w:val="223"/>
              <w:rPr>
                <w:sz w:val="24"/>
                <w:highlight w:val="none"/>
              </w:rPr>
            </w:pPr>
          </w:p>
        </w:tc>
        <w:tc>
          <w:tcPr>
            <w:tcW w:w="626" w:type="pct"/>
          </w:tcPr>
          <w:p>
            <w:pPr>
              <w:pStyle w:val="223"/>
              <w:rPr>
                <w:sz w:val="24"/>
                <w:highlight w:val="none"/>
              </w:rPr>
            </w:pPr>
          </w:p>
        </w:tc>
        <w:tc>
          <w:tcPr>
            <w:tcW w:w="1373" w:type="pct"/>
          </w:tcPr>
          <w:p>
            <w:pPr>
              <w:pStyle w:val="223"/>
              <w:rPr>
                <w:sz w:val="24"/>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0" w:hRule="atLeast"/>
        </w:trPr>
        <w:tc>
          <w:tcPr>
            <w:tcW w:w="564" w:type="pct"/>
          </w:tcPr>
          <w:p>
            <w:pPr>
              <w:pStyle w:val="223"/>
              <w:rPr>
                <w:sz w:val="24"/>
                <w:highlight w:val="none"/>
              </w:rPr>
            </w:pPr>
          </w:p>
        </w:tc>
        <w:tc>
          <w:tcPr>
            <w:tcW w:w="1177" w:type="pct"/>
          </w:tcPr>
          <w:p>
            <w:pPr>
              <w:pStyle w:val="223"/>
              <w:rPr>
                <w:sz w:val="24"/>
                <w:highlight w:val="none"/>
              </w:rPr>
            </w:pPr>
          </w:p>
        </w:tc>
        <w:tc>
          <w:tcPr>
            <w:tcW w:w="1256" w:type="pct"/>
          </w:tcPr>
          <w:p>
            <w:pPr>
              <w:pStyle w:val="223"/>
              <w:rPr>
                <w:sz w:val="24"/>
                <w:highlight w:val="none"/>
              </w:rPr>
            </w:pPr>
          </w:p>
        </w:tc>
        <w:tc>
          <w:tcPr>
            <w:tcW w:w="626" w:type="pct"/>
          </w:tcPr>
          <w:p>
            <w:pPr>
              <w:pStyle w:val="223"/>
              <w:rPr>
                <w:sz w:val="24"/>
                <w:highlight w:val="none"/>
              </w:rPr>
            </w:pPr>
          </w:p>
        </w:tc>
        <w:tc>
          <w:tcPr>
            <w:tcW w:w="1373" w:type="pct"/>
          </w:tcPr>
          <w:p>
            <w:pPr>
              <w:pStyle w:val="223"/>
              <w:rPr>
                <w:sz w:val="24"/>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0" w:hRule="atLeast"/>
        </w:trPr>
        <w:tc>
          <w:tcPr>
            <w:tcW w:w="564" w:type="pct"/>
          </w:tcPr>
          <w:p>
            <w:pPr>
              <w:pStyle w:val="223"/>
              <w:rPr>
                <w:sz w:val="24"/>
                <w:highlight w:val="none"/>
              </w:rPr>
            </w:pPr>
          </w:p>
        </w:tc>
        <w:tc>
          <w:tcPr>
            <w:tcW w:w="1177" w:type="pct"/>
          </w:tcPr>
          <w:p>
            <w:pPr>
              <w:pStyle w:val="223"/>
              <w:rPr>
                <w:sz w:val="24"/>
                <w:highlight w:val="none"/>
              </w:rPr>
            </w:pPr>
          </w:p>
        </w:tc>
        <w:tc>
          <w:tcPr>
            <w:tcW w:w="1256" w:type="pct"/>
          </w:tcPr>
          <w:p>
            <w:pPr>
              <w:pStyle w:val="223"/>
              <w:rPr>
                <w:sz w:val="24"/>
                <w:highlight w:val="none"/>
              </w:rPr>
            </w:pPr>
          </w:p>
        </w:tc>
        <w:tc>
          <w:tcPr>
            <w:tcW w:w="626" w:type="pct"/>
          </w:tcPr>
          <w:p>
            <w:pPr>
              <w:pStyle w:val="223"/>
              <w:rPr>
                <w:sz w:val="24"/>
                <w:highlight w:val="none"/>
              </w:rPr>
            </w:pPr>
          </w:p>
        </w:tc>
        <w:tc>
          <w:tcPr>
            <w:tcW w:w="1373" w:type="pct"/>
          </w:tcPr>
          <w:p>
            <w:pPr>
              <w:pStyle w:val="223"/>
              <w:rPr>
                <w:sz w:val="24"/>
                <w:highlight w:val="none"/>
              </w:rPr>
            </w:pPr>
          </w:p>
        </w:tc>
      </w:tr>
    </w:tbl>
    <w:p>
      <w:pPr>
        <w:spacing w:line="360" w:lineRule="auto"/>
        <w:ind w:right="480"/>
        <w:rPr>
          <w:rFonts w:ascii="宋体" w:hAnsi="宋体" w:cs="宋体"/>
          <w:spacing w:val="10"/>
          <w:sz w:val="24"/>
          <w:highlight w:val="none"/>
        </w:rPr>
      </w:pPr>
    </w:p>
    <w:p>
      <w:pPr>
        <w:spacing w:line="360" w:lineRule="auto"/>
        <w:ind w:right="480"/>
        <w:rPr>
          <w:rFonts w:ascii="宋体" w:hAnsi="宋体" w:cs="宋体"/>
          <w:spacing w:val="10"/>
          <w:sz w:val="24"/>
          <w:highlight w:val="none"/>
        </w:rPr>
      </w:pPr>
      <w:r>
        <w:rPr>
          <w:rFonts w:hint="eastAsia" w:ascii="宋体" w:hAnsi="宋体" w:cs="宋体"/>
          <w:spacing w:val="10"/>
          <w:sz w:val="24"/>
          <w:highlight w:val="none"/>
        </w:rPr>
        <w:t>投标人（盖章）：</w:t>
      </w:r>
    </w:p>
    <w:p>
      <w:pPr>
        <w:spacing w:line="360" w:lineRule="auto"/>
        <w:ind w:right="480"/>
        <w:rPr>
          <w:rFonts w:ascii="宋体" w:hAnsi="宋体" w:cs="宋体"/>
          <w:spacing w:val="10"/>
          <w:sz w:val="24"/>
          <w:highlight w:val="none"/>
        </w:rPr>
      </w:pPr>
      <w:r>
        <w:rPr>
          <w:rFonts w:hint="eastAsia" w:ascii="宋体" w:hAnsi="宋体" w:cs="宋体"/>
          <w:spacing w:val="10"/>
          <w:sz w:val="24"/>
          <w:highlight w:val="none"/>
        </w:rPr>
        <w:t>法定代表人或授权代表</w:t>
      </w:r>
      <w:r>
        <w:rPr>
          <w:rFonts w:hint="eastAsia" w:ascii="宋体" w:hAnsi="宋体" w:cs="宋体"/>
          <w:sz w:val="24"/>
          <w:highlight w:val="none"/>
        </w:rPr>
        <w:t>（签字或印章）</w:t>
      </w:r>
      <w:r>
        <w:rPr>
          <w:rFonts w:hint="eastAsia" w:ascii="宋体" w:hAnsi="宋体" w:cs="宋体"/>
          <w:spacing w:val="10"/>
          <w:sz w:val="24"/>
          <w:highlight w:val="none"/>
        </w:rPr>
        <w:t>：</w:t>
      </w:r>
    </w:p>
    <w:p>
      <w:pPr>
        <w:spacing w:line="360" w:lineRule="auto"/>
        <w:ind w:right="480"/>
        <w:rPr>
          <w:rFonts w:ascii="宋体" w:hAnsi="宋体" w:cs="宋体"/>
          <w:spacing w:val="10"/>
          <w:sz w:val="24"/>
          <w:highlight w:val="none"/>
          <w:u w:val="single"/>
        </w:rPr>
      </w:pPr>
      <w:r>
        <w:rPr>
          <w:rFonts w:hint="eastAsia" w:ascii="宋体" w:hAnsi="宋体" w:cs="宋体"/>
          <w:spacing w:val="10"/>
          <w:sz w:val="24"/>
          <w:highlight w:val="none"/>
        </w:rPr>
        <w:t>日期：</w:t>
      </w:r>
    </w:p>
    <w:p>
      <w:pPr>
        <w:autoSpaceDE w:val="0"/>
        <w:autoSpaceDN w:val="0"/>
        <w:spacing w:line="360" w:lineRule="auto"/>
        <w:ind w:right="471"/>
        <w:textAlignment w:val="bottom"/>
        <w:rPr>
          <w:rFonts w:ascii="宋体" w:hAnsi="宋体" w:cs="宋体"/>
          <w:sz w:val="24"/>
          <w:highlight w:val="none"/>
        </w:rPr>
      </w:pPr>
      <w:r>
        <w:rPr>
          <w:rFonts w:hint="eastAsia" w:ascii="宋体" w:hAnsi="宋体" w:cs="宋体"/>
          <w:sz w:val="24"/>
          <w:highlight w:val="none"/>
        </w:rPr>
        <w:t>说明：</w:t>
      </w:r>
    </w:p>
    <w:p>
      <w:pPr>
        <w:autoSpaceDE w:val="0"/>
        <w:autoSpaceDN w:val="0"/>
        <w:spacing w:line="360" w:lineRule="auto"/>
        <w:ind w:right="471"/>
        <w:textAlignment w:val="bottom"/>
        <w:rPr>
          <w:rFonts w:ascii="宋体" w:hAnsi="宋体" w:cs="宋体"/>
          <w:sz w:val="24"/>
          <w:highlight w:val="none"/>
        </w:rPr>
      </w:pPr>
      <w:r>
        <w:rPr>
          <w:rFonts w:hint="eastAsia" w:ascii="宋体" w:hAnsi="宋体" w:cs="宋体"/>
          <w:sz w:val="24"/>
          <w:highlight w:val="none"/>
        </w:rPr>
        <w:t>1、本表须针对招标文件技术规格书逐条应答；</w:t>
      </w:r>
    </w:p>
    <w:p>
      <w:pPr>
        <w:autoSpaceDE w:val="0"/>
        <w:autoSpaceDN w:val="0"/>
        <w:spacing w:line="360" w:lineRule="auto"/>
        <w:ind w:right="471"/>
        <w:textAlignment w:val="bottom"/>
        <w:rPr>
          <w:rFonts w:ascii="宋体" w:hAnsi="宋体" w:cs="宋体"/>
          <w:sz w:val="24"/>
          <w:highlight w:val="none"/>
        </w:rPr>
      </w:pPr>
      <w:r>
        <w:rPr>
          <w:rFonts w:hint="eastAsia" w:ascii="宋体" w:hAnsi="宋体" w:cs="宋体"/>
          <w:sz w:val="24"/>
          <w:highlight w:val="none"/>
        </w:rPr>
        <w:t>2、所应答的技术指标应有具体内容，不能简单复制招标文件内容，或全部响应仅以“符合、满足”应答；</w:t>
      </w:r>
    </w:p>
    <w:p>
      <w:pPr>
        <w:autoSpaceDE w:val="0"/>
        <w:autoSpaceDN w:val="0"/>
        <w:spacing w:line="360" w:lineRule="auto"/>
        <w:ind w:right="471"/>
        <w:textAlignment w:val="bottom"/>
        <w:rPr>
          <w:rFonts w:ascii="宋体" w:hAnsi="宋体" w:cs="宋体"/>
          <w:sz w:val="24"/>
          <w:highlight w:val="none"/>
        </w:rPr>
      </w:pPr>
      <w:r>
        <w:rPr>
          <w:rFonts w:hint="eastAsia" w:ascii="宋体" w:hAnsi="宋体" w:cs="宋体"/>
          <w:sz w:val="24"/>
          <w:highlight w:val="none"/>
        </w:rPr>
        <w:t>3、无论正负偏离均须对偏离情况作具体说明。</w:t>
      </w:r>
    </w:p>
    <w:p>
      <w:pPr>
        <w:spacing w:line="360" w:lineRule="auto"/>
        <w:rPr>
          <w:rFonts w:ascii="宋体" w:hAnsi="宋体" w:cs="宋体"/>
          <w:b/>
          <w:highlight w:val="none"/>
        </w:rPr>
      </w:pPr>
    </w:p>
    <w:p>
      <w:pPr>
        <w:spacing w:line="360" w:lineRule="auto"/>
        <w:rPr>
          <w:rFonts w:ascii="宋体" w:hAnsi="宋体" w:cs="宋体"/>
          <w:b/>
          <w:highlight w:val="none"/>
        </w:rPr>
      </w:pPr>
    </w:p>
    <w:p>
      <w:pPr>
        <w:spacing w:line="360" w:lineRule="auto"/>
        <w:rPr>
          <w:rFonts w:ascii="宋体" w:hAnsi="宋体" w:cs="宋体"/>
          <w:b/>
          <w:highlight w:val="none"/>
        </w:rPr>
      </w:pPr>
    </w:p>
    <w:p>
      <w:pPr>
        <w:spacing w:line="360" w:lineRule="auto"/>
        <w:rPr>
          <w:rFonts w:ascii="宋体" w:hAnsi="宋体" w:cs="宋体"/>
          <w:b/>
          <w:highlight w:val="none"/>
        </w:rPr>
      </w:pPr>
    </w:p>
    <w:p>
      <w:pPr>
        <w:spacing w:line="360" w:lineRule="auto"/>
        <w:rPr>
          <w:rFonts w:ascii="宋体" w:hAnsi="宋体" w:cs="宋体"/>
          <w:b/>
          <w:highlight w:val="none"/>
        </w:rPr>
      </w:pPr>
    </w:p>
    <w:p>
      <w:pPr>
        <w:pStyle w:val="30"/>
        <w:rPr>
          <w:rFonts w:ascii="宋体" w:hAnsi="宋体" w:cs="宋体"/>
          <w:b/>
          <w:highlight w:val="none"/>
        </w:rPr>
      </w:pPr>
    </w:p>
    <w:p>
      <w:pPr>
        <w:rPr>
          <w:highlight w:val="none"/>
        </w:rPr>
      </w:pPr>
    </w:p>
    <w:p>
      <w:pPr>
        <w:pStyle w:val="30"/>
        <w:rPr>
          <w:highlight w:val="none"/>
        </w:rPr>
      </w:pPr>
    </w:p>
    <w:p>
      <w:pPr>
        <w:spacing w:line="360" w:lineRule="auto"/>
        <w:rPr>
          <w:rFonts w:ascii="宋体" w:hAnsi="宋体" w:cs="宋体"/>
          <w:b/>
          <w:highlight w:val="none"/>
        </w:rPr>
      </w:pPr>
    </w:p>
    <w:p>
      <w:pPr>
        <w:pStyle w:val="30"/>
        <w:rPr>
          <w:rFonts w:ascii="宋体" w:hAnsi="宋体" w:cs="宋体"/>
          <w:b/>
          <w:highlight w:val="none"/>
        </w:rPr>
      </w:pPr>
    </w:p>
    <w:p>
      <w:pPr>
        <w:rPr>
          <w:rFonts w:ascii="宋体" w:hAnsi="宋体" w:cs="宋体"/>
          <w:b/>
          <w:highlight w:val="none"/>
        </w:rPr>
      </w:pPr>
    </w:p>
    <w:p>
      <w:pPr>
        <w:pStyle w:val="30"/>
        <w:rPr>
          <w:highlight w:val="none"/>
        </w:rPr>
      </w:pPr>
    </w:p>
    <w:p>
      <w:pPr>
        <w:pStyle w:val="30"/>
        <w:rPr>
          <w:highlight w:val="none"/>
        </w:rPr>
      </w:pPr>
    </w:p>
    <w:p>
      <w:pPr>
        <w:pStyle w:val="7"/>
        <w:spacing w:before="0" w:after="100" w:afterAutospacing="1"/>
        <w:rPr>
          <w:rFonts w:ascii="宋体" w:hAnsi="宋体" w:cs="宋体"/>
          <w:spacing w:val="10"/>
          <w:highlight w:val="none"/>
        </w:rPr>
      </w:pPr>
      <w:bookmarkStart w:id="536" w:name="_Toc25387"/>
      <w:bookmarkStart w:id="537" w:name="_Toc258923313"/>
      <w:bookmarkStart w:id="538" w:name="_Toc5303"/>
      <w:bookmarkStart w:id="539" w:name="_Toc27866"/>
      <w:bookmarkStart w:id="540" w:name="_Toc18409"/>
      <w:bookmarkStart w:id="541" w:name="_Toc24510"/>
      <w:bookmarkStart w:id="542" w:name="_Toc918"/>
      <w:r>
        <w:rPr>
          <w:rFonts w:hint="eastAsia" w:ascii="宋体" w:hAnsi="宋体" w:cs="宋体"/>
          <w:spacing w:val="10"/>
          <w:highlight w:val="none"/>
          <w:lang w:val="en-US" w:eastAsia="zh-CN"/>
        </w:rPr>
        <w:t>15</w:t>
      </w:r>
      <w:r>
        <w:rPr>
          <w:rFonts w:hint="eastAsia" w:ascii="宋体" w:hAnsi="宋体" w:cs="宋体"/>
          <w:spacing w:val="10"/>
          <w:highlight w:val="none"/>
        </w:rPr>
        <w:t>.商务偏离表</w:t>
      </w:r>
      <w:bookmarkEnd w:id="536"/>
      <w:bookmarkEnd w:id="537"/>
      <w:bookmarkEnd w:id="538"/>
      <w:bookmarkEnd w:id="539"/>
      <w:bookmarkEnd w:id="540"/>
      <w:bookmarkEnd w:id="541"/>
      <w:bookmarkEnd w:id="542"/>
    </w:p>
    <w:tbl>
      <w:tblPr>
        <w:tblStyle w:val="37"/>
        <w:tblW w:w="5012"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0" w:type="dxa"/>
          <w:bottom w:w="0" w:type="dxa"/>
          <w:right w:w="0" w:type="dxa"/>
        </w:tblCellMar>
      </w:tblPr>
      <w:tblGrid>
        <w:gridCol w:w="3375"/>
        <w:gridCol w:w="2724"/>
        <w:gridCol w:w="1803"/>
        <w:gridCol w:w="1769"/>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3" w:hRule="atLeast"/>
        </w:trPr>
        <w:tc>
          <w:tcPr>
            <w:tcW w:w="1744" w:type="pct"/>
          </w:tcPr>
          <w:p>
            <w:pPr>
              <w:pStyle w:val="223"/>
              <w:spacing w:before="92"/>
              <w:ind w:left="1010" w:right="1001"/>
              <w:jc w:val="center"/>
              <w:rPr>
                <w:sz w:val="24"/>
                <w:highlight w:val="none"/>
              </w:rPr>
            </w:pPr>
            <w:r>
              <w:rPr>
                <w:rFonts w:hint="eastAsia"/>
                <w:sz w:val="24"/>
                <w:highlight w:val="none"/>
              </w:rPr>
              <w:t>招标</w:t>
            </w:r>
            <w:r>
              <w:rPr>
                <w:sz w:val="24"/>
                <w:highlight w:val="none"/>
              </w:rPr>
              <w:t>编号</w:t>
            </w:r>
          </w:p>
        </w:tc>
        <w:tc>
          <w:tcPr>
            <w:tcW w:w="1408" w:type="pct"/>
          </w:tcPr>
          <w:p>
            <w:pPr>
              <w:pStyle w:val="223"/>
              <w:rPr>
                <w:rFonts w:ascii="Times New Roman"/>
                <w:sz w:val="24"/>
                <w:highlight w:val="none"/>
              </w:rPr>
            </w:pPr>
          </w:p>
        </w:tc>
        <w:tc>
          <w:tcPr>
            <w:tcW w:w="932" w:type="pct"/>
          </w:tcPr>
          <w:p>
            <w:pPr>
              <w:pStyle w:val="223"/>
              <w:spacing w:before="92"/>
              <w:ind w:left="333" w:right="325"/>
              <w:jc w:val="center"/>
              <w:rPr>
                <w:sz w:val="24"/>
                <w:highlight w:val="none"/>
              </w:rPr>
            </w:pPr>
            <w:r>
              <w:rPr>
                <w:sz w:val="24"/>
                <w:highlight w:val="none"/>
              </w:rPr>
              <w:t>包号</w:t>
            </w:r>
          </w:p>
        </w:tc>
        <w:tc>
          <w:tcPr>
            <w:tcW w:w="914" w:type="pct"/>
          </w:tcPr>
          <w:p>
            <w:pPr>
              <w:pStyle w:val="223"/>
              <w:rPr>
                <w:rFonts w:ascii="Times New Roman"/>
                <w:sz w:val="24"/>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3" w:hRule="atLeast"/>
        </w:trPr>
        <w:tc>
          <w:tcPr>
            <w:tcW w:w="1744" w:type="pct"/>
          </w:tcPr>
          <w:p>
            <w:pPr>
              <w:pStyle w:val="223"/>
              <w:spacing w:before="92"/>
              <w:ind w:left="609"/>
              <w:rPr>
                <w:sz w:val="24"/>
                <w:highlight w:val="none"/>
              </w:rPr>
            </w:pPr>
            <w:r>
              <w:rPr>
                <w:sz w:val="24"/>
                <w:highlight w:val="none"/>
              </w:rPr>
              <w:t>招标要求投标应答</w:t>
            </w:r>
          </w:p>
        </w:tc>
        <w:tc>
          <w:tcPr>
            <w:tcW w:w="1408" w:type="pct"/>
          </w:tcPr>
          <w:p>
            <w:pPr>
              <w:pStyle w:val="223"/>
              <w:spacing w:before="92"/>
              <w:ind w:left="539"/>
              <w:rPr>
                <w:sz w:val="24"/>
                <w:highlight w:val="none"/>
              </w:rPr>
            </w:pPr>
            <w:r>
              <w:rPr>
                <w:sz w:val="24"/>
                <w:highlight w:val="none"/>
              </w:rPr>
              <w:t>投标商务应答</w:t>
            </w:r>
          </w:p>
        </w:tc>
        <w:tc>
          <w:tcPr>
            <w:tcW w:w="932" w:type="pct"/>
          </w:tcPr>
          <w:p>
            <w:pPr>
              <w:pStyle w:val="223"/>
              <w:spacing w:before="92"/>
              <w:ind w:left="333" w:right="327"/>
              <w:jc w:val="center"/>
              <w:rPr>
                <w:sz w:val="24"/>
                <w:highlight w:val="none"/>
              </w:rPr>
            </w:pPr>
            <w:r>
              <w:rPr>
                <w:sz w:val="24"/>
                <w:highlight w:val="none"/>
              </w:rPr>
              <w:t>偏离说明</w:t>
            </w:r>
          </w:p>
        </w:tc>
        <w:tc>
          <w:tcPr>
            <w:tcW w:w="914" w:type="pct"/>
          </w:tcPr>
          <w:p>
            <w:pPr>
              <w:pStyle w:val="223"/>
              <w:spacing w:before="92"/>
              <w:ind w:left="129"/>
              <w:rPr>
                <w:sz w:val="24"/>
                <w:highlight w:val="none"/>
              </w:rPr>
            </w:pPr>
            <w:r>
              <w:rPr>
                <w:sz w:val="24"/>
                <w:highlight w:val="none"/>
              </w:rPr>
              <w:t>投标文件页码</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3" w:hRule="atLeast"/>
        </w:trPr>
        <w:tc>
          <w:tcPr>
            <w:tcW w:w="1744" w:type="pct"/>
          </w:tcPr>
          <w:p>
            <w:pPr>
              <w:pStyle w:val="223"/>
              <w:spacing w:before="92"/>
              <w:ind w:left="609"/>
              <w:rPr>
                <w:sz w:val="24"/>
                <w:highlight w:val="none"/>
              </w:rPr>
            </w:pPr>
          </w:p>
        </w:tc>
        <w:tc>
          <w:tcPr>
            <w:tcW w:w="1408" w:type="pct"/>
          </w:tcPr>
          <w:p>
            <w:pPr>
              <w:pStyle w:val="223"/>
              <w:spacing w:before="92"/>
              <w:ind w:left="539"/>
              <w:rPr>
                <w:sz w:val="24"/>
                <w:highlight w:val="none"/>
              </w:rPr>
            </w:pPr>
          </w:p>
        </w:tc>
        <w:tc>
          <w:tcPr>
            <w:tcW w:w="932" w:type="pct"/>
          </w:tcPr>
          <w:p>
            <w:pPr>
              <w:pStyle w:val="223"/>
              <w:spacing w:before="92"/>
              <w:ind w:left="333" w:right="327"/>
              <w:jc w:val="center"/>
              <w:rPr>
                <w:sz w:val="24"/>
                <w:highlight w:val="none"/>
              </w:rPr>
            </w:pPr>
          </w:p>
        </w:tc>
        <w:tc>
          <w:tcPr>
            <w:tcW w:w="914" w:type="pct"/>
          </w:tcPr>
          <w:p>
            <w:pPr>
              <w:pStyle w:val="223"/>
              <w:spacing w:before="92"/>
              <w:ind w:left="129"/>
              <w:rPr>
                <w:sz w:val="24"/>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3" w:hRule="atLeast"/>
        </w:trPr>
        <w:tc>
          <w:tcPr>
            <w:tcW w:w="1744" w:type="pct"/>
          </w:tcPr>
          <w:p>
            <w:pPr>
              <w:pStyle w:val="223"/>
              <w:spacing w:before="92"/>
              <w:ind w:left="609"/>
              <w:rPr>
                <w:sz w:val="24"/>
                <w:highlight w:val="none"/>
              </w:rPr>
            </w:pPr>
          </w:p>
        </w:tc>
        <w:tc>
          <w:tcPr>
            <w:tcW w:w="1408" w:type="pct"/>
          </w:tcPr>
          <w:p>
            <w:pPr>
              <w:pStyle w:val="223"/>
              <w:spacing w:before="92"/>
              <w:ind w:left="539"/>
              <w:rPr>
                <w:sz w:val="24"/>
                <w:highlight w:val="none"/>
              </w:rPr>
            </w:pPr>
          </w:p>
        </w:tc>
        <w:tc>
          <w:tcPr>
            <w:tcW w:w="932" w:type="pct"/>
          </w:tcPr>
          <w:p>
            <w:pPr>
              <w:pStyle w:val="223"/>
              <w:spacing w:before="92"/>
              <w:ind w:left="333" w:right="327"/>
              <w:jc w:val="center"/>
              <w:rPr>
                <w:sz w:val="24"/>
                <w:highlight w:val="none"/>
              </w:rPr>
            </w:pPr>
          </w:p>
        </w:tc>
        <w:tc>
          <w:tcPr>
            <w:tcW w:w="914" w:type="pct"/>
          </w:tcPr>
          <w:p>
            <w:pPr>
              <w:pStyle w:val="223"/>
              <w:spacing w:before="92"/>
              <w:ind w:left="129"/>
              <w:rPr>
                <w:sz w:val="24"/>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3" w:hRule="atLeast"/>
        </w:trPr>
        <w:tc>
          <w:tcPr>
            <w:tcW w:w="1744" w:type="pct"/>
          </w:tcPr>
          <w:p>
            <w:pPr>
              <w:pStyle w:val="223"/>
              <w:spacing w:before="92"/>
              <w:ind w:left="609"/>
              <w:rPr>
                <w:sz w:val="24"/>
                <w:highlight w:val="none"/>
              </w:rPr>
            </w:pPr>
          </w:p>
        </w:tc>
        <w:tc>
          <w:tcPr>
            <w:tcW w:w="1408" w:type="pct"/>
          </w:tcPr>
          <w:p>
            <w:pPr>
              <w:pStyle w:val="223"/>
              <w:spacing w:before="92"/>
              <w:ind w:left="539"/>
              <w:rPr>
                <w:sz w:val="24"/>
                <w:highlight w:val="none"/>
              </w:rPr>
            </w:pPr>
          </w:p>
        </w:tc>
        <w:tc>
          <w:tcPr>
            <w:tcW w:w="932" w:type="pct"/>
          </w:tcPr>
          <w:p>
            <w:pPr>
              <w:pStyle w:val="223"/>
              <w:spacing w:before="92"/>
              <w:ind w:left="333" w:right="327"/>
              <w:jc w:val="center"/>
              <w:rPr>
                <w:sz w:val="24"/>
                <w:highlight w:val="none"/>
              </w:rPr>
            </w:pPr>
          </w:p>
        </w:tc>
        <w:tc>
          <w:tcPr>
            <w:tcW w:w="914" w:type="pct"/>
          </w:tcPr>
          <w:p>
            <w:pPr>
              <w:pStyle w:val="223"/>
              <w:spacing w:before="92"/>
              <w:ind w:left="129"/>
              <w:rPr>
                <w:sz w:val="24"/>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3" w:hRule="atLeast"/>
        </w:trPr>
        <w:tc>
          <w:tcPr>
            <w:tcW w:w="1744" w:type="pct"/>
          </w:tcPr>
          <w:p>
            <w:pPr>
              <w:pStyle w:val="223"/>
              <w:spacing w:before="92"/>
              <w:ind w:left="609"/>
              <w:rPr>
                <w:sz w:val="24"/>
                <w:highlight w:val="none"/>
              </w:rPr>
            </w:pPr>
          </w:p>
        </w:tc>
        <w:tc>
          <w:tcPr>
            <w:tcW w:w="1408" w:type="pct"/>
          </w:tcPr>
          <w:p>
            <w:pPr>
              <w:pStyle w:val="223"/>
              <w:spacing w:before="92"/>
              <w:ind w:left="539"/>
              <w:rPr>
                <w:sz w:val="24"/>
                <w:highlight w:val="none"/>
              </w:rPr>
            </w:pPr>
          </w:p>
        </w:tc>
        <w:tc>
          <w:tcPr>
            <w:tcW w:w="932" w:type="pct"/>
          </w:tcPr>
          <w:p>
            <w:pPr>
              <w:pStyle w:val="223"/>
              <w:spacing w:before="92"/>
              <w:ind w:left="333" w:right="327"/>
              <w:jc w:val="center"/>
              <w:rPr>
                <w:sz w:val="24"/>
                <w:highlight w:val="none"/>
              </w:rPr>
            </w:pPr>
          </w:p>
        </w:tc>
        <w:tc>
          <w:tcPr>
            <w:tcW w:w="914" w:type="pct"/>
          </w:tcPr>
          <w:p>
            <w:pPr>
              <w:pStyle w:val="223"/>
              <w:spacing w:before="92"/>
              <w:ind w:left="129"/>
              <w:rPr>
                <w:sz w:val="24"/>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3" w:hRule="atLeast"/>
        </w:trPr>
        <w:tc>
          <w:tcPr>
            <w:tcW w:w="1744" w:type="pct"/>
          </w:tcPr>
          <w:p>
            <w:pPr>
              <w:pStyle w:val="223"/>
              <w:spacing w:before="92"/>
              <w:ind w:left="609"/>
              <w:rPr>
                <w:sz w:val="24"/>
                <w:highlight w:val="none"/>
              </w:rPr>
            </w:pPr>
          </w:p>
        </w:tc>
        <w:tc>
          <w:tcPr>
            <w:tcW w:w="1408" w:type="pct"/>
          </w:tcPr>
          <w:p>
            <w:pPr>
              <w:pStyle w:val="223"/>
              <w:spacing w:before="92"/>
              <w:ind w:left="539"/>
              <w:rPr>
                <w:sz w:val="24"/>
                <w:highlight w:val="none"/>
              </w:rPr>
            </w:pPr>
          </w:p>
        </w:tc>
        <w:tc>
          <w:tcPr>
            <w:tcW w:w="932" w:type="pct"/>
          </w:tcPr>
          <w:p>
            <w:pPr>
              <w:pStyle w:val="223"/>
              <w:spacing w:before="92"/>
              <w:ind w:left="333" w:right="327"/>
              <w:jc w:val="center"/>
              <w:rPr>
                <w:sz w:val="24"/>
                <w:highlight w:val="none"/>
              </w:rPr>
            </w:pPr>
          </w:p>
        </w:tc>
        <w:tc>
          <w:tcPr>
            <w:tcW w:w="914" w:type="pct"/>
          </w:tcPr>
          <w:p>
            <w:pPr>
              <w:pStyle w:val="223"/>
              <w:spacing w:before="92"/>
              <w:ind w:left="129"/>
              <w:rPr>
                <w:sz w:val="24"/>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3" w:hRule="atLeast"/>
        </w:trPr>
        <w:tc>
          <w:tcPr>
            <w:tcW w:w="1744" w:type="pct"/>
          </w:tcPr>
          <w:p>
            <w:pPr>
              <w:pStyle w:val="223"/>
              <w:spacing w:before="92"/>
              <w:ind w:left="609"/>
              <w:rPr>
                <w:sz w:val="24"/>
                <w:highlight w:val="none"/>
              </w:rPr>
            </w:pPr>
          </w:p>
        </w:tc>
        <w:tc>
          <w:tcPr>
            <w:tcW w:w="1408" w:type="pct"/>
          </w:tcPr>
          <w:p>
            <w:pPr>
              <w:pStyle w:val="223"/>
              <w:spacing w:before="92"/>
              <w:ind w:left="539"/>
              <w:rPr>
                <w:sz w:val="24"/>
                <w:highlight w:val="none"/>
              </w:rPr>
            </w:pPr>
          </w:p>
        </w:tc>
        <w:tc>
          <w:tcPr>
            <w:tcW w:w="932" w:type="pct"/>
          </w:tcPr>
          <w:p>
            <w:pPr>
              <w:pStyle w:val="223"/>
              <w:spacing w:before="92"/>
              <w:ind w:left="333" w:right="327"/>
              <w:jc w:val="center"/>
              <w:rPr>
                <w:sz w:val="24"/>
                <w:highlight w:val="none"/>
              </w:rPr>
            </w:pPr>
          </w:p>
        </w:tc>
        <w:tc>
          <w:tcPr>
            <w:tcW w:w="914" w:type="pct"/>
          </w:tcPr>
          <w:p>
            <w:pPr>
              <w:pStyle w:val="223"/>
              <w:spacing w:before="92"/>
              <w:ind w:left="129"/>
              <w:rPr>
                <w:sz w:val="24"/>
                <w:highlight w:val="none"/>
              </w:rPr>
            </w:pPr>
          </w:p>
        </w:tc>
      </w:tr>
    </w:tbl>
    <w:p>
      <w:pPr>
        <w:spacing w:line="360" w:lineRule="auto"/>
        <w:rPr>
          <w:rFonts w:ascii="宋体" w:hAnsi="宋体" w:cs="宋体"/>
          <w:spacing w:val="10"/>
          <w:sz w:val="24"/>
          <w:highlight w:val="none"/>
        </w:rPr>
      </w:pPr>
    </w:p>
    <w:p>
      <w:pPr>
        <w:spacing w:line="360" w:lineRule="auto"/>
        <w:ind w:right="480"/>
        <w:rPr>
          <w:rFonts w:ascii="宋体" w:hAnsi="宋体" w:cs="宋体"/>
          <w:spacing w:val="10"/>
          <w:sz w:val="24"/>
          <w:highlight w:val="none"/>
        </w:rPr>
      </w:pPr>
      <w:r>
        <w:rPr>
          <w:rFonts w:hint="eastAsia" w:ascii="宋体" w:hAnsi="宋体" w:cs="宋体"/>
          <w:spacing w:val="10"/>
          <w:sz w:val="24"/>
          <w:highlight w:val="none"/>
        </w:rPr>
        <w:t>投标人（盖章）：</w:t>
      </w:r>
    </w:p>
    <w:p>
      <w:pPr>
        <w:spacing w:line="360" w:lineRule="auto"/>
        <w:ind w:right="480"/>
        <w:rPr>
          <w:rFonts w:ascii="宋体" w:hAnsi="宋体" w:cs="宋体"/>
          <w:spacing w:val="10"/>
          <w:sz w:val="24"/>
          <w:highlight w:val="none"/>
        </w:rPr>
      </w:pPr>
      <w:r>
        <w:rPr>
          <w:rFonts w:hint="eastAsia" w:ascii="宋体" w:hAnsi="宋体" w:cs="宋体"/>
          <w:spacing w:val="10"/>
          <w:sz w:val="24"/>
          <w:highlight w:val="none"/>
        </w:rPr>
        <w:t>法定代表人或授权代表</w:t>
      </w:r>
      <w:r>
        <w:rPr>
          <w:rFonts w:hint="eastAsia" w:ascii="宋体" w:hAnsi="宋体" w:cs="宋体"/>
          <w:sz w:val="24"/>
          <w:highlight w:val="none"/>
        </w:rPr>
        <w:t>（签字或印章）</w:t>
      </w:r>
      <w:r>
        <w:rPr>
          <w:rFonts w:hint="eastAsia" w:ascii="宋体" w:hAnsi="宋体" w:cs="宋体"/>
          <w:spacing w:val="10"/>
          <w:sz w:val="24"/>
          <w:highlight w:val="none"/>
        </w:rPr>
        <w:t>：</w:t>
      </w:r>
    </w:p>
    <w:p>
      <w:pPr>
        <w:spacing w:line="360" w:lineRule="auto"/>
        <w:rPr>
          <w:rFonts w:ascii="宋体" w:hAnsi="宋体" w:cs="宋体"/>
          <w:b/>
          <w:bCs/>
          <w:highlight w:val="none"/>
        </w:rPr>
      </w:pPr>
      <w:r>
        <w:rPr>
          <w:rFonts w:hint="eastAsia" w:ascii="宋体" w:hAnsi="宋体" w:cs="宋体"/>
          <w:spacing w:val="10"/>
          <w:sz w:val="24"/>
          <w:highlight w:val="none"/>
        </w:rPr>
        <w:t>日期：</w:t>
      </w:r>
    </w:p>
    <w:p>
      <w:pPr>
        <w:autoSpaceDE w:val="0"/>
        <w:autoSpaceDN w:val="0"/>
        <w:spacing w:line="360" w:lineRule="auto"/>
        <w:textAlignment w:val="bottom"/>
        <w:rPr>
          <w:rFonts w:ascii="宋体" w:hAnsi="宋体" w:cs="宋体"/>
          <w:sz w:val="24"/>
          <w:highlight w:val="none"/>
        </w:rPr>
      </w:pPr>
      <w:r>
        <w:rPr>
          <w:rFonts w:hint="eastAsia" w:ascii="宋体" w:hAnsi="宋体" w:cs="宋体"/>
          <w:sz w:val="24"/>
          <w:highlight w:val="none"/>
        </w:rPr>
        <w:t>说明：</w:t>
      </w:r>
    </w:p>
    <w:p>
      <w:pPr>
        <w:autoSpaceDE w:val="0"/>
        <w:autoSpaceDN w:val="0"/>
        <w:spacing w:line="360" w:lineRule="auto"/>
        <w:textAlignment w:val="bottom"/>
        <w:rPr>
          <w:rFonts w:ascii="宋体" w:hAnsi="宋体" w:cs="宋体"/>
          <w:sz w:val="24"/>
          <w:highlight w:val="none"/>
        </w:rPr>
      </w:pPr>
      <w:r>
        <w:rPr>
          <w:rFonts w:hint="eastAsia" w:ascii="宋体" w:hAnsi="宋体" w:cs="宋体"/>
          <w:sz w:val="24"/>
          <w:highlight w:val="none"/>
        </w:rPr>
        <w:t>1、商务偏离表主要针对招标文件商务条款（包括招标文件中供货期、付款条件、质保期、售后服务等要求）填写；</w:t>
      </w:r>
    </w:p>
    <w:p>
      <w:pPr>
        <w:autoSpaceDE w:val="0"/>
        <w:autoSpaceDN w:val="0"/>
        <w:spacing w:line="360" w:lineRule="auto"/>
        <w:textAlignment w:val="bottom"/>
        <w:rPr>
          <w:rFonts w:ascii="宋体" w:hAnsi="宋体" w:cs="宋体"/>
          <w:sz w:val="24"/>
          <w:highlight w:val="none"/>
        </w:rPr>
      </w:pPr>
      <w:r>
        <w:rPr>
          <w:rFonts w:hint="eastAsia" w:ascii="宋体" w:hAnsi="宋体" w:cs="宋体"/>
          <w:sz w:val="24"/>
          <w:highlight w:val="none"/>
        </w:rPr>
        <w:t>2、对招标文件有任何偏离应列明，并标明“其他无偏离”；</w:t>
      </w:r>
    </w:p>
    <w:p>
      <w:pPr>
        <w:autoSpaceDE w:val="0"/>
        <w:autoSpaceDN w:val="0"/>
        <w:spacing w:line="360" w:lineRule="auto"/>
        <w:textAlignment w:val="bottom"/>
        <w:rPr>
          <w:rFonts w:ascii="宋体" w:hAnsi="宋体" w:cs="宋体"/>
          <w:sz w:val="24"/>
          <w:highlight w:val="none"/>
        </w:rPr>
      </w:pPr>
      <w:r>
        <w:rPr>
          <w:rFonts w:hint="eastAsia" w:ascii="宋体" w:hAnsi="宋体" w:cs="宋体"/>
          <w:sz w:val="24"/>
          <w:highlight w:val="none"/>
        </w:rPr>
        <w:t>3、对招标文件无偏离应标明“全部无偏离”。</w:t>
      </w:r>
    </w:p>
    <w:p>
      <w:pPr>
        <w:spacing w:line="360" w:lineRule="auto"/>
        <w:rPr>
          <w:rFonts w:ascii="宋体" w:hAnsi="宋体" w:cs="宋体"/>
          <w:b/>
          <w:bCs/>
          <w:highlight w:val="none"/>
        </w:rPr>
      </w:pPr>
    </w:p>
    <w:p>
      <w:pPr>
        <w:spacing w:line="360" w:lineRule="auto"/>
        <w:rPr>
          <w:rFonts w:ascii="宋体" w:hAnsi="宋体" w:cs="宋体"/>
          <w:b/>
          <w:bCs/>
          <w:highlight w:val="none"/>
        </w:rPr>
      </w:pPr>
    </w:p>
    <w:p>
      <w:pPr>
        <w:spacing w:line="360" w:lineRule="auto"/>
        <w:rPr>
          <w:rFonts w:ascii="宋体" w:hAnsi="宋体" w:cs="宋体"/>
          <w:b/>
          <w:bCs/>
          <w:highlight w:val="none"/>
        </w:rPr>
      </w:pPr>
    </w:p>
    <w:p>
      <w:pPr>
        <w:spacing w:line="360" w:lineRule="auto"/>
        <w:ind w:right="600"/>
        <w:rPr>
          <w:rFonts w:ascii="宋体" w:hAnsi="宋体" w:cs="宋体"/>
          <w:b/>
          <w:sz w:val="24"/>
          <w:highlight w:val="none"/>
        </w:rPr>
      </w:pPr>
    </w:p>
    <w:p>
      <w:pPr>
        <w:spacing w:line="360" w:lineRule="auto"/>
        <w:ind w:right="600"/>
        <w:rPr>
          <w:rFonts w:ascii="宋体" w:hAnsi="宋体" w:cs="宋体"/>
          <w:b/>
          <w:sz w:val="24"/>
          <w:highlight w:val="none"/>
        </w:rPr>
      </w:pPr>
    </w:p>
    <w:p>
      <w:pPr>
        <w:spacing w:line="360" w:lineRule="auto"/>
        <w:ind w:right="600"/>
        <w:rPr>
          <w:rFonts w:ascii="宋体" w:hAnsi="宋体" w:cs="宋体"/>
          <w:b/>
          <w:sz w:val="24"/>
          <w:highlight w:val="none"/>
        </w:rPr>
      </w:pPr>
    </w:p>
    <w:p>
      <w:pPr>
        <w:pStyle w:val="30"/>
        <w:rPr>
          <w:rFonts w:ascii="宋体" w:hAnsi="宋体" w:cs="宋体"/>
          <w:b/>
          <w:sz w:val="24"/>
          <w:highlight w:val="none"/>
        </w:rPr>
      </w:pPr>
    </w:p>
    <w:p>
      <w:pPr>
        <w:rPr>
          <w:rFonts w:ascii="宋体" w:hAnsi="宋体" w:cs="宋体"/>
          <w:b/>
          <w:sz w:val="24"/>
          <w:highlight w:val="none"/>
        </w:rPr>
      </w:pPr>
    </w:p>
    <w:p>
      <w:pPr>
        <w:pStyle w:val="30"/>
        <w:rPr>
          <w:rFonts w:ascii="宋体" w:hAnsi="宋体" w:cs="宋体"/>
          <w:b/>
          <w:sz w:val="24"/>
          <w:highlight w:val="none"/>
        </w:rPr>
      </w:pPr>
    </w:p>
    <w:p>
      <w:pPr>
        <w:rPr>
          <w:highlight w:val="none"/>
        </w:rPr>
      </w:pPr>
    </w:p>
    <w:p>
      <w:pPr>
        <w:pStyle w:val="7"/>
        <w:spacing w:before="0" w:after="100" w:afterAutospacing="1"/>
        <w:rPr>
          <w:rFonts w:ascii="宋体" w:hAnsi="宋体" w:cs="宋体"/>
          <w:spacing w:val="10"/>
          <w:highlight w:val="none"/>
        </w:rPr>
      </w:pPr>
      <w:bookmarkStart w:id="543" w:name="_Toc258923314"/>
      <w:bookmarkStart w:id="544" w:name="_Toc24409"/>
      <w:bookmarkStart w:id="545" w:name="_Toc4829"/>
      <w:bookmarkStart w:id="546" w:name="_Toc24828"/>
      <w:bookmarkStart w:id="547" w:name="_Toc959"/>
      <w:bookmarkStart w:id="548" w:name="_Toc29269"/>
      <w:bookmarkStart w:id="549" w:name="_Toc22204"/>
      <w:r>
        <w:rPr>
          <w:rFonts w:hint="eastAsia" w:ascii="宋体" w:hAnsi="宋体" w:cs="宋体"/>
          <w:spacing w:val="10"/>
          <w:highlight w:val="none"/>
        </w:rPr>
        <w:t>1</w:t>
      </w:r>
      <w:r>
        <w:rPr>
          <w:rFonts w:hint="eastAsia" w:ascii="宋体" w:hAnsi="宋体" w:cs="宋体"/>
          <w:spacing w:val="10"/>
          <w:highlight w:val="none"/>
          <w:lang w:val="en-US" w:eastAsia="zh-CN"/>
        </w:rPr>
        <w:t>6</w:t>
      </w:r>
      <w:r>
        <w:rPr>
          <w:rFonts w:hint="eastAsia" w:ascii="宋体" w:hAnsi="宋体" w:cs="宋体"/>
          <w:spacing w:val="10"/>
          <w:highlight w:val="none"/>
        </w:rPr>
        <w:t>.</w:t>
      </w:r>
      <w:bookmarkEnd w:id="543"/>
      <w:bookmarkStart w:id="550" w:name="_Toc7169"/>
      <w:r>
        <w:rPr>
          <w:rFonts w:hint="eastAsia" w:ascii="宋体" w:hAnsi="宋体" w:cs="宋体"/>
          <w:spacing w:val="10"/>
          <w:highlight w:val="none"/>
        </w:rPr>
        <w:t>投标人的相关资料和业绩证明材料</w:t>
      </w:r>
      <w:bookmarkEnd w:id="544"/>
      <w:bookmarkEnd w:id="545"/>
      <w:bookmarkEnd w:id="546"/>
      <w:bookmarkEnd w:id="547"/>
      <w:bookmarkEnd w:id="548"/>
      <w:bookmarkEnd w:id="549"/>
      <w:bookmarkEnd w:id="550"/>
    </w:p>
    <w:tbl>
      <w:tblPr>
        <w:tblStyle w:val="37"/>
        <w:tblW w:w="9411"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28" w:type="dxa"/>
          <w:bottom w:w="0" w:type="dxa"/>
          <w:right w:w="28" w:type="dxa"/>
        </w:tblCellMar>
      </w:tblPr>
      <w:tblGrid>
        <w:gridCol w:w="593"/>
        <w:gridCol w:w="1038"/>
        <w:gridCol w:w="1438"/>
        <w:gridCol w:w="1330"/>
        <w:gridCol w:w="1566"/>
        <w:gridCol w:w="1427"/>
        <w:gridCol w:w="2019"/>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740" w:hRule="atLeast"/>
          <w:jc w:val="center"/>
        </w:trPr>
        <w:tc>
          <w:tcPr>
            <w:tcW w:w="593" w:type="dxa"/>
            <w:vAlign w:val="center"/>
          </w:tcPr>
          <w:p>
            <w:pPr>
              <w:spacing w:line="360" w:lineRule="auto"/>
              <w:jc w:val="center"/>
              <w:rPr>
                <w:rFonts w:ascii="宋体" w:hAnsi="宋体" w:cs="宋体"/>
                <w:sz w:val="24"/>
                <w:highlight w:val="none"/>
                <w:shd w:val="clear" w:color="auto" w:fill="FFFFFF"/>
              </w:rPr>
            </w:pPr>
            <w:r>
              <w:rPr>
                <w:rFonts w:hint="eastAsia" w:ascii="宋体" w:hAnsi="宋体" w:cs="宋体"/>
                <w:sz w:val="24"/>
                <w:highlight w:val="none"/>
                <w:shd w:val="clear" w:color="auto" w:fill="FFFFFF"/>
              </w:rPr>
              <w:t>序号</w:t>
            </w:r>
          </w:p>
        </w:tc>
        <w:tc>
          <w:tcPr>
            <w:tcW w:w="1038" w:type="dxa"/>
            <w:vAlign w:val="center"/>
          </w:tcPr>
          <w:p>
            <w:pPr>
              <w:spacing w:line="360" w:lineRule="auto"/>
              <w:jc w:val="center"/>
              <w:rPr>
                <w:rFonts w:ascii="宋体" w:hAnsi="宋体" w:cs="宋体"/>
                <w:sz w:val="24"/>
                <w:highlight w:val="none"/>
                <w:shd w:val="clear" w:color="auto" w:fill="FFFFFF"/>
              </w:rPr>
            </w:pPr>
            <w:r>
              <w:rPr>
                <w:rFonts w:hint="eastAsia" w:ascii="宋体" w:hAnsi="宋体" w:cs="宋体"/>
                <w:sz w:val="24"/>
                <w:highlight w:val="none"/>
                <w:shd w:val="clear" w:color="auto" w:fill="FFFFFF"/>
              </w:rPr>
              <w:t>项目名称</w:t>
            </w:r>
          </w:p>
        </w:tc>
        <w:tc>
          <w:tcPr>
            <w:tcW w:w="1438" w:type="dxa"/>
            <w:vAlign w:val="center"/>
          </w:tcPr>
          <w:p>
            <w:pPr>
              <w:spacing w:line="360" w:lineRule="auto"/>
              <w:jc w:val="center"/>
              <w:rPr>
                <w:rFonts w:ascii="宋体" w:hAnsi="宋体" w:cs="宋体"/>
                <w:sz w:val="24"/>
                <w:highlight w:val="none"/>
                <w:shd w:val="clear" w:color="auto" w:fill="FFFFFF"/>
              </w:rPr>
            </w:pPr>
            <w:r>
              <w:rPr>
                <w:rFonts w:hint="eastAsia" w:ascii="宋体" w:hAnsi="宋体" w:cs="宋体"/>
                <w:sz w:val="24"/>
                <w:highlight w:val="none"/>
                <w:shd w:val="clear" w:color="auto" w:fill="FFFFFF"/>
              </w:rPr>
              <w:t>项目内容</w:t>
            </w:r>
          </w:p>
          <w:p>
            <w:pPr>
              <w:spacing w:line="360" w:lineRule="auto"/>
              <w:jc w:val="center"/>
              <w:rPr>
                <w:rFonts w:ascii="宋体" w:hAnsi="宋体" w:cs="宋体"/>
                <w:sz w:val="24"/>
                <w:highlight w:val="none"/>
                <w:shd w:val="clear" w:color="auto" w:fill="FFFFFF"/>
              </w:rPr>
            </w:pPr>
            <w:r>
              <w:rPr>
                <w:rFonts w:hint="eastAsia" w:ascii="宋体" w:hAnsi="宋体" w:cs="宋体"/>
                <w:sz w:val="24"/>
                <w:highlight w:val="none"/>
                <w:shd w:val="clear" w:color="auto" w:fill="FFFFFF"/>
              </w:rPr>
              <w:t>（类似项目）</w:t>
            </w:r>
          </w:p>
        </w:tc>
        <w:tc>
          <w:tcPr>
            <w:tcW w:w="1330" w:type="dxa"/>
            <w:tcBorders>
              <w:left w:val="single" w:color="auto" w:sz="4" w:space="0"/>
              <w:right w:val="single" w:color="auto" w:sz="4" w:space="0"/>
            </w:tcBorders>
            <w:vAlign w:val="center"/>
          </w:tcPr>
          <w:p>
            <w:pPr>
              <w:spacing w:line="360" w:lineRule="auto"/>
              <w:jc w:val="center"/>
              <w:rPr>
                <w:rFonts w:ascii="宋体" w:hAnsi="宋体" w:cs="宋体"/>
                <w:sz w:val="24"/>
                <w:highlight w:val="none"/>
                <w:shd w:val="clear" w:color="auto" w:fill="FFFFFF"/>
              </w:rPr>
            </w:pPr>
            <w:r>
              <w:rPr>
                <w:rFonts w:hint="eastAsia" w:ascii="宋体" w:hAnsi="宋体" w:cs="宋体"/>
                <w:sz w:val="24"/>
                <w:highlight w:val="none"/>
                <w:shd w:val="clear" w:color="auto" w:fill="FFFFFF"/>
              </w:rPr>
              <w:t>合同金额（万元）</w:t>
            </w:r>
          </w:p>
        </w:tc>
        <w:tc>
          <w:tcPr>
            <w:tcW w:w="1566" w:type="dxa"/>
            <w:tcBorders>
              <w:left w:val="single" w:color="auto" w:sz="4" w:space="0"/>
            </w:tcBorders>
            <w:vAlign w:val="center"/>
          </w:tcPr>
          <w:p>
            <w:pPr>
              <w:spacing w:line="360" w:lineRule="auto"/>
              <w:jc w:val="center"/>
              <w:rPr>
                <w:rFonts w:ascii="宋体" w:hAnsi="宋体" w:cs="宋体"/>
                <w:sz w:val="24"/>
                <w:highlight w:val="none"/>
                <w:shd w:val="clear" w:color="auto" w:fill="FFFFFF"/>
              </w:rPr>
            </w:pPr>
            <w:r>
              <w:rPr>
                <w:rFonts w:hint="eastAsia" w:ascii="宋体" w:hAnsi="宋体" w:cs="宋体"/>
                <w:sz w:val="24"/>
                <w:highlight w:val="none"/>
                <w:shd w:val="clear" w:color="auto" w:fill="FFFFFF"/>
              </w:rPr>
              <w:t>已结算金额（万元）</w:t>
            </w:r>
          </w:p>
        </w:tc>
        <w:tc>
          <w:tcPr>
            <w:tcW w:w="1427" w:type="dxa"/>
            <w:vAlign w:val="center"/>
          </w:tcPr>
          <w:p>
            <w:pPr>
              <w:spacing w:line="360" w:lineRule="auto"/>
              <w:jc w:val="center"/>
              <w:rPr>
                <w:rFonts w:ascii="宋体" w:hAnsi="宋体" w:cs="宋体"/>
                <w:sz w:val="24"/>
                <w:highlight w:val="none"/>
                <w:shd w:val="clear" w:color="auto" w:fill="FFFFFF"/>
              </w:rPr>
            </w:pPr>
            <w:r>
              <w:rPr>
                <w:rFonts w:hint="eastAsia" w:ascii="宋体" w:hAnsi="宋体" w:cs="宋体"/>
                <w:sz w:val="24"/>
                <w:highlight w:val="none"/>
                <w:shd w:val="clear" w:color="auto" w:fill="FFFFFF"/>
              </w:rPr>
              <w:t>完成日期</w:t>
            </w:r>
          </w:p>
        </w:tc>
        <w:tc>
          <w:tcPr>
            <w:tcW w:w="2019" w:type="dxa"/>
            <w:vAlign w:val="center"/>
          </w:tcPr>
          <w:p>
            <w:pPr>
              <w:spacing w:line="360" w:lineRule="auto"/>
              <w:jc w:val="center"/>
              <w:rPr>
                <w:rFonts w:ascii="宋体" w:hAnsi="宋体" w:cs="宋体"/>
                <w:sz w:val="24"/>
                <w:highlight w:val="none"/>
                <w:shd w:val="clear" w:color="auto" w:fill="FFFFFF"/>
              </w:rPr>
            </w:pPr>
            <w:r>
              <w:rPr>
                <w:rFonts w:hint="eastAsia" w:ascii="宋体" w:hAnsi="宋体" w:cs="宋体"/>
                <w:sz w:val="24"/>
                <w:highlight w:val="none"/>
                <w:shd w:val="clear" w:color="auto" w:fill="FFFFFF"/>
              </w:rPr>
              <w:t>业主名称、联系人及电话</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740" w:hRule="atLeast"/>
          <w:jc w:val="center"/>
        </w:trPr>
        <w:tc>
          <w:tcPr>
            <w:tcW w:w="593" w:type="dxa"/>
            <w:vAlign w:val="center"/>
          </w:tcPr>
          <w:p>
            <w:pPr>
              <w:spacing w:line="360" w:lineRule="auto"/>
              <w:ind w:left="120"/>
              <w:jc w:val="center"/>
              <w:rPr>
                <w:rFonts w:ascii="宋体" w:hAnsi="宋体" w:cs="宋体"/>
                <w:sz w:val="24"/>
                <w:highlight w:val="none"/>
                <w:shd w:val="clear" w:color="auto" w:fill="FFFFFF"/>
              </w:rPr>
            </w:pPr>
            <w:r>
              <w:rPr>
                <w:rFonts w:hint="eastAsia" w:ascii="宋体" w:hAnsi="宋体" w:cs="宋体"/>
                <w:sz w:val="24"/>
                <w:highlight w:val="none"/>
                <w:shd w:val="clear" w:color="auto" w:fill="FFFFFF"/>
              </w:rPr>
              <w:t>1</w:t>
            </w:r>
          </w:p>
        </w:tc>
        <w:tc>
          <w:tcPr>
            <w:tcW w:w="1038" w:type="dxa"/>
            <w:vAlign w:val="center"/>
          </w:tcPr>
          <w:p>
            <w:pPr>
              <w:spacing w:line="360" w:lineRule="auto"/>
              <w:jc w:val="center"/>
              <w:rPr>
                <w:rFonts w:ascii="宋体" w:hAnsi="宋体" w:cs="宋体"/>
                <w:sz w:val="24"/>
                <w:highlight w:val="none"/>
                <w:shd w:val="clear" w:color="auto" w:fill="FFFFFF"/>
              </w:rPr>
            </w:pPr>
          </w:p>
        </w:tc>
        <w:tc>
          <w:tcPr>
            <w:tcW w:w="1438" w:type="dxa"/>
            <w:vAlign w:val="center"/>
          </w:tcPr>
          <w:p>
            <w:pPr>
              <w:spacing w:line="360" w:lineRule="auto"/>
              <w:jc w:val="center"/>
              <w:rPr>
                <w:rFonts w:ascii="宋体" w:hAnsi="宋体" w:cs="宋体"/>
                <w:sz w:val="24"/>
                <w:highlight w:val="none"/>
                <w:shd w:val="clear" w:color="auto" w:fill="FFFFFF"/>
              </w:rPr>
            </w:pPr>
          </w:p>
        </w:tc>
        <w:tc>
          <w:tcPr>
            <w:tcW w:w="1330" w:type="dxa"/>
            <w:tcBorders>
              <w:left w:val="single" w:color="auto" w:sz="4" w:space="0"/>
              <w:right w:val="single" w:color="auto" w:sz="4" w:space="0"/>
            </w:tcBorders>
            <w:vAlign w:val="center"/>
          </w:tcPr>
          <w:p>
            <w:pPr>
              <w:spacing w:line="360" w:lineRule="auto"/>
              <w:jc w:val="center"/>
              <w:rPr>
                <w:rFonts w:ascii="宋体" w:hAnsi="宋体" w:cs="宋体"/>
                <w:sz w:val="24"/>
                <w:highlight w:val="none"/>
                <w:shd w:val="clear" w:color="auto" w:fill="FFFFFF"/>
              </w:rPr>
            </w:pPr>
          </w:p>
        </w:tc>
        <w:tc>
          <w:tcPr>
            <w:tcW w:w="1566" w:type="dxa"/>
            <w:tcBorders>
              <w:left w:val="single" w:color="auto" w:sz="4" w:space="0"/>
            </w:tcBorders>
            <w:vAlign w:val="center"/>
          </w:tcPr>
          <w:p>
            <w:pPr>
              <w:spacing w:line="360" w:lineRule="auto"/>
              <w:jc w:val="center"/>
              <w:rPr>
                <w:rFonts w:ascii="宋体" w:hAnsi="宋体" w:cs="宋体"/>
                <w:sz w:val="24"/>
                <w:highlight w:val="none"/>
                <w:shd w:val="clear" w:color="auto" w:fill="FFFFFF"/>
              </w:rPr>
            </w:pPr>
          </w:p>
        </w:tc>
        <w:tc>
          <w:tcPr>
            <w:tcW w:w="1427" w:type="dxa"/>
            <w:vAlign w:val="center"/>
          </w:tcPr>
          <w:p>
            <w:pPr>
              <w:spacing w:line="360" w:lineRule="auto"/>
              <w:jc w:val="center"/>
              <w:rPr>
                <w:rFonts w:ascii="宋体" w:hAnsi="宋体" w:cs="宋体"/>
                <w:sz w:val="24"/>
                <w:highlight w:val="none"/>
                <w:shd w:val="clear" w:color="auto" w:fill="FFFFFF"/>
              </w:rPr>
            </w:pPr>
          </w:p>
        </w:tc>
        <w:tc>
          <w:tcPr>
            <w:tcW w:w="2019" w:type="dxa"/>
            <w:vAlign w:val="center"/>
          </w:tcPr>
          <w:p>
            <w:pPr>
              <w:spacing w:line="360" w:lineRule="auto"/>
              <w:jc w:val="center"/>
              <w:rPr>
                <w:rFonts w:ascii="宋体" w:hAnsi="宋体" w:cs="宋体"/>
                <w:sz w:val="24"/>
                <w:highlight w:val="none"/>
                <w:shd w:val="clear" w:color="auto" w:fill="FFFFFF"/>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740" w:hRule="atLeast"/>
          <w:jc w:val="center"/>
        </w:trPr>
        <w:tc>
          <w:tcPr>
            <w:tcW w:w="593" w:type="dxa"/>
            <w:vAlign w:val="center"/>
          </w:tcPr>
          <w:p>
            <w:pPr>
              <w:spacing w:line="360" w:lineRule="auto"/>
              <w:ind w:left="120"/>
              <w:jc w:val="center"/>
              <w:rPr>
                <w:rFonts w:ascii="宋体" w:hAnsi="宋体" w:cs="宋体"/>
                <w:sz w:val="24"/>
                <w:highlight w:val="none"/>
                <w:shd w:val="clear" w:color="auto" w:fill="FFFFFF"/>
              </w:rPr>
            </w:pPr>
            <w:r>
              <w:rPr>
                <w:rFonts w:hint="eastAsia" w:ascii="宋体" w:hAnsi="宋体" w:cs="宋体"/>
                <w:sz w:val="24"/>
                <w:highlight w:val="none"/>
                <w:shd w:val="clear" w:color="auto" w:fill="FFFFFF"/>
              </w:rPr>
              <w:t>2</w:t>
            </w:r>
          </w:p>
        </w:tc>
        <w:tc>
          <w:tcPr>
            <w:tcW w:w="1038" w:type="dxa"/>
            <w:vAlign w:val="center"/>
          </w:tcPr>
          <w:p>
            <w:pPr>
              <w:spacing w:line="360" w:lineRule="auto"/>
              <w:jc w:val="center"/>
              <w:rPr>
                <w:rFonts w:ascii="宋体" w:hAnsi="宋体" w:cs="宋体"/>
                <w:sz w:val="24"/>
                <w:highlight w:val="none"/>
                <w:shd w:val="clear" w:color="auto" w:fill="FFFFFF"/>
              </w:rPr>
            </w:pPr>
          </w:p>
        </w:tc>
        <w:tc>
          <w:tcPr>
            <w:tcW w:w="1438" w:type="dxa"/>
            <w:vAlign w:val="center"/>
          </w:tcPr>
          <w:p>
            <w:pPr>
              <w:spacing w:line="360" w:lineRule="auto"/>
              <w:jc w:val="center"/>
              <w:rPr>
                <w:rFonts w:ascii="宋体" w:hAnsi="宋体" w:cs="宋体"/>
                <w:sz w:val="24"/>
                <w:highlight w:val="none"/>
                <w:shd w:val="clear" w:color="auto" w:fill="FFFFFF"/>
              </w:rPr>
            </w:pPr>
          </w:p>
        </w:tc>
        <w:tc>
          <w:tcPr>
            <w:tcW w:w="1330" w:type="dxa"/>
            <w:tcBorders>
              <w:left w:val="single" w:color="auto" w:sz="4" w:space="0"/>
              <w:right w:val="single" w:color="auto" w:sz="4" w:space="0"/>
            </w:tcBorders>
            <w:vAlign w:val="center"/>
          </w:tcPr>
          <w:p>
            <w:pPr>
              <w:spacing w:line="360" w:lineRule="auto"/>
              <w:jc w:val="center"/>
              <w:rPr>
                <w:rFonts w:ascii="宋体" w:hAnsi="宋体" w:cs="宋体"/>
                <w:sz w:val="24"/>
                <w:highlight w:val="none"/>
                <w:shd w:val="clear" w:color="auto" w:fill="FFFFFF"/>
              </w:rPr>
            </w:pPr>
          </w:p>
        </w:tc>
        <w:tc>
          <w:tcPr>
            <w:tcW w:w="1566" w:type="dxa"/>
            <w:tcBorders>
              <w:left w:val="single" w:color="auto" w:sz="4" w:space="0"/>
            </w:tcBorders>
            <w:vAlign w:val="center"/>
          </w:tcPr>
          <w:p>
            <w:pPr>
              <w:spacing w:line="360" w:lineRule="auto"/>
              <w:jc w:val="center"/>
              <w:rPr>
                <w:rFonts w:ascii="宋体" w:hAnsi="宋体" w:cs="宋体"/>
                <w:sz w:val="24"/>
                <w:highlight w:val="none"/>
                <w:shd w:val="clear" w:color="auto" w:fill="FFFFFF"/>
              </w:rPr>
            </w:pPr>
          </w:p>
        </w:tc>
        <w:tc>
          <w:tcPr>
            <w:tcW w:w="1427" w:type="dxa"/>
            <w:vAlign w:val="center"/>
          </w:tcPr>
          <w:p>
            <w:pPr>
              <w:spacing w:line="360" w:lineRule="auto"/>
              <w:jc w:val="center"/>
              <w:rPr>
                <w:rFonts w:ascii="宋体" w:hAnsi="宋体" w:cs="宋体"/>
                <w:sz w:val="24"/>
                <w:highlight w:val="none"/>
                <w:shd w:val="clear" w:color="auto" w:fill="FFFFFF"/>
              </w:rPr>
            </w:pPr>
          </w:p>
        </w:tc>
        <w:tc>
          <w:tcPr>
            <w:tcW w:w="2019" w:type="dxa"/>
            <w:vAlign w:val="center"/>
          </w:tcPr>
          <w:p>
            <w:pPr>
              <w:spacing w:line="360" w:lineRule="auto"/>
              <w:jc w:val="center"/>
              <w:rPr>
                <w:rFonts w:ascii="宋体" w:hAnsi="宋体" w:cs="宋体"/>
                <w:sz w:val="24"/>
                <w:highlight w:val="none"/>
                <w:shd w:val="clear" w:color="auto" w:fill="FFFFFF"/>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740" w:hRule="atLeast"/>
          <w:jc w:val="center"/>
        </w:trPr>
        <w:tc>
          <w:tcPr>
            <w:tcW w:w="593" w:type="dxa"/>
            <w:vAlign w:val="center"/>
          </w:tcPr>
          <w:p>
            <w:pPr>
              <w:spacing w:line="360" w:lineRule="auto"/>
              <w:ind w:left="120"/>
              <w:jc w:val="center"/>
              <w:rPr>
                <w:rFonts w:ascii="宋体" w:hAnsi="宋体" w:cs="宋体"/>
                <w:sz w:val="24"/>
                <w:highlight w:val="none"/>
                <w:shd w:val="clear" w:color="auto" w:fill="FFFFFF"/>
              </w:rPr>
            </w:pPr>
            <w:r>
              <w:rPr>
                <w:rFonts w:hint="eastAsia" w:ascii="宋体" w:hAnsi="宋体" w:cs="宋体"/>
                <w:sz w:val="24"/>
                <w:highlight w:val="none"/>
                <w:shd w:val="clear" w:color="auto" w:fill="FFFFFF"/>
              </w:rPr>
              <w:t>3</w:t>
            </w:r>
          </w:p>
        </w:tc>
        <w:tc>
          <w:tcPr>
            <w:tcW w:w="1038" w:type="dxa"/>
            <w:vAlign w:val="center"/>
          </w:tcPr>
          <w:p>
            <w:pPr>
              <w:spacing w:line="360" w:lineRule="auto"/>
              <w:jc w:val="center"/>
              <w:rPr>
                <w:rFonts w:ascii="宋体" w:hAnsi="宋体" w:cs="宋体"/>
                <w:sz w:val="24"/>
                <w:highlight w:val="none"/>
                <w:shd w:val="clear" w:color="auto" w:fill="FFFFFF"/>
              </w:rPr>
            </w:pPr>
          </w:p>
        </w:tc>
        <w:tc>
          <w:tcPr>
            <w:tcW w:w="1438" w:type="dxa"/>
            <w:vAlign w:val="center"/>
          </w:tcPr>
          <w:p>
            <w:pPr>
              <w:spacing w:line="360" w:lineRule="auto"/>
              <w:jc w:val="center"/>
              <w:rPr>
                <w:rFonts w:ascii="宋体" w:hAnsi="宋体" w:cs="宋体"/>
                <w:sz w:val="24"/>
                <w:highlight w:val="none"/>
                <w:shd w:val="clear" w:color="auto" w:fill="FFFFFF"/>
              </w:rPr>
            </w:pPr>
          </w:p>
        </w:tc>
        <w:tc>
          <w:tcPr>
            <w:tcW w:w="1330" w:type="dxa"/>
            <w:tcBorders>
              <w:left w:val="single" w:color="auto" w:sz="4" w:space="0"/>
              <w:right w:val="single" w:color="auto" w:sz="4" w:space="0"/>
            </w:tcBorders>
            <w:vAlign w:val="center"/>
          </w:tcPr>
          <w:p>
            <w:pPr>
              <w:spacing w:line="360" w:lineRule="auto"/>
              <w:jc w:val="center"/>
              <w:rPr>
                <w:rFonts w:ascii="宋体" w:hAnsi="宋体" w:cs="宋体"/>
                <w:sz w:val="24"/>
                <w:highlight w:val="none"/>
                <w:shd w:val="clear" w:color="auto" w:fill="FFFFFF"/>
              </w:rPr>
            </w:pPr>
          </w:p>
        </w:tc>
        <w:tc>
          <w:tcPr>
            <w:tcW w:w="1566" w:type="dxa"/>
            <w:tcBorders>
              <w:left w:val="single" w:color="auto" w:sz="4" w:space="0"/>
            </w:tcBorders>
            <w:vAlign w:val="center"/>
          </w:tcPr>
          <w:p>
            <w:pPr>
              <w:spacing w:line="360" w:lineRule="auto"/>
              <w:jc w:val="center"/>
              <w:rPr>
                <w:rFonts w:ascii="宋体" w:hAnsi="宋体" w:cs="宋体"/>
                <w:sz w:val="24"/>
                <w:highlight w:val="none"/>
                <w:shd w:val="clear" w:color="auto" w:fill="FFFFFF"/>
              </w:rPr>
            </w:pPr>
          </w:p>
        </w:tc>
        <w:tc>
          <w:tcPr>
            <w:tcW w:w="1427" w:type="dxa"/>
            <w:vAlign w:val="center"/>
          </w:tcPr>
          <w:p>
            <w:pPr>
              <w:spacing w:line="360" w:lineRule="auto"/>
              <w:jc w:val="center"/>
              <w:rPr>
                <w:rFonts w:ascii="宋体" w:hAnsi="宋体" w:cs="宋体"/>
                <w:sz w:val="24"/>
                <w:highlight w:val="none"/>
                <w:shd w:val="clear" w:color="auto" w:fill="FFFFFF"/>
              </w:rPr>
            </w:pPr>
          </w:p>
        </w:tc>
        <w:tc>
          <w:tcPr>
            <w:tcW w:w="2019" w:type="dxa"/>
            <w:vAlign w:val="center"/>
          </w:tcPr>
          <w:p>
            <w:pPr>
              <w:spacing w:line="360" w:lineRule="auto"/>
              <w:jc w:val="center"/>
              <w:rPr>
                <w:rFonts w:ascii="宋体" w:hAnsi="宋体" w:cs="宋体"/>
                <w:sz w:val="24"/>
                <w:highlight w:val="none"/>
                <w:shd w:val="clear" w:color="auto" w:fill="FFFFFF"/>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740" w:hRule="atLeast"/>
          <w:jc w:val="center"/>
        </w:trPr>
        <w:tc>
          <w:tcPr>
            <w:tcW w:w="593" w:type="dxa"/>
            <w:vAlign w:val="center"/>
          </w:tcPr>
          <w:p>
            <w:pPr>
              <w:spacing w:line="360" w:lineRule="auto"/>
              <w:ind w:left="120"/>
              <w:jc w:val="center"/>
              <w:rPr>
                <w:rFonts w:ascii="宋体" w:hAnsi="宋体" w:cs="宋体"/>
                <w:sz w:val="24"/>
                <w:highlight w:val="none"/>
                <w:shd w:val="clear" w:color="auto" w:fill="FFFFFF"/>
              </w:rPr>
            </w:pPr>
            <w:r>
              <w:rPr>
                <w:rFonts w:hint="eastAsia" w:ascii="宋体" w:hAnsi="宋体" w:cs="宋体"/>
                <w:sz w:val="24"/>
                <w:highlight w:val="none"/>
                <w:shd w:val="clear" w:color="auto" w:fill="FFFFFF"/>
              </w:rPr>
              <w:t>…</w:t>
            </w:r>
          </w:p>
        </w:tc>
        <w:tc>
          <w:tcPr>
            <w:tcW w:w="1038" w:type="dxa"/>
            <w:vAlign w:val="center"/>
          </w:tcPr>
          <w:p>
            <w:pPr>
              <w:spacing w:line="360" w:lineRule="auto"/>
              <w:jc w:val="center"/>
              <w:rPr>
                <w:rFonts w:ascii="宋体" w:hAnsi="宋体" w:cs="宋体"/>
                <w:sz w:val="24"/>
                <w:highlight w:val="none"/>
                <w:shd w:val="clear" w:color="auto" w:fill="FFFFFF"/>
              </w:rPr>
            </w:pPr>
          </w:p>
        </w:tc>
        <w:tc>
          <w:tcPr>
            <w:tcW w:w="1438" w:type="dxa"/>
            <w:vAlign w:val="center"/>
          </w:tcPr>
          <w:p>
            <w:pPr>
              <w:spacing w:line="360" w:lineRule="auto"/>
              <w:jc w:val="center"/>
              <w:rPr>
                <w:rFonts w:ascii="宋体" w:hAnsi="宋体" w:cs="宋体"/>
                <w:sz w:val="24"/>
                <w:highlight w:val="none"/>
                <w:shd w:val="clear" w:color="auto" w:fill="FFFFFF"/>
              </w:rPr>
            </w:pPr>
          </w:p>
        </w:tc>
        <w:tc>
          <w:tcPr>
            <w:tcW w:w="1330" w:type="dxa"/>
            <w:tcBorders>
              <w:left w:val="single" w:color="auto" w:sz="4" w:space="0"/>
              <w:right w:val="single" w:color="auto" w:sz="4" w:space="0"/>
            </w:tcBorders>
            <w:vAlign w:val="center"/>
          </w:tcPr>
          <w:p>
            <w:pPr>
              <w:spacing w:line="360" w:lineRule="auto"/>
              <w:jc w:val="center"/>
              <w:rPr>
                <w:rFonts w:ascii="宋体" w:hAnsi="宋体" w:cs="宋体"/>
                <w:sz w:val="24"/>
                <w:highlight w:val="none"/>
                <w:shd w:val="clear" w:color="auto" w:fill="FFFFFF"/>
              </w:rPr>
            </w:pPr>
          </w:p>
        </w:tc>
        <w:tc>
          <w:tcPr>
            <w:tcW w:w="1566" w:type="dxa"/>
            <w:tcBorders>
              <w:left w:val="single" w:color="auto" w:sz="4" w:space="0"/>
            </w:tcBorders>
            <w:vAlign w:val="center"/>
          </w:tcPr>
          <w:p>
            <w:pPr>
              <w:spacing w:line="360" w:lineRule="auto"/>
              <w:jc w:val="center"/>
              <w:rPr>
                <w:rFonts w:ascii="宋体" w:hAnsi="宋体" w:cs="宋体"/>
                <w:sz w:val="24"/>
                <w:highlight w:val="none"/>
                <w:shd w:val="clear" w:color="auto" w:fill="FFFFFF"/>
              </w:rPr>
            </w:pPr>
          </w:p>
        </w:tc>
        <w:tc>
          <w:tcPr>
            <w:tcW w:w="1427" w:type="dxa"/>
            <w:vAlign w:val="center"/>
          </w:tcPr>
          <w:p>
            <w:pPr>
              <w:spacing w:line="360" w:lineRule="auto"/>
              <w:jc w:val="center"/>
              <w:rPr>
                <w:rFonts w:ascii="宋体" w:hAnsi="宋体" w:cs="宋体"/>
                <w:sz w:val="24"/>
                <w:highlight w:val="none"/>
                <w:shd w:val="clear" w:color="auto" w:fill="FFFFFF"/>
              </w:rPr>
            </w:pPr>
          </w:p>
        </w:tc>
        <w:tc>
          <w:tcPr>
            <w:tcW w:w="2019" w:type="dxa"/>
            <w:vAlign w:val="center"/>
          </w:tcPr>
          <w:p>
            <w:pPr>
              <w:spacing w:line="360" w:lineRule="auto"/>
              <w:jc w:val="center"/>
              <w:rPr>
                <w:rFonts w:ascii="宋体" w:hAnsi="宋体" w:cs="宋体"/>
                <w:sz w:val="24"/>
                <w:highlight w:val="none"/>
                <w:shd w:val="clear" w:color="auto" w:fill="FFFFFF"/>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740" w:hRule="atLeast"/>
          <w:jc w:val="center"/>
        </w:trPr>
        <w:tc>
          <w:tcPr>
            <w:tcW w:w="593" w:type="dxa"/>
            <w:vAlign w:val="center"/>
          </w:tcPr>
          <w:p>
            <w:pPr>
              <w:spacing w:line="360" w:lineRule="auto"/>
              <w:ind w:left="120"/>
              <w:jc w:val="center"/>
              <w:rPr>
                <w:rFonts w:ascii="宋体" w:hAnsi="宋体" w:cs="宋体"/>
                <w:sz w:val="24"/>
                <w:highlight w:val="none"/>
                <w:shd w:val="clear" w:color="auto" w:fill="FFFFFF"/>
              </w:rPr>
            </w:pPr>
          </w:p>
        </w:tc>
        <w:tc>
          <w:tcPr>
            <w:tcW w:w="1038" w:type="dxa"/>
            <w:vAlign w:val="center"/>
          </w:tcPr>
          <w:p>
            <w:pPr>
              <w:spacing w:line="360" w:lineRule="auto"/>
              <w:jc w:val="center"/>
              <w:rPr>
                <w:rFonts w:ascii="宋体" w:hAnsi="宋体" w:cs="宋体"/>
                <w:sz w:val="24"/>
                <w:highlight w:val="none"/>
                <w:shd w:val="clear" w:color="auto" w:fill="FFFFFF"/>
              </w:rPr>
            </w:pPr>
          </w:p>
        </w:tc>
        <w:tc>
          <w:tcPr>
            <w:tcW w:w="1438" w:type="dxa"/>
            <w:vAlign w:val="center"/>
          </w:tcPr>
          <w:p>
            <w:pPr>
              <w:spacing w:line="360" w:lineRule="auto"/>
              <w:jc w:val="center"/>
              <w:rPr>
                <w:rFonts w:ascii="宋体" w:hAnsi="宋体" w:cs="宋体"/>
                <w:sz w:val="24"/>
                <w:highlight w:val="none"/>
                <w:shd w:val="clear" w:color="auto" w:fill="FFFFFF"/>
              </w:rPr>
            </w:pPr>
          </w:p>
        </w:tc>
        <w:tc>
          <w:tcPr>
            <w:tcW w:w="1330" w:type="dxa"/>
            <w:tcBorders>
              <w:left w:val="single" w:color="auto" w:sz="4" w:space="0"/>
              <w:right w:val="single" w:color="auto" w:sz="4" w:space="0"/>
            </w:tcBorders>
            <w:vAlign w:val="center"/>
          </w:tcPr>
          <w:p>
            <w:pPr>
              <w:spacing w:line="360" w:lineRule="auto"/>
              <w:jc w:val="center"/>
              <w:rPr>
                <w:rFonts w:ascii="宋体" w:hAnsi="宋体" w:cs="宋体"/>
                <w:sz w:val="24"/>
                <w:highlight w:val="none"/>
                <w:shd w:val="clear" w:color="auto" w:fill="FFFFFF"/>
              </w:rPr>
            </w:pPr>
          </w:p>
        </w:tc>
        <w:tc>
          <w:tcPr>
            <w:tcW w:w="1566" w:type="dxa"/>
            <w:tcBorders>
              <w:left w:val="single" w:color="auto" w:sz="4" w:space="0"/>
            </w:tcBorders>
            <w:vAlign w:val="center"/>
          </w:tcPr>
          <w:p>
            <w:pPr>
              <w:spacing w:line="360" w:lineRule="auto"/>
              <w:jc w:val="center"/>
              <w:rPr>
                <w:rFonts w:ascii="宋体" w:hAnsi="宋体" w:cs="宋体"/>
                <w:sz w:val="24"/>
                <w:highlight w:val="none"/>
                <w:shd w:val="clear" w:color="auto" w:fill="FFFFFF"/>
              </w:rPr>
            </w:pPr>
          </w:p>
        </w:tc>
        <w:tc>
          <w:tcPr>
            <w:tcW w:w="1427" w:type="dxa"/>
            <w:vAlign w:val="center"/>
          </w:tcPr>
          <w:p>
            <w:pPr>
              <w:spacing w:line="360" w:lineRule="auto"/>
              <w:jc w:val="center"/>
              <w:rPr>
                <w:rFonts w:ascii="宋体" w:hAnsi="宋体" w:cs="宋体"/>
                <w:sz w:val="24"/>
                <w:highlight w:val="none"/>
                <w:shd w:val="clear" w:color="auto" w:fill="FFFFFF"/>
              </w:rPr>
            </w:pPr>
          </w:p>
        </w:tc>
        <w:tc>
          <w:tcPr>
            <w:tcW w:w="2019" w:type="dxa"/>
            <w:vAlign w:val="center"/>
          </w:tcPr>
          <w:p>
            <w:pPr>
              <w:spacing w:line="360" w:lineRule="auto"/>
              <w:jc w:val="center"/>
              <w:rPr>
                <w:rFonts w:ascii="宋体" w:hAnsi="宋体" w:cs="宋体"/>
                <w:sz w:val="24"/>
                <w:highlight w:val="none"/>
                <w:shd w:val="clear" w:color="auto" w:fill="FFFFFF"/>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740" w:hRule="atLeast"/>
          <w:jc w:val="center"/>
        </w:trPr>
        <w:tc>
          <w:tcPr>
            <w:tcW w:w="593" w:type="dxa"/>
            <w:vAlign w:val="center"/>
          </w:tcPr>
          <w:p>
            <w:pPr>
              <w:spacing w:line="360" w:lineRule="auto"/>
              <w:jc w:val="center"/>
              <w:rPr>
                <w:rFonts w:ascii="宋体" w:hAnsi="宋体" w:cs="宋体"/>
                <w:sz w:val="24"/>
                <w:highlight w:val="none"/>
                <w:shd w:val="clear" w:color="auto" w:fill="FFFFFF"/>
              </w:rPr>
            </w:pPr>
          </w:p>
        </w:tc>
        <w:tc>
          <w:tcPr>
            <w:tcW w:w="1038" w:type="dxa"/>
            <w:vAlign w:val="center"/>
          </w:tcPr>
          <w:p>
            <w:pPr>
              <w:spacing w:line="360" w:lineRule="auto"/>
              <w:jc w:val="center"/>
              <w:rPr>
                <w:rFonts w:ascii="宋体" w:hAnsi="宋体" w:cs="宋体"/>
                <w:sz w:val="24"/>
                <w:highlight w:val="none"/>
                <w:shd w:val="clear" w:color="auto" w:fill="FFFFFF"/>
              </w:rPr>
            </w:pPr>
          </w:p>
        </w:tc>
        <w:tc>
          <w:tcPr>
            <w:tcW w:w="1438" w:type="dxa"/>
            <w:vAlign w:val="center"/>
          </w:tcPr>
          <w:p>
            <w:pPr>
              <w:spacing w:line="360" w:lineRule="auto"/>
              <w:jc w:val="center"/>
              <w:rPr>
                <w:rFonts w:ascii="宋体" w:hAnsi="宋体" w:cs="宋体"/>
                <w:sz w:val="24"/>
                <w:highlight w:val="none"/>
                <w:shd w:val="clear" w:color="auto" w:fill="FFFFFF"/>
              </w:rPr>
            </w:pPr>
          </w:p>
        </w:tc>
        <w:tc>
          <w:tcPr>
            <w:tcW w:w="1330" w:type="dxa"/>
            <w:tcBorders>
              <w:left w:val="single" w:color="auto" w:sz="4" w:space="0"/>
              <w:right w:val="single" w:color="auto" w:sz="4" w:space="0"/>
            </w:tcBorders>
            <w:vAlign w:val="center"/>
          </w:tcPr>
          <w:p>
            <w:pPr>
              <w:spacing w:line="360" w:lineRule="auto"/>
              <w:jc w:val="center"/>
              <w:rPr>
                <w:rFonts w:ascii="宋体" w:hAnsi="宋体" w:cs="宋体"/>
                <w:sz w:val="24"/>
                <w:highlight w:val="none"/>
                <w:shd w:val="clear" w:color="auto" w:fill="FFFFFF"/>
              </w:rPr>
            </w:pPr>
          </w:p>
        </w:tc>
        <w:tc>
          <w:tcPr>
            <w:tcW w:w="1566" w:type="dxa"/>
            <w:tcBorders>
              <w:left w:val="single" w:color="auto" w:sz="4" w:space="0"/>
            </w:tcBorders>
            <w:vAlign w:val="center"/>
          </w:tcPr>
          <w:p>
            <w:pPr>
              <w:spacing w:line="360" w:lineRule="auto"/>
              <w:jc w:val="center"/>
              <w:rPr>
                <w:rFonts w:ascii="宋体" w:hAnsi="宋体" w:cs="宋体"/>
                <w:sz w:val="24"/>
                <w:highlight w:val="none"/>
                <w:shd w:val="clear" w:color="auto" w:fill="FFFFFF"/>
              </w:rPr>
            </w:pPr>
          </w:p>
        </w:tc>
        <w:tc>
          <w:tcPr>
            <w:tcW w:w="1427" w:type="dxa"/>
            <w:vAlign w:val="center"/>
          </w:tcPr>
          <w:p>
            <w:pPr>
              <w:spacing w:line="360" w:lineRule="auto"/>
              <w:jc w:val="center"/>
              <w:rPr>
                <w:rFonts w:ascii="宋体" w:hAnsi="宋体" w:cs="宋体"/>
                <w:sz w:val="24"/>
                <w:highlight w:val="none"/>
                <w:shd w:val="clear" w:color="auto" w:fill="FFFFFF"/>
              </w:rPr>
            </w:pPr>
          </w:p>
        </w:tc>
        <w:tc>
          <w:tcPr>
            <w:tcW w:w="2019" w:type="dxa"/>
            <w:vAlign w:val="center"/>
          </w:tcPr>
          <w:p>
            <w:pPr>
              <w:spacing w:line="360" w:lineRule="auto"/>
              <w:jc w:val="center"/>
              <w:rPr>
                <w:rFonts w:ascii="宋体" w:hAnsi="宋体" w:cs="宋体"/>
                <w:sz w:val="24"/>
                <w:highlight w:val="none"/>
                <w:shd w:val="clear" w:color="auto" w:fill="FFFFFF"/>
              </w:rPr>
            </w:pPr>
          </w:p>
        </w:tc>
      </w:tr>
    </w:tbl>
    <w:p>
      <w:pPr>
        <w:spacing w:line="360" w:lineRule="auto"/>
        <w:ind w:right="480"/>
        <w:rPr>
          <w:rFonts w:ascii="宋体" w:hAnsi="宋体" w:cs="宋体"/>
          <w:spacing w:val="10"/>
          <w:sz w:val="24"/>
          <w:highlight w:val="none"/>
        </w:rPr>
      </w:pPr>
      <w:r>
        <w:rPr>
          <w:rFonts w:hint="eastAsia" w:ascii="宋体" w:hAnsi="宋体" w:cs="宋体"/>
          <w:spacing w:val="10"/>
          <w:sz w:val="24"/>
          <w:highlight w:val="none"/>
        </w:rPr>
        <w:t>投标人（盖章）：</w:t>
      </w:r>
    </w:p>
    <w:p>
      <w:pPr>
        <w:spacing w:line="360" w:lineRule="auto"/>
        <w:ind w:right="480"/>
        <w:rPr>
          <w:rFonts w:ascii="宋体" w:hAnsi="宋体" w:cs="宋体"/>
          <w:spacing w:val="10"/>
          <w:sz w:val="24"/>
          <w:highlight w:val="none"/>
        </w:rPr>
      </w:pPr>
      <w:r>
        <w:rPr>
          <w:rFonts w:hint="eastAsia" w:ascii="宋体" w:hAnsi="宋体" w:cs="宋体"/>
          <w:spacing w:val="10"/>
          <w:sz w:val="24"/>
          <w:highlight w:val="none"/>
        </w:rPr>
        <w:t>法定代表人或授权代表</w:t>
      </w:r>
      <w:r>
        <w:rPr>
          <w:rFonts w:hint="eastAsia" w:ascii="宋体" w:hAnsi="宋体" w:cs="宋体"/>
          <w:sz w:val="24"/>
          <w:highlight w:val="none"/>
        </w:rPr>
        <w:t>（签字或印章）</w:t>
      </w:r>
      <w:r>
        <w:rPr>
          <w:rFonts w:hint="eastAsia" w:ascii="宋体" w:hAnsi="宋体" w:cs="宋体"/>
          <w:spacing w:val="10"/>
          <w:sz w:val="24"/>
          <w:highlight w:val="none"/>
        </w:rPr>
        <w:t>：</w:t>
      </w:r>
    </w:p>
    <w:p>
      <w:pPr>
        <w:spacing w:line="360" w:lineRule="auto"/>
        <w:rPr>
          <w:rFonts w:ascii="宋体" w:hAnsi="宋体" w:cs="宋体"/>
          <w:b/>
          <w:bCs/>
          <w:highlight w:val="none"/>
        </w:rPr>
      </w:pPr>
      <w:r>
        <w:rPr>
          <w:rFonts w:hint="eastAsia" w:ascii="宋体" w:hAnsi="宋体" w:cs="宋体"/>
          <w:spacing w:val="10"/>
          <w:sz w:val="24"/>
          <w:highlight w:val="none"/>
        </w:rPr>
        <w:t>日期：</w:t>
      </w:r>
    </w:p>
    <w:p>
      <w:pPr>
        <w:pStyle w:val="22"/>
        <w:spacing w:line="360" w:lineRule="auto"/>
        <w:rPr>
          <w:rFonts w:hAnsi="宋体" w:cs="宋体"/>
          <w:sz w:val="24"/>
          <w:szCs w:val="24"/>
          <w:highlight w:val="none"/>
          <w:shd w:val="clear" w:color="auto" w:fill="FFFFFF"/>
        </w:rPr>
      </w:pPr>
    </w:p>
    <w:p>
      <w:pPr>
        <w:snapToGrid w:val="0"/>
        <w:spacing w:before="120" w:line="360" w:lineRule="auto"/>
        <w:ind w:right="357"/>
        <w:rPr>
          <w:rFonts w:ascii="宋体" w:hAnsi="宋体" w:cs="宋体"/>
          <w:sz w:val="24"/>
          <w:szCs w:val="32"/>
          <w:highlight w:val="none"/>
          <w:shd w:val="clear" w:color="auto" w:fill="FFFFFF"/>
        </w:rPr>
      </w:pPr>
      <w:r>
        <w:rPr>
          <w:rFonts w:hint="eastAsia" w:ascii="宋体" w:hAnsi="宋体" w:cs="宋体"/>
          <w:sz w:val="24"/>
          <w:szCs w:val="32"/>
          <w:highlight w:val="none"/>
          <w:shd w:val="clear" w:color="auto" w:fill="FFFFFF"/>
        </w:rPr>
        <w:t>说明：1.投标人以上业绩需提供中标（成交）通知书或合同复印件等有关书面证明材</w:t>
      </w:r>
    </w:p>
    <w:p>
      <w:pPr>
        <w:snapToGrid w:val="0"/>
        <w:spacing w:before="120" w:line="360" w:lineRule="auto"/>
        <w:ind w:right="357"/>
        <w:rPr>
          <w:rFonts w:ascii="宋体" w:hAnsi="宋体" w:cs="宋体"/>
          <w:sz w:val="24"/>
          <w:szCs w:val="32"/>
          <w:highlight w:val="none"/>
          <w:shd w:val="clear" w:color="auto" w:fill="FFFFFF"/>
        </w:rPr>
      </w:pPr>
      <w:r>
        <w:rPr>
          <w:rFonts w:hint="eastAsia" w:ascii="宋体" w:hAnsi="宋体" w:cs="宋体"/>
          <w:sz w:val="24"/>
          <w:szCs w:val="32"/>
          <w:highlight w:val="none"/>
          <w:shd w:val="clear" w:color="auto" w:fill="FFFFFF"/>
        </w:rPr>
        <w:t>料。</w:t>
      </w:r>
    </w:p>
    <w:p>
      <w:pPr>
        <w:pStyle w:val="30"/>
        <w:ind w:firstLine="240" w:firstLineChars="100"/>
        <w:rPr>
          <w:rFonts w:ascii="宋体" w:hAnsi="宋体" w:cs="宋体"/>
          <w:sz w:val="24"/>
          <w:szCs w:val="32"/>
          <w:highlight w:val="none"/>
          <w:shd w:val="clear" w:color="auto" w:fill="FFFFFF"/>
        </w:rPr>
      </w:pPr>
      <w:r>
        <w:rPr>
          <w:rFonts w:hint="eastAsia" w:ascii="宋体" w:hAnsi="宋体" w:cs="宋体"/>
          <w:sz w:val="24"/>
          <w:szCs w:val="32"/>
          <w:highlight w:val="none"/>
          <w:shd w:val="clear" w:color="auto" w:fill="FFFFFF"/>
        </w:rPr>
        <w:t>2.新成立的公司如无业绩证明材料需提供声明（格式自拟）。</w:t>
      </w:r>
    </w:p>
    <w:p>
      <w:pPr>
        <w:pStyle w:val="30"/>
        <w:rPr>
          <w:highlight w:val="none"/>
        </w:rPr>
      </w:pPr>
    </w:p>
    <w:p>
      <w:pPr>
        <w:pStyle w:val="22"/>
        <w:spacing w:line="360" w:lineRule="auto"/>
        <w:ind w:firstLine="480"/>
        <w:rPr>
          <w:rFonts w:hAnsi="宋体" w:cs="宋体"/>
          <w:sz w:val="24"/>
          <w:szCs w:val="24"/>
          <w:highlight w:val="none"/>
          <w:shd w:val="clear" w:color="auto" w:fill="FFFFFF"/>
        </w:rPr>
      </w:pPr>
    </w:p>
    <w:p>
      <w:pPr>
        <w:pStyle w:val="22"/>
        <w:spacing w:line="360" w:lineRule="auto"/>
        <w:ind w:firstLine="480"/>
        <w:rPr>
          <w:rFonts w:hAnsi="宋体" w:cs="宋体"/>
          <w:sz w:val="24"/>
          <w:szCs w:val="24"/>
          <w:highlight w:val="none"/>
          <w:shd w:val="clear" w:color="auto" w:fill="FFFFFF"/>
        </w:rPr>
      </w:pPr>
    </w:p>
    <w:p>
      <w:pPr>
        <w:pStyle w:val="22"/>
        <w:spacing w:line="360" w:lineRule="auto"/>
        <w:rPr>
          <w:rFonts w:hAnsi="宋体" w:cs="宋体"/>
          <w:sz w:val="24"/>
          <w:szCs w:val="24"/>
          <w:highlight w:val="none"/>
          <w:shd w:val="clear" w:color="auto" w:fill="FFFFFF"/>
        </w:rPr>
      </w:pPr>
    </w:p>
    <w:p>
      <w:pPr>
        <w:pStyle w:val="7"/>
        <w:spacing w:before="0" w:after="100" w:afterAutospacing="1"/>
        <w:rPr>
          <w:rFonts w:ascii="宋体" w:hAnsi="宋体" w:cs="宋体"/>
          <w:spacing w:val="10"/>
          <w:highlight w:val="none"/>
        </w:rPr>
      </w:pPr>
      <w:bookmarkStart w:id="551" w:name="_Toc433806381"/>
      <w:bookmarkStart w:id="552" w:name="_Toc456166280"/>
      <w:bookmarkStart w:id="553" w:name="_Toc11978"/>
      <w:bookmarkStart w:id="554" w:name="_Toc32144"/>
      <w:r>
        <w:rPr>
          <w:rFonts w:hint="eastAsia" w:ascii="宋体" w:hAnsi="宋体" w:cs="宋体"/>
          <w:spacing w:val="10"/>
          <w:highlight w:val="none"/>
        </w:rPr>
        <w:br w:type="page"/>
      </w:r>
      <w:bookmarkStart w:id="555" w:name="_Toc21563"/>
      <w:bookmarkStart w:id="556" w:name="_Toc6830"/>
      <w:bookmarkStart w:id="557" w:name="_Toc22123"/>
      <w:bookmarkStart w:id="558" w:name="_Toc29402"/>
      <w:r>
        <w:rPr>
          <w:rFonts w:hint="eastAsia" w:ascii="宋体" w:hAnsi="宋体" w:cs="宋体"/>
          <w:spacing w:val="10"/>
          <w:highlight w:val="none"/>
        </w:rPr>
        <w:t>1</w:t>
      </w:r>
      <w:r>
        <w:rPr>
          <w:rFonts w:hint="eastAsia" w:ascii="宋体" w:hAnsi="宋体" w:cs="宋体"/>
          <w:spacing w:val="10"/>
          <w:highlight w:val="none"/>
          <w:lang w:val="en-US" w:eastAsia="zh-CN"/>
        </w:rPr>
        <w:t>7</w:t>
      </w:r>
      <w:r>
        <w:rPr>
          <w:rFonts w:hint="eastAsia" w:ascii="宋体" w:hAnsi="宋体" w:cs="宋体"/>
          <w:spacing w:val="10"/>
          <w:highlight w:val="none"/>
        </w:rPr>
        <w:t>.</w:t>
      </w:r>
      <w:bookmarkEnd w:id="551"/>
      <w:bookmarkEnd w:id="552"/>
      <w:r>
        <w:rPr>
          <w:rFonts w:hint="eastAsia" w:ascii="宋体" w:hAnsi="宋体" w:cs="宋体"/>
          <w:spacing w:val="10"/>
          <w:highlight w:val="none"/>
        </w:rPr>
        <w:t>无违法记录声明</w:t>
      </w:r>
      <w:bookmarkEnd w:id="553"/>
      <w:bookmarkEnd w:id="554"/>
      <w:bookmarkEnd w:id="555"/>
      <w:bookmarkEnd w:id="556"/>
      <w:bookmarkEnd w:id="557"/>
      <w:bookmarkEnd w:id="558"/>
    </w:p>
    <w:p>
      <w:pPr>
        <w:spacing w:line="360" w:lineRule="auto"/>
        <w:ind w:left="480" w:hanging="480" w:hangingChars="200"/>
        <w:rPr>
          <w:rFonts w:hint="eastAsia" w:ascii="宋体" w:hAnsi="宋体" w:cs="宋体"/>
          <w:sz w:val="24"/>
          <w:highlight w:val="none"/>
        </w:rPr>
      </w:pPr>
      <w:bookmarkStart w:id="559" w:name="_Toc20408"/>
      <w:bookmarkStart w:id="560" w:name="_Toc15673"/>
      <w:bookmarkStart w:id="561" w:name="_Toc15095"/>
      <w:bookmarkStart w:id="562" w:name="_Toc16308"/>
      <w:bookmarkStart w:id="563" w:name="_Toc9735"/>
      <w:r>
        <w:rPr>
          <w:rFonts w:hint="eastAsia" w:ascii="宋体" w:hAnsi="宋体" w:cs="宋体"/>
          <w:sz w:val="24"/>
          <w:highlight w:val="none"/>
          <w:lang w:val="en-US" w:eastAsia="zh-CN"/>
        </w:rPr>
        <w:t>致</w:t>
      </w:r>
      <w:r>
        <w:rPr>
          <w:rFonts w:hint="eastAsia" w:ascii="宋体" w:hAnsi="宋体" w:cs="宋体"/>
          <w:sz w:val="24"/>
          <w:highlight w:val="none"/>
        </w:rPr>
        <w:t>：</w:t>
      </w:r>
      <w:r>
        <w:rPr>
          <w:rFonts w:hint="eastAsia" w:ascii="宋体" w:hAnsi="宋体" w:cs="宋体"/>
          <w:sz w:val="24"/>
          <w:highlight w:val="none"/>
        </w:rPr>
        <w:br w:type="textWrapping"/>
      </w:r>
      <w:r>
        <w:rPr>
          <w:rFonts w:hint="eastAsia" w:ascii="宋体" w:hAnsi="宋体" w:cs="宋体"/>
          <w:sz w:val="24"/>
          <w:highlight w:val="none"/>
        </w:rPr>
        <w:t>本投标人现参与项目（招标文件编号：）的采购活动，在参加本次</w:t>
      </w:r>
      <w:r>
        <w:rPr>
          <w:rFonts w:hint="eastAsia" w:ascii="宋体" w:hAnsi="宋体" w:cs="宋体"/>
          <w:sz w:val="24"/>
          <w:highlight w:val="none"/>
          <w:lang w:eastAsia="zh-CN"/>
        </w:rPr>
        <w:t>采购</w:t>
      </w:r>
      <w:r>
        <w:rPr>
          <w:rFonts w:hint="eastAsia" w:ascii="宋体" w:hAnsi="宋体" w:cs="宋体"/>
          <w:sz w:val="24"/>
          <w:highlight w:val="none"/>
        </w:rPr>
        <w:t>活动前</w:t>
      </w:r>
    </w:p>
    <w:p>
      <w:pPr>
        <w:spacing w:line="360" w:lineRule="auto"/>
        <w:ind w:left="480" w:hanging="480" w:hangingChars="200"/>
        <w:rPr>
          <w:rFonts w:ascii="宋体" w:hAnsi="宋体" w:cs="宋体"/>
          <w:sz w:val="24"/>
          <w:highlight w:val="none"/>
        </w:rPr>
      </w:pPr>
      <w:r>
        <w:rPr>
          <w:rFonts w:hint="eastAsia" w:ascii="宋体" w:hAnsi="宋体" w:cs="宋体"/>
          <w:sz w:val="24"/>
          <w:highlight w:val="none"/>
        </w:rPr>
        <w:t>三年内，在经营活动中更没有重大违法记录。</w:t>
      </w:r>
      <w:r>
        <w:rPr>
          <w:rFonts w:hint="eastAsia" w:ascii="宋体" w:hAnsi="宋体" w:cs="宋体"/>
          <w:sz w:val="24"/>
          <w:highlight w:val="none"/>
        </w:rPr>
        <w:br w:type="textWrapping"/>
      </w:r>
      <w:r>
        <w:rPr>
          <w:rFonts w:hint="eastAsia" w:ascii="宋体" w:hAnsi="宋体" w:cs="宋体"/>
          <w:sz w:val="24"/>
          <w:highlight w:val="none"/>
        </w:rPr>
        <w:t>如上述声明不真实，愿意按照</w:t>
      </w:r>
      <w:r>
        <w:rPr>
          <w:rFonts w:hint="eastAsia" w:ascii="宋体" w:hAnsi="宋体" w:cs="宋体"/>
          <w:sz w:val="24"/>
          <w:highlight w:val="none"/>
          <w:lang w:eastAsia="zh-CN"/>
        </w:rPr>
        <w:t>采购</w:t>
      </w:r>
      <w:r>
        <w:rPr>
          <w:rFonts w:hint="eastAsia" w:ascii="宋体" w:hAnsi="宋体" w:cs="宋体"/>
          <w:sz w:val="24"/>
          <w:highlight w:val="none"/>
        </w:rPr>
        <w:t>有关法律法规的规定接受处罚。</w:t>
      </w:r>
      <w:r>
        <w:rPr>
          <w:rFonts w:hint="eastAsia"/>
          <w:highlight w:val="none"/>
        </w:rPr>
        <w:br w:type="textWrapping"/>
      </w:r>
      <w:bookmarkEnd w:id="559"/>
      <w:bookmarkEnd w:id="560"/>
      <w:bookmarkEnd w:id="561"/>
      <w:bookmarkEnd w:id="562"/>
      <w:bookmarkEnd w:id="563"/>
    </w:p>
    <w:p>
      <w:pPr>
        <w:pStyle w:val="7"/>
        <w:spacing w:before="0" w:after="100" w:afterAutospacing="1"/>
        <w:ind w:firstLine="480"/>
        <w:jc w:val="left"/>
        <w:rPr>
          <w:rFonts w:ascii="宋体" w:hAnsi="宋体" w:cs="宋体"/>
          <w:b w:val="0"/>
          <w:sz w:val="24"/>
          <w:szCs w:val="24"/>
          <w:highlight w:val="none"/>
        </w:rPr>
      </w:pPr>
      <w:bookmarkStart w:id="564" w:name="_Toc1997"/>
      <w:bookmarkStart w:id="565" w:name="_Toc7530"/>
      <w:bookmarkStart w:id="566" w:name="_Toc9385"/>
      <w:bookmarkStart w:id="567" w:name="_Toc7758"/>
      <w:bookmarkStart w:id="568" w:name="_Toc408"/>
      <w:bookmarkStart w:id="569" w:name="_Toc19566"/>
      <w:bookmarkStart w:id="570" w:name="_Toc26039"/>
      <w:bookmarkStart w:id="571" w:name="_Toc11320"/>
      <w:bookmarkStart w:id="572" w:name="_Toc19846"/>
      <w:r>
        <w:rPr>
          <w:rFonts w:hint="eastAsia" w:ascii="宋体" w:hAnsi="宋体" w:cs="宋体"/>
          <w:b w:val="0"/>
          <w:sz w:val="24"/>
          <w:szCs w:val="24"/>
          <w:highlight w:val="none"/>
        </w:rPr>
        <w:t>特此声明。</w:t>
      </w:r>
      <w:r>
        <w:rPr>
          <w:rFonts w:hint="eastAsia" w:ascii="宋体" w:hAnsi="宋体" w:cs="宋体"/>
          <w:b w:val="0"/>
          <w:sz w:val="24"/>
          <w:szCs w:val="24"/>
          <w:highlight w:val="none"/>
        </w:rPr>
        <w:br w:type="textWrapping"/>
      </w:r>
      <w:bookmarkEnd w:id="564"/>
      <w:bookmarkEnd w:id="565"/>
      <w:bookmarkEnd w:id="566"/>
      <w:bookmarkEnd w:id="567"/>
      <w:bookmarkEnd w:id="568"/>
      <w:bookmarkEnd w:id="569"/>
      <w:bookmarkEnd w:id="570"/>
      <w:bookmarkEnd w:id="571"/>
      <w:bookmarkEnd w:id="572"/>
    </w:p>
    <w:p>
      <w:pPr>
        <w:pStyle w:val="7"/>
        <w:spacing w:before="0" w:after="100" w:afterAutospacing="1"/>
        <w:ind w:firstLine="480"/>
        <w:jc w:val="left"/>
        <w:rPr>
          <w:rFonts w:ascii="宋体" w:hAnsi="宋体" w:cs="宋体"/>
          <w:b w:val="0"/>
          <w:sz w:val="24"/>
          <w:szCs w:val="24"/>
          <w:highlight w:val="none"/>
        </w:rPr>
      </w:pPr>
    </w:p>
    <w:p>
      <w:pPr>
        <w:pStyle w:val="22"/>
        <w:spacing w:line="360" w:lineRule="auto"/>
        <w:rPr>
          <w:rFonts w:hAnsi="宋体" w:cs="宋体"/>
          <w:b/>
          <w:spacing w:val="10"/>
          <w:sz w:val="24"/>
          <w:szCs w:val="24"/>
          <w:highlight w:val="none"/>
        </w:rPr>
      </w:pPr>
      <w:bookmarkStart w:id="573" w:name="_Toc21316"/>
      <w:r>
        <w:rPr>
          <w:rFonts w:hint="eastAsia" w:hAnsi="宋体" w:cs="宋体"/>
          <w:sz w:val="24"/>
          <w:szCs w:val="24"/>
          <w:highlight w:val="none"/>
        </w:rPr>
        <w:t>投标人：</w:t>
      </w:r>
      <w:r>
        <w:rPr>
          <w:rFonts w:hint="eastAsia" w:hAnsi="宋体" w:cs="宋体"/>
          <w:sz w:val="24"/>
          <w:szCs w:val="24"/>
          <w:highlight w:val="none"/>
          <w:u w:val="single"/>
        </w:rPr>
        <w:t>（盖章）</w:t>
      </w:r>
      <w:r>
        <w:rPr>
          <w:rStyle w:val="217"/>
          <w:rFonts w:hint="eastAsia" w:ascii="宋体" w:hAnsi="宋体" w:eastAsia="宋体" w:cs="宋体"/>
          <w:color w:val="auto"/>
          <w:sz w:val="24"/>
          <w:szCs w:val="24"/>
          <w:highlight w:val="none"/>
        </w:rPr>
        <w:br w:type="textWrapping"/>
      </w:r>
      <w:r>
        <w:rPr>
          <w:rStyle w:val="217"/>
          <w:rFonts w:hint="eastAsia" w:ascii="宋体" w:hAnsi="宋体" w:eastAsia="宋体" w:cs="宋体"/>
          <w:color w:val="auto"/>
          <w:sz w:val="24"/>
          <w:szCs w:val="24"/>
          <w:highlight w:val="none"/>
        </w:rPr>
        <w:t>法定代表人或授权代表（签字或印章）</w:t>
      </w:r>
      <w:r>
        <w:rPr>
          <w:rFonts w:hint="eastAsia" w:hAnsi="宋体" w:cs="宋体"/>
          <w:sz w:val="24"/>
          <w:szCs w:val="24"/>
          <w:highlight w:val="none"/>
        </w:rPr>
        <w:t>：</w:t>
      </w:r>
      <w:r>
        <w:rPr>
          <w:rFonts w:hint="eastAsia" w:hAnsi="宋体" w:cs="宋体"/>
          <w:sz w:val="24"/>
          <w:szCs w:val="24"/>
          <w:highlight w:val="none"/>
          <w:u w:val="single"/>
        </w:rPr>
        <w:t>（签字或印章）</w:t>
      </w:r>
      <w:r>
        <w:rPr>
          <w:rFonts w:hint="eastAsia" w:hAnsi="宋体" w:cs="宋体"/>
          <w:sz w:val="24"/>
          <w:szCs w:val="24"/>
          <w:highlight w:val="none"/>
          <w:u w:val="single"/>
        </w:rPr>
        <w:br w:type="textWrapping"/>
      </w:r>
      <w:r>
        <w:rPr>
          <w:rFonts w:hint="eastAsia" w:hAnsi="宋体" w:cs="宋体"/>
          <w:sz w:val="24"/>
          <w:szCs w:val="24"/>
          <w:highlight w:val="none"/>
        </w:rPr>
        <w:t>日期：</w:t>
      </w:r>
      <w:bookmarkEnd w:id="573"/>
    </w:p>
    <w:p>
      <w:pPr>
        <w:snapToGrid w:val="0"/>
        <w:spacing w:line="360" w:lineRule="auto"/>
        <w:rPr>
          <w:rFonts w:ascii="宋体" w:hAnsi="宋体" w:cs="宋体"/>
          <w:b/>
          <w:spacing w:val="10"/>
          <w:sz w:val="24"/>
          <w:highlight w:val="none"/>
        </w:rPr>
      </w:pPr>
    </w:p>
    <w:p>
      <w:pPr>
        <w:spacing w:line="360" w:lineRule="auto"/>
        <w:ind w:right="600"/>
        <w:rPr>
          <w:rFonts w:ascii="宋体" w:hAnsi="宋体" w:cs="宋体"/>
          <w:b/>
          <w:sz w:val="24"/>
          <w:highlight w:val="none"/>
        </w:rPr>
      </w:pPr>
    </w:p>
    <w:p>
      <w:pPr>
        <w:spacing w:line="360" w:lineRule="auto"/>
        <w:ind w:right="600"/>
        <w:rPr>
          <w:rFonts w:ascii="宋体" w:hAnsi="宋体" w:cs="宋体"/>
          <w:b/>
          <w:sz w:val="24"/>
          <w:highlight w:val="none"/>
        </w:rPr>
      </w:pPr>
    </w:p>
    <w:p>
      <w:pPr>
        <w:spacing w:line="360" w:lineRule="auto"/>
        <w:ind w:right="600"/>
        <w:rPr>
          <w:rFonts w:ascii="宋体" w:hAnsi="宋体" w:cs="宋体"/>
          <w:b/>
          <w:sz w:val="24"/>
          <w:highlight w:val="none"/>
        </w:rPr>
      </w:pPr>
    </w:p>
    <w:p>
      <w:pPr>
        <w:spacing w:line="360" w:lineRule="auto"/>
        <w:ind w:right="600"/>
        <w:rPr>
          <w:rFonts w:ascii="宋体" w:hAnsi="宋体" w:cs="宋体"/>
          <w:b/>
          <w:sz w:val="24"/>
          <w:highlight w:val="none"/>
        </w:rPr>
      </w:pPr>
    </w:p>
    <w:p>
      <w:pPr>
        <w:spacing w:line="360" w:lineRule="auto"/>
        <w:ind w:right="600"/>
        <w:rPr>
          <w:rFonts w:ascii="宋体" w:hAnsi="宋体" w:cs="宋体"/>
          <w:b/>
          <w:sz w:val="24"/>
          <w:highlight w:val="none"/>
        </w:rPr>
      </w:pPr>
    </w:p>
    <w:p>
      <w:pPr>
        <w:spacing w:line="360" w:lineRule="auto"/>
        <w:ind w:right="600"/>
        <w:rPr>
          <w:rFonts w:ascii="宋体" w:hAnsi="宋体" w:cs="宋体"/>
          <w:b/>
          <w:sz w:val="24"/>
          <w:highlight w:val="none"/>
        </w:rPr>
      </w:pPr>
    </w:p>
    <w:p>
      <w:pPr>
        <w:spacing w:line="360" w:lineRule="auto"/>
        <w:ind w:right="600"/>
        <w:rPr>
          <w:rFonts w:ascii="宋体" w:hAnsi="宋体" w:cs="宋体"/>
          <w:b/>
          <w:sz w:val="24"/>
          <w:highlight w:val="none"/>
        </w:rPr>
      </w:pPr>
    </w:p>
    <w:p>
      <w:pPr>
        <w:spacing w:line="360" w:lineRule="auto"/>
        <w:ind w:right="600"/>
        <w:rPr>
          <w:rFonts w:ascii="宋体" w:hAnsi="宋体" w:cs="宋体"/>
          <w:b/>
          <w:sz w:val="24"/>
          <w:highlight w:val="none"/>
        </w:rPr>
      </w:pPr>
    </w:p>
    <w:p>
      <w:pPr>
        <w:spacing w:line="360" w:lineRule="auto"/>
        <w:ind w:right="600"/>
        <w:rPr>
          <w:rFonts w:ascii="宋体" w:hAnsi="宋体" w:cs="宋体"/>
          <w:b/>
          <w:sz w:val="24"/>
          <w:highlight w:val="none"/>
        </w:rPr>
      </w:pPr>
    </w:p>
    <w:p>
      <w:pPr>
        <w:spacing w:line="360" w:lineRule="auto"/>
        <w:ind w:right="600"/>
        <w:rPr>
          <w:rFonts w:ascii="宋体" w:hAnsi="宋体" w:cs="宋体"/>
          <w:b/>
          <w:sz w:val="24"/>
          <w:highlight w:val="none"/>
        </w:rPr>
      </w:pPr>
    </w:p>
    <w:p>
      <w:pPr>
        <w:pStyle w:val="6"/>
        <w:jc w:val="both"/>
        <w:rPr>
          <w:rFonts w:ascii="宋体" w:hAnsi="宋体" w:cs="宋体"/>
          <w:bCs w:val="0"/>
          <w:kern w:val="2"/>
          <w:sz w:val="24"/>
          <w:szCs w:val="24"/>
          <w:highlight w:val="none"/>
        </w:rPr>
      </w:pPr>
      <w:bookmarkStart w:id="574" w:name="_Toc2766"/>
      <w:bookmarkStart w:id="575" w:name="_Toc21284"/>
      <w:bookmarkStart w:id="576" w:name="_Toc30984"/>
      <w:bookmarkStart w:id="577" w:name="_Toc29602"/>
      <w:bookmarkStart w:id="578" w:name="_Toc24287"/>
      <w:bookmarkStart w:id="579" w:name="_Toc14086"/>
      <w:r>
        <w:rPr>
          <w:rFonts w:ascii="宋体" w:hAnsi="宋体" w:cs="宋体"/>
          <w:bCs w:val="0"/>
          <w:kern w:val="2"/>
          <w:sz w:val="24"/>
          <w:szCs w:val="24"/>
          <w:highlight w:val="none"/>
        </w:rPr>
        <w:br w:type="page"/>
      </w:r>
    </w:p>
    <w:p>
      <w:pPr>
        <w:pStyle w:val="6"/>
        <w:jc w:val="both"/>
        <w:rPr>
          <w:rFonts w:ascii="宋体" w:hAnsi="宋体" w:cs="宋体"/>
          <w:sz w:val="32"/>
          <w:szCs w:val="32"/>
          <w:highlight w:val="none"/>
        </w:rPr>
      </w:pPr>
      <w:r>
        <w:rPr>
          <w:rFonts w:hint="eastAsia" w:ascii="宋体" w:hAnsi="宋体" w:cs="宋体"/>
          <w:sz w:val="32"/>
          <w:szCs w:val="32"/>
          <w:highlight w:val="none"/>
        </w:rPr>
        <w:t>1</w:t>
      </w:r>
      <w:r>
        <w:rPr>
          <w:rFonts w:hint="eastAsia" w:ascii="宋体" w:hAnsi="宋体" w:cs="宋体"/>
          <w:sz w:val="32"/>
          <w:szCs w:val="32"/>
          <w:highlight w:val="none"/>
          <w:lang w:val="en-US" w:eastAsia="zh-CN"/>
        </w:rPr>
        <w:t>8</w:t>
      </w:r>
      <w:r>
        <w:rPr>
          <w:rFonts w:hint="eastAsia" w:ascii="宋体" w:hAnsi="宋体" w:cs="宋体"/>
          <w:sz w:val="32"/>
          <w:szCs w:val="32"/>
          <w:highlight w:val="none"/>
        </w:rPr>
        <w:t>.投标人具备履行合同所必需的设备和专业技术能力的证明材料</w:t>
      </w:r>
      <w:bookmarkEnd w:id="574"/>
      <w:bookmarkEnd w:id="575"/>
      <w:bookmarkEnd w:id="576"/>
      <w:bookmarkEnd w:id="577"/>
      <w:bookmarkEnd w:id="578"/>
      <w:bookmarkEnd w:id="579"/>
    </w:p>
    <w:p>
      <w:pPr>
        <w:pStyle w:val="6"/>
        <w:jc w:val="both"/>
        <w:rPr>
          <w:rFonts w:ascii="宋体" w:hAnsi="宋体" w:cs="宋体"/>
          <w:sz w:val="32"/>
          <w:szCs w:val="32"/>
          <w:highlight w:val="none"/>
        </w:rPr>
      </w:pPr>
    </w:p>
    <w:p>
      <w:pPr>
        <w:pStyle w:val="6"/>
        <w:jc w:val="both"/>
        <w:rPr>
          <w:rFonts w:ascii="宋体" w:hAnsi="宋体" w:cs="宋体"/>
          <w:sz w:val="32"/>
          <w:szCs w:val="32"/>
          <w:highlight w:val="none"/>
        </w:rPr>
      </w:pPr>
    </w:p>
    <w:p>
      <w:pPr>
        <w:pStyle w:val="6"/>
        <w:jc w:val="both"/>
        <w:rPr>
          <w:rFonts w:ascii="宋体" w:hAnsi="宋体" w:cs="宋体"/>
          <w:sz w:val="32"/>
          <w:szCs w:val="32"/>
          <w:highlight w:val="none"/>
        </w:rPr>
      </w:pPr>
    </w:p>
    <w:p>
      <w:pPr>
        <w:pStyle w:val="6"/>
        <w:jc w:val="both"/>
        <w:rPr>
          <w:rFonts w:ascii="宋体" w:hAnsi="宋体" w:cs="宋体"/>
          <w:sz w:val="32"/>
          <w:szCs w:val="32"/>
          <w:highlight w:val="none"/>
        </w:rPr>
      </w:pPr>
    </w:p>
    <w:p>
      <w:pPr>
        <w:pStyle w:val="6"/>
        <w:jc w:val="both"/>
        <w:rPr>
          <w:rFonts w:ascii="宋体" w:hAnsi="宋体" w:cs="宋体"/>
          <w:sz w:val="32"/>
          <w:szCs w:val="32"/>
          <w:highlight w:val="none"/>
        </w:rPr>
      </w:pPr>
    </w:p>
    <w:p>
      <w:pPr>
        <w:pStyle w:val="30"/>
        <w:rPr>
          <w:rFonts w:ascii="宋体" w:hAnsi="宋体" w:cs="宋体"/>
          <w:b/>
          <w:bCs/>
          <w:kern w:val="44"/>
          <w:sz w:val="32"/>
          <w:szCs w:val="32"/>
          <w:highlight w:val="none"/>
        </w:rPr>
      </w:pPr>
      <w:r>
        <w:rPr>
          <w:rFonts w:ascii="宋体" w:hAnsi="宋体" w:cs="宋体"/>
          <w:b/>
          <w:bCs/>
          <w:kern w:val="44"/>
          <w:sz w:val="32"/>
          <w:szCs w:val="32"/>
          <w:highlight w:val="none"/>
        </w:rPr>
        <w:br w:type="page"/>
      </w:r>
    </w:p>
    <w:p>
      <w:pPr>
        <w:pStyle w:val="6"/>
        <w:rPr>
          <w:rFonts w:ascii="宋体" w:hAnsi="宋体" w:cs="宋体"/>
          <w:sz w:val="32"/>
          <w:szCs w:val="32"/>
          <w:highlight w:val="none"/>
        </w:rPr>
      </w:pPr>
      <w:bookmarkStart w:id="580" w:name="_Toc9202"/>
      <w:bookmarkStart w:id="581" w:name="_Toc27330"/>
      <w:bookmarkStart w:id="582" w:name="_Toc13452"/>
      <w:bookmarkStart w:id="583" w:name="_Toc26775"/>
      <w:bookmarkStart w:id="584" w:name="_Toc30081"/>
      <w:bookmarkStart w:id="585" w:name="_Toc27283"/>
      <w:r>
        <w:rPr>
          <w:rFonts w:hint="eastAsia" w:ascii="宋体" w:hAnsi="宋体" w:cs="宋体"/>
          <w:sz w:val="32"/>
          <w:szCs w:val="32"/>
          <w:highlight w:val="none"/>
        </w:rPr>
        <w:t>1</w:t>
      </w:r>
      <w:r>
        <w:rPr>
          <w:rFonts w:hint="eastAsia" w:ascii="宋体" w:hAnsi="宋体" w:cs="宋体"/>
          <w:sz w:val="32"/>
          <w:szCs w:val="32"/>
          <w:highlight w:val="none"/>
          <w:lang w:val="en-US" w:eastAsia="zh-CN"/>
        </w:rPr>
        <w:t>9</w:t>
      </w:r>
      <w:r>
        <w:rPr>
          <w:rFonts w:hint="eastAsia" w:ascii="宋体" w:hAnsi="宋体" w:cs="宋体"/>
          <w:sz w:val="32"/>
          <w:szCs w:val="32"/>
          <w:highlight w:val="none"/>
        </w:rPr>
        <w:t>.售后服务（格式自拟）</w:t>
      </w:r>
      <w:bookmarkEnd w:id="580"/>
      <w:bookmarkEnd w:id="581"/>
      <w:bookmarkEnd w:id="582"/>
      <w:bookmarkEnd w:id="583"/>
      <w:bookmarkEnd w:id="584"/>
      <w:bookmarkEnd w:id="585"/>
    </w:p>
    <w:p>
      <w:pPr>
        <w:rPr>
          <w:highlight w:val="none"/>
        </w:rPr>
      </w:pPr>
    </w:p>
    <w:p>
      <w:pPr>
        <w:pStyle w:val="30"/>
        <w:rPr>
          <w:highlight w:val="none"/>
        </w:rPr>
      </w:pPr>
    </w:p>
    <w:p>
      <w:pPr>
        <w:rPr>
          <w:highlight w:val="none"/>
        </w:rPr>
      </w:pPr>
    </w:p>
    <w:p>
      <w:pPr>
        <w:pStyle w:val="30"/>
        <w:rPr>
          <w:highlight w:val="none"/>
        </w:rPr>
      </w:pPr>
    </w:p>
    <w:p>
      <w:pPr>
        <w:rPr>
          <w:highlight w:val="none"/>
        </w:rPr>
      </w:pPr>
    </w:p>
    <w:p>
      <w:pPr>
        <w:pStyle w:val="30"/>
        <w:rPr>
          <w:highlight w:val="none"/>
        </w:rPr>
      </w:pPr>
    </w:p>
    <w:p>
      <w:pPr>
        <w:rPr>
          <w:highlight w:val="none"/>
        </w:rPr>
      </w:pPr>
    </w:p>
    <w:p>
      <w:pPr>
        <w:pStyle w:val="30"/>
        <w:rPr>
          <w:highlight w:val="none"/>
        </w:rPr>
      </w:pPr>
    </w:p>
    <w:p>
      <w:pPr>
        <w:rPr>
          <w:highlight w:val="none"/>
        </w:rPr>
      </w:pPr>
    </w:p>
    <w:p>
      <w:pPr>
        <w:pStyle w:val="30"/>
        <w:rPr>
          <w:highlight w:val="none"/>
        </w:rPr>
      </w:pPr>
    </w:p>
    <w:p>
      <w:pPr>
        <w:rPr>
          <w:highlight w:val="none"/>
        </w:rPr>
      </w:pPr>
    </w:p>
    <w:p>
      <w:pPr>
        <w:pStyle w:val="30"/>
        <w:rPr>
          <w:highlight w:val="none"/>
        </w:rPr>
      </w:pPr>
    </w:p>
    <w:p>
      <w:pPr>
        <w:rPr>
          <w:highlight w:val="none"/>
        </w:rPr>
      </w:pPr>
    </w:p>
    <w:p>
      <w:pPr>
        <w:pStyle w:val="30"/>
        <w:rPr>
          <w:highlight w:val="none"/>
        </w:rPr>
      </w:pPr>
    </w:p>
    <w:p>
      <w:pPr>
        <w:rPr>
          <w:highlight w:val="none"/>
        </w:rPr>
      </w:pPr>
    </w:p>
    <w:p>
      <w:pPr>
        <w:pStyle w:val="30"/>
        <w:rPr>
          <w:highlight w:val="none"/>
        </w:rPr>
      </w:pPr>
    </w:p>
    <w:p>
      <w:pPr>
        <w:rPr>
          <w:highlight w:val="none"/>
        </w:rPr>
      </w:pPr>
    </w:p>
    <w:p>
      <w:pPr>
        <w:pStyle w:val="30"/>
        <w:rPr>
          <w:highlight w:val="none"/>
        </w:rPr>
      </w:pPr>
    </w:p>
    <w:p>
      <w:pPr>
        <w:rPr>
          <w:highlight w:val="none"/>
        </w:rPr>
      </w:pPr>
    </w:p>
    <w:p>
      <w:pPr>
        <w:pStyle w:val="30"/>
        <w:rPr>
          <w:highlight w:val="none"/>
        </w:rPr>
      </w:pPr>
    </w:p>
    <w:p>
      <w:pPr>
        <w:rPr>
          <w:highlight w:val="none"/>
        </w:rPr>
      </w:pPr>
    </w:p>
    <w:p>
      <w:pPr>
        <w:pStyle w:val="30"/>
        <w:rPr>
          <w:highlight w:val="none"/>
        </w:rPr>
      </w:pPr>
    </w:p>
    <w:p>
      <w:pPr>
        <w:rPr>
          <w:highlight w:val="none"/>
        </w:rPr>
      </w:pPr>
    </w:p>
    <w:p>
      <w:pPr>
        <w:pStyle w:val="30"/>
        <w:rPr>
          <w:highlight w:val="none"/>
        </w:rPr>
      </w:pPr>
    </w:p>
    <w:p>
      <w:pPr>
        <w:rPr>
          <w:highlight w:val="none"/>
        </w:rPr>
      </w:pPr>
    </w:p>
    <w:p>
      <w:pPr>
        <w:pStyle w:val="30"/>
        <w:rPr>
          <w:highlight w:val="none"/>
        </w:rPr>
      </w:pPr>
    </w:p>
    <w:p>
      <w:pPr>
        <w:rPr>
          <w:highlight w:val="none"/>
        </w:rPr>
      </w:pPr>
    </w:p>
    <w:p>
      <w:pPr>
        <w:pStyle w:val="30"/>
        <w:rPr>
          <w:highlight w:val="none"/>
        </w:rPr>
      </w:pPr>
    </w:p>
    <w:p>
      <w:pPr>
        <w:rPr>
          <w:highlight w:val="none"/>
        </w:rPr>
      </w:pPr>
    </w:p>
    <w:p>
      <w:pPr>
        <w:pStyle w:val="30"/>
        <w:rPr>
          <w:highlight w:val="none"/>
        </w:rPr>
      </w:pPr>
    </w:p>
    <w:p>
      <w:pPr>
        <w:pStyle w:val="6"/>
        <w:rPr>
          <w:b w:val="0"/>
          <w:bCs w:val="0"/>
          <w:kern w:val="2"/>
          <w:sz w:val="21"/>
          <w:szCs w:val="24"/>
          <w:highlight w:val="none"/>
        </w:rPr>
      </w:pPr>
      <w:bookmarkStart w:id="586" w:name="_Toc4534"/>
      <w:bookmarkStart w:id="587" w:name="_Toc6908"/>
      <w:bookmarkStart w:id="588" w:name="_Toc12326"/>
      <w:bookmarkStart w:id="589" w:name="_Toc14275"/>
      <w:r>
        <w:rPr>
          <w:b w:val="0"/>
          <w:bCs w:val="0"/>
          <w:kern w:val="2"/>
          <w:sz w:val="21"/>
          <w:szCs w:val="24"/>
          <w:highlight w:val="none"/>
        </w:rPr>
        <w:br w:type="page"/>
      </w:r>
    </w:p>
    <w:bookmarkEnd w:id="586"/>
    <w:bookmarkEnd w:id="587"/>
    <w:bookmarkEnd w:id="588"/>
    <w:bookmarkEnd w:id="589"/>
    <w:p>
      <w:pPr>
        <w:pStyle w:val="6"/>
        <w:jc w:val="center"/>
        <w:rPr>
          <w:rFonts w:ascii="宋体" w:hAnsi="宋体" w:cs="宋体"/>
          <w:spacing w:val="10"/>
          <w:kern w:val="0"/>
          <w:sz w:val="32"/>
          <w:szCs w:val="32"/>
          <w:highlight w:val="none"/>
        </w:rPr>
      </w:pPr>
      <w:bookmarkStart w:id="590" w:name="_Toc17490"/>
      <w:bookmarkStart w:id="591" w:name="_Toc18193"/>
      <w:bookmarkStart w:id="592" w:name="_Toc16412"/>
      <w:bookmarkStart w:id="593" w:name="_Toc11150"/>
      <w:r>
        <w:rPr>
          <w:rFonts w:hint="eastAsia" w:ascii="宋体" w:hAnsi="宋体" w:cs="宋体"/>
          <w:spacing w:val="10"/>
          <w:kern w:val="0"/>
          <w:sz w:val="32"/>
          <w:szCs w:val="32"/>
          <w:highlight w:val="none"/>
        </w:rPr>
        <w:t>2</w:t>
      </w:r>
      <w:r>
        <w:rPr>
          <w:rFonts w:hint="eastAsia" w:ascii="宋体" w:hAnsi="宋体" w:cs="宋体"/>
          <w:spacing w:val="10"/>
          <w:kern w:val="0"/>
          <w:sz w:val="32"/>
          <w:szCs w:val="32"/>
          <w:highlight w:val="none"/>
          <w:lang w:val="en-US" w:eastAsia="zh-CN"/>
        </w:rPr>
        <w:t>0</w:t>
      </w:r>
      <w:r>
        <w:rPr>
          <w:rFonts w:hint="eastAsia" w:ascii="宋体" w:hAnsi="宋体" w:cs="宋体"/>
          <w:spacing w:val="10"/>
          <w:kern w:val="0"/>
          <w:sz w:val="32"/>
          <w:szCs w:val="32"/>
          <w:highlight w:val="none"/>
        </w:rPr>
        <w:t>.非联合体投标承诺函</w:t>
      </w:r>
      <w:bookmarkEnd w:id="590"/>
    </w:p>
    <w:p>
      <w:pPr>
        <w:rPr>
          <w:rFonts w:ascii="宋体" w:hAnsi="宋体" w:cs="宋体"/>
          <w:sz w:val="28"/>
          <w:highlight w:val="none"/>
        </w:rPr>
      </w:pPr>
    </w:p>
    <w:p>
      <w:pPr>
        <w:adjustRightInd w:val="0"/>
        <w:snapToGrid w:val="0"/>
        <w:spacing w:line="360" w:lineRule="auto"/>
        <w:rPr>
          <w:rFonts w:hint="eastAsia" w:ascii="宋体" w:hAnsi="宋体" w:eastAsia="宋体" w:cs="宋体"/>
          <w:sz w:val="24"/>
          <w:highlight w:val="none"/>
          <w:lang w:eastAsia="zh-CN"/>
        </w:rPr>
      </w:pPr>
      <w:r>
        <w:rPr>
          <w:rFonts w:hint="eastAsia" w:ascii="宋体" w:hAnsi="宋体" w:cs="宋体"/>
          <w:sz w:val="24"/>
          <w:highlight w:val="none"/>
        </w:rPr>
        <w:t>致：</w:t>
      </w:r>
    </w:p>
    <w:p>
      <w:pPr>
        <w:adjustRightInd w:val="0"/>
        <w:snapToGrid w:val="0"/>
        <w:spacing w:line="360" w:lineRule="auto"/>
        <w:ind w:firstLine="480" w:firstLineChars="200"/>
        <w:rPr>
          <w:rFonts w:ascii="宋体" w:hAnsi="宋体" w:cs="宋体"/>
          <w:sz w:val="24"/>
          <w:highlight w:val="none"/>
        </w:rPr>
      </w:pPr>
      <w:r>
        <w:rPr>
          <w:rFonts w:hint="eastAsia" w:ascii="宋体" w:hAnsi="宋体" w:cs="宋体"/>
          <w:sz w:val="24"/>
          <w:highlight w:val="none"/>
        </w:rPr>
        <w:t>我公司作为参加本次</w:t>
      </w:r>
      <w:r>
        <w:rPr>
          <w:rFonts w:hint="eastAsia" w:ascii="宋体" w:hAnsi="宋体" w:cs="宋体"/>
          <w:sz w:val="24"/>
          <w:highlight w:val="none"/>
          <w:u w:val="single"/>
        </w:rPr>
        <w:t xml:space="preserve">               </w:t>
      </w:r>
      <w:r>
        <w:rPr>
          <w:rFonts w:hint="eastAsia" w:ascii="宋体" w:hAnsi="宋体" w:cs="宋体"/>
          <w:sz w:val="24"/>
          <w:highlight w:val="none"/>
        </w:rPr>
        <w:t>项目(招标编号：</w:t>
      </w:r>
      <w:r>
        <w:rPr>
          <w:rFonts w:hint="eastAsia" w:ascii="宋体" w:hAnsi="宋体" w:cs="宋体"/>
          <w:sz w:val="24"/>
          <w:highlight w:val="none"/>
          <w:u w:val="single"/>
        </w:rPr>
        <w:t xml:space="preserve">        </w:t>
      </w:r>
      <w:r>
        <w:rPr>
          <w:rFonts w:hint="eastAsia" w:ascii="宋体" w:hAnsi="宋体" w:cs="宋体"/>
          <w:sz w:val="24"/>
          <w:highlight w:val="none"/>
        </w:rPr>
        <w:t xml:space="preserve">)的供应商，根据招标文件要求，现郑重声明如下：  </w:t>
      </w:r>
    </w:p>
    <w:p>
      <w:pPr>
        <w:adjustRightInd w:val="0"/>
        <w:snapToGrid w:val="0"/>
        <w:spacing w:line="360" w:lineRule="auto"/>
        <w:ind w:firstLine="480" w:firstLineChars="200"/>
        <w:rPr>
          <w:rFonts w:ascii="宋体" w:hAnsi="宋体" w:cs="宋体"/>
          <w:sz w:val="24"/>
          <w:highlight w:val="none"/>
        </w:rPr>
      </w:pPr>
      <w:r>
        <w:rPr>
          <w:rFonts w:hint="eastAsia" w:ascii="宋体" w:hAnsi="宋体" w:cs="宋体"/>
          <w:sz w:val="24"/>
          <w:highlight w:val="none"/>
        </w:rPr>
        <w:t>我公司参加本次招标项目非联合体投标。</w:t>
      </w:r>
    </w:p>
    <w:p>
      <w:pPr>
        <w:adjustRightInd w:val="0"/>
        <w:snapToGrid w:val="0"/>
        <w:spacing w:line="360" w:lineRule="auto"/>
        <w:ind w:firstLine="480" w:firstLineChars="200"/>
        <w:rPr>
          <w:rFonts w:ascii="宋体" w:hAnsi="宋体" w:cs="宋体"/>
          <w:sz w:val="24"/>
          <w:highlight w:val="none"/>
        </w:rPr>
      </w:pPr>
      <w:r>
        <w:rPr>
          <w:rFonts w:hint="eastAsia" w:ascii="宋体" w:hAnsi="宋体" w:cs="宋体"/>
          <w:sz w:val="24"/>
          <w:highlight w:val="none"/>
        </w:rPr>
        <w:t>本公司对上述承诺的内容事项真实性负责。如经查实上述承诺的内容事项存在虚假，我公司愿意接受以提供虚假材料谋取成交的法律责任。</w:t>
      </w:r>
    </w:p>
    <w:p>
      <w:pPr>
        <w:adjustRightInd w:val="0"/>
        <w:snapToGrid w:val="0"/>
        <w:spacing w:line="360" w:lineRule="auto"/>
        <w:ind w:firstLine="480" w:firstLineChars="200"/>
        <w:rPr>
          <w:rFonts w:ascii="宋体" w:hAnsi="宋体" w:cs="宋体"/>
          <w:sz w:val="24"/>
          <w:highlight w:val="none"/>
        </w:rPr>
      </w:pPr>
      <w:r>
        <w:rPr>
          <w:rFonts w:hint="eastAsia" w:ascii="宋体" w:hAnsi="宋体" w:cs="宋体"/>
          <w:sz w:val="24"/>
          <w:highlight w:val="none"/>
        </w:rPr>
        <w:t>特此承诺</w:t>
      </w:r>
    </w:p>
    <w:p>
      <w:pPr>
        <w:adjustRightInd w:val="0"/>
        <w:snapToGrid w:val="0"/>
        <w:spacing w:line="360" w:lineRule="auto"/>
        <w:ind w:firstLine="480" w:firstLineChars="200"/>
        <w:rPr>
          <w:rFonts w:ascii="宋体" w:hAnsi="宋体" w:cs="宋体"/>
          <w:sz w:val="24"/>
          <w:highlight w:val="none"/>
        </w:rPr>
      </w:pPr>
    </w:p>
    <w:p>
      <w:pPr>
        <w:wordWrap w:val="0"/>
        <w:adjustRightInd w:val="0"/>
        <w:snapToGrid w:val="0"/>
        <w:spacing w:line="360" w:lineRule="auto"/>
        <w:ind w:firstLine="480" w:firstLineChars="200"/>
        <w:jc w:val="right"/>
        <w:rPr>
          <w:rFonts w:ascii="宋体" w:hAnsi="宋体" w:cs="宋体"/>
          <w:sz w:val="24"/>
          <w:szCs w:val="32"/>
          <w:highlight w:val="none"/>
        </w:rPr>
      </w:pPr>
      <w:r>
        <w:rPr>
          <w:rFonts w:hint="eastAsia" w:ascii="宋体" w:hAnsi="宋体" w:cs="宋体"/>
          <w:sz w:val="24"/>
          <w:szCs w:val="32"/>
          <w:highlight w:val="none"/>
        </w:rPr>
        <w:t xml:space="preserve">               </w:t>
      </w:r>
    </w:p>
    <w:p>
      <w:pPr>
        <w:spacing w:line="360" w:lineRule="auto"/>
        <w:jc w:val="left"/>
        <w:rPr>
          <w:rFonts w:ascii="宋体" w:hAnsi="宋体" w:cs="宋体"/>
          <w:sz w:val="24"/>
          <w:highlight w:val="none"/>
          <w:u w:val="single"/>
          <w:shd w:val="clear" w:color="auto" w:fill="FFFFFF"/>
        </w:rPr>
      </w:pPr>
      <w:r>
        <w:rPr>
          <w:rFonts w:hint="eastAsia" w:ascii="宋体" w:hAnsi="宋体" w:cs="宋体"/>
          <w:sz w:val="24"/>
          <w:highlight w:val="none"/>
          <w:shd w:val="clear" w:color="auto" w:fill="FFFFFF"/>
        </w:rPr>
        <w:t>投标人：</w:t>
      </w:r>
      <w:r>
        <w:rPr>
          <w:rFonts w:hint="eastAsia" w:ascii="宋体" w:hAnsi="宋体" w:cs="宋体"/>
          <w:sz w:val="24"/>
          <w:highlight w:val="none"/>
          <w:u w:val="single"/>
          <w:shd w:val="clear" w:color="auto" w:fill="FFFFFF"/>
        </w:rPr>
        <w:t>（加盖公章）</w:t>
      </w:r>
    </w:p>
    <w:p>
      <w:pPr>
        <w:spacing w:line="360" w:lineRule="auto"/>
        <w:rPr>
          <w:rFonts w:ascii="宋体" w:hAnsi="宋体" w:cs="宋体"/>
          <w:sz w:val="24"/>
          <w:highlight w:val="none"/>
          <w:shd w:val="clear" w:color="auto" w:fill="FFFFFF"/>
        </w:rPr>
      </w:pPr>
    </w:p>
    <w:p>
      <w:pPr>
        <w:spacing w:line="360" w:lineRule="auto"/>
        <w:rPr>
          <w:rFonts w:ascii="宋体" w:hAnsi="宋体" w:cs="宋体"/>
          <w:sz w:val="24"/>
          <w:highlight w:val="none"/>
          <w:u w:val="single"/>
          <w:shd w:val="clear" w:color="auto" w:fill="FFFFFF"/>
        </w:rPr>
      </w:pPr>
      <w:r>
        <w:rPr>
          <w:rFonts w:hint="eastAsia" w:ascii="宋体" w:hAnsi="宋体" w:cs="宋体"/>
          <w:spacing w:val="10"/>
          <w:sz w:val="24"/>
          <w:highlight w:val="none"/>
        </w:rPr>
        <w:t>法定代表人或被授权代表</w:t>
      </w:r>
      <w:r>
        <w:rPr>
          <w:rFonts w:hint="eastAsia" w:ascii="宋体" w:hAnsi="宋体" w:cs="宋体"/>
          <w:sz w:val="24"/>
          <w:highlight w:val="none"/>
        </w:rPr>
        <w:t>（签字或印章）</w:t>
      </w:r>
      <w:r>
        <w:rPr>
          <w:rFonts w:hint="eastAsia" w:ascii="宋体" w:hAnsi="宋体" w:cs="宋体"/>
          <w:sz w:val="24"/>
          <w:highlight w:val="none"/>
          <w:shd w:val="clear" w:color="auto" w:fill="FFFFFF"/>
        </w:rPr>
        <w:t>：</w:t>
      </w:r>
      <w:r>
        <w:rPr>
          <w:rFonts w:hint="eastAsia" w:ascii="宋体" w:hAnsi="宋体" w:cs="宋体"/>
          <w:sz w:val="24"/>
          <w:highlight w:val="none"/>
          <w:u w:val="single"/>
          <w:shd w:val="clear" w:color="auto" w:fill="FFFFFF"/>
        </w:rPr>
        <w:t xml:space="preserve">            </w:t>
      </w:r>
    </w:p>
    <w:p>
      <w:pPr>
        <w:spacing w:line="360" w:lineRule="auto"/>
        <w:jc w:val="left"/>
        <w:rPr>
          <w:rFonts w:ascii="宋体" w:hAnsi="宋体" w:cs="宋体"/>
          <w:sz w:val="24"/>
          <w:highlight w:val="none"/>
        </w:rPr>
      </w:pPr>
    </w:p>
    <w:p>
      <w:pPr>
        <w:pStyle w:val="6"/>
        <w:jc w:val="both"/>
        <w:rPr>
          <w:rFonts w:ascii="宋体" w:hAnsi="宋体" w:cs="宋体"/>
          <w:b w:val="0"/>
          <w:bCs w:val="0"/>
          <w:sz w:val="32"/>
          <w:szCs w:val="32"/>
          <w:highlight w:val="none"/>
        </w:rPr>
      </w:pPr>
      <w:r>
        <w:rPr>
          <w:rFonts w:hint="eastAsia" w:ascii="宋体" w:hAnsi="宋体" w:cs="宋体"/>
          <w:b w:val="0"/>
          <w:bCs w:val="0"/>
          <w:spacing w:val="10"/>
          <w:sz w:val="24"/>
          <w:highlight w:val="none"/>
        </w:rPr>
        <w:t>日期：  年  月   日</w:t>
      </w:r>
    </w:p>
    <w:p>
      <w:pPr>
        <w:pStyle w:val="6"/>
        <w:rPr>
          <w:rFonts w:ascii="宋体" w:hAnsi="宋体" w:cs="宋体"/>
          <w:sz w:val="32"/>
          <w:szCs w:val="32"/>
          <w:highlight w:val="none"/>
        </w:rPr>
      </w:pPr>
    </w:p>
    <w:p>
      <w:pPr>
        <w:pStyle w:val="6"/>
        <w:rPr>
          <w:rFonts w:ascii="宋体" w:hAnsi="宋体" w:cs="宋体"/>
          <w:sz w:val="32"/>
          <w:szCs w:val="32"/>
          <w:highlight w:val="none"/>
        </w:rPr>
      </w:pPr>
    </w:p>
    <w:p>
      <w:pPr>
        <w:pStyle w:val="6"/>
        <w:rPr>
          <w:rFonts w:ascii="宋体" w:hAnsi="宋体" w:cs="宋体"/>
          <w:sz w:val="32"/>
          <w:szCs w:val="32"/>
          <w:highlight w:val="none"/>
        </w:rPr>
      </w:pPr>
    </w:p>
    <w:p>
      <w:pPr>
        <w:pStyle w:val="6"/>
        <w:rPr>
          <w:rFonts w:ascii="宋体" w:hAnsi="宋体" w:cs="宋体"/>
          <w:sz w:val="32"/>
          <w:szCs w:val="32"/>
          <w:highlight w:val="none"/>
        </w:rPr>
      </w:pPr>
    </w:p>
    <w:p>
      <w:pPr>
        <w:pStyle w:val="6"/>
        <w:rPr>
          <w:rFonts w:ascii="宋体" w:hAnsi="宋体" w:cs="宋体"/>
          <w:sz w:val="32"/>
          <w:szCs w:val="32"/>
          <w:highlight w:val="none"/>
        </w:rPr>
      </w:pPr>
    </w:p>
    <w:p>
      <w:pPr>
        <w:pStyle w:val="6"/>
        <w:rPr>
          <w:rFonts w:ascii="宋体" w:hAnsi="宋体" w:cs="宋体"/>
          <w:sz w:val="32"/>
          <w:szCs w:val="32"/>
          <w:highlight w:val="none"/>
        </w:rPr>
      </w:pPr>
    </w:p>
    <w:p>
      <w:pPr>
        <w:pStyle w:val="6"/>
        <w:rPr>
          <w:rFonts w:ascii="宋体" w:hAnsi="宋体" w:cs="宋体"/>
          <w:sz w:val="32"/>
          <w:szCs w:val="32"/>
          <w:highlight w:val="none"/>
        </w:rPr>
      </w:pPr>
      <w:bookmarkStart w:id="594" w:name="_Toc5730"/>
      <w:r>
        <w:rPr>
          <w:rFonts w:ascii="宋体" w:hAnsi="宋体" w:cs="宋体"/>
          <w:sz w:val="32"/>
          <w:szCs w:val="32"/>
          <w:highlight w:val="none"/>
        </w:rPr>
        <w:br w:type="page"/>
      </w:r>
    </w:p>
    <w:p>
      <w:pPr>
        <w:pStyle w:val="6"/>
        <w:rPr>
          <w:rFonts w:ascii="宋体" w:hAnsi="宋体" w:cs="宋体"/>
          <w:spacing w:val="10"/>
          <w:kern w:val="0"/>
          <w:sz w:val="32"/>
          <w:szCs w:val="32"/>
          <w:highlight w:val="none"/>
        </w:rPr>
      </w:pPr>
      <w:r>
        <w:rPr>
          <w:rFonts w:hint="eastAsia" w:ascii="宋体" w:hAnsi="宋体" w:cs="宋体"/>
          <w:spacing w:val="10"/>
          <w:kern w:val="0"/>
          <w:sz w:val="32"/>
          <w:szCs w:val="32"/>
          <w:highlight w:val="none"/>
        </w:rPr>
        <w:t>2</w:t>
      </w:r>
      <w:r>
        <w:rPr>
          <w:rFonts w:hint="eastAsia" w:ascii="宋体" w:hAnsi="宋体" w:cs="宋体"/>
          <w:spacing w:val="10"/>
          <w:kern w:val="0"/>
          <w:sz w:val="32"/>
          <w:szCs w:val="32"/>
          <w:highlight w:val="none"/>
          <w:lang w:val="en-US" w:eastAsia="zh-CN"/>
        </w:rPr>
        <w:t>1</w:t>
      </w:r>
      <w:r>
        <w:rPr>
          <w:rFonts w:hint="eastAsia" w:ascii="宋体" w:hAnsi="宋体" w:cs="宋体"/>
          <w:spacing w:val="10"/>
          <w:kern w:val="0"/>
          <w:sz w:val="32"/>
          <w:szCs w:val="32"/>
          <w:highlight w:val="none"/>
        </w:rPr>
        <w:t>.具有履行合同所必须的设备和专业技术能力的承诺函</w:t>
      </w:r>
      <w:bookmarkEnd w:id="594"/>
    </w:p>
    <w:p>
      <w:pPr>
        <w:adjustRightInd w:val="0"/>
        <w:snapToGrid w:val="0"/>
        <w:spacing w:line="360" w:lineRule="auto"/>
        <w:ind w:firstLine="640" w:firstLineChars="200"/>
        <w:rPr>
          <w:rFonts w:ascii="宋体" w:hAnsi="宋体" w:cs="宋体"/>
          <w:sz w:val="32"/>
          <w:szCs w:val="32"/>
          <w:highlight w:val="none"/>
        </w:rPr>
      </w:pPr>
    </w:p>
    <w:p>
      <w:pPr>
        <w:adjustRightInd w:val="0"/>
        <w:snapToGrid w:val="0"/>
        <w:spacing w:line="360" w:lineRule="auto"/>
        <w:rPr>
          <w:rFonts w:hint="eastAsia" w:ascii="宋体" w:hAnsi="宋体" w:eastAsia="宋体" w:cs="宋体"/>
          <w:sz w:val="24"/>
          <w:highlight w:val="none"/>
          <w:lang w:eastAsia="zh-CN"/>
        </w:rPr>
      </w:pPr>
      <w:r>
        <w:rPr>
          <w:rFonts w:hint="eastAsia" w:ascii="宋体" w:hAnsi="宋体" w:cs="宋体"/>
          <w:sz w:val="24"/>
          <w:highlight w:val="none"/>
        </w:rPr>
        <w:t>致：</w:t>
      </w:r>
    </w:p>
    <w:p>
      <w:pPr>
        <w:adjustRightInd w:val="0"/>
        <w:snapToGrid w:val="0"/>
        <w:spacing w:line="360" w:lineRule="auto"/>
        <w:ind w:firstLine="480" w:firstLineChars="200"/>
        <w:rPr>
          <w:rFonts w:ascii="宋体" w:hAnsi="宋体" w:cs="宋体"/>
          <w:sz w:val="24"/>
          <w:highlight w:val="none"/>
        </w:rPr>
      </w:pPr>
      <w:r>
        <w:rPr>
          <w:rFonts w:hint="eastAsia" w:ascii="宋体" w:hAnsi="宋体" w:cs="宋体"/>
          <w:sz w:val="24"/>
          <w:highlight w:val="none"/>
        </w:rPr>
        <w:t>我公司仔细阅读了贵方关于</w:t>
      </w:r>
      <w:r>
        <w:rPr>
          <w:rFonts w:hint="eastAsia" w:ascii="宋体" w:hAnsi="宋体" w:cs="宋体"/>
          <w:sz w:val="24"/>
          <w:highlight w:val="none"/>
          <w:u w:val="single"/>
        </w:rPr>
        <w:t xml:space="preserve">          </w:t>
      </w:r>
      <w:r>
        <w:rPr>
          <w:rFonts w:hint="eastAsia" w:ascii="宋体" w:hAnsi="宋体" w:cs="宋体"/>
          <w:sz w:val="24"/>
          <w:highlight w:val="none"/>
        </w:rPr>
        <w:t>项目(招标编号：</w:t>
      </w:r>
      <w:r>
        <w:rPr>
          <w:rFonts w:hint="eastAsia" w:ascii="宋体" w:hAnsi="宋体" w:cs="宋体"/>
          <w:sz w:val="24"/>
          <w:highlight w:val="none"/>
          <w:u w:val="single"/>
        </w:rPr>
        <w:t xml:space="preserve">       </w:t>
      </w:r>
      <w:r>
        <w:rPr>
          <w:rFonts w:hint="eastAsia" w:ascii="宋体" w:hAnsi="宋体" w:cs="宋体"/>
          <w:sz w:val="24"/>
          <w:highlight w:val="none"/>
        </w:rPr>
        <w:t>)的招标公告，在完全理解本项目招标的技术要求、商务条款及其他内容后，决定参与该项目的投标活动。并承诺，我公司</w:t>
      </w:r>
      <w:r>
        <w:rPr>
          <w:rFonts w:hint="eastAsia" w:ascii="宋体" w:hAnsi="宋体" w:cs="宋体"/>
          <w:sz w:val="24"/>
          <w:highlight w:val="none"/>
          <w:lang w:eastAsia="zh-CN"/>
        </w:rPr>
        <w:t>具有</w:t>
      </w:r>
      <w:r>
        <w:rPr>
          <w:rFonts w:hint="eastAsia" w:ascii="宋体" w:hAnsi="宋体" w:cs="宋体"/>
          <w:sz w:val="24"/>
          <w:highlight w:val="none"/>
        </w:rPr>
        <w:t>履行合同所必须的设备和专业技术能力。如我方中标，我公司将提供足够的设备和专业技术能力保证本合同履行。</w:t>
      </w:r>
    </w:p>
    <w:p>
      <w:pPr>
        <w:adjustRightInd w:val="0"/>
        <w:snapToGrid w:val="0"/>
        <w:spacing w:line="360" w:lineRule="auto"/>
        <w:ind w:firstLine="480" w:firstLineChars="200"/>
        <w:rPr>
          <w:rFonts w:ascii="宋体" w:hAnsi="宋体" w:cs="宋体"/>
          <w:sz w:val="24"/>
          <w:highlight w:val="none"/>
        </w:rPr>
      </w:pPr>
      <w:r>
        <w:rPr>
          <w:rFonts w:hint="eastAsia" w:ascii="宋体" w:hAnsi="宋体" w:cs="宋体"/>
          <w:sz w:val="24"/>
          <w:highlight w:val="none"/>
        </w:rPr>
        <w:t>本公司对上述承诺的真实性负责。如有虚假，我公司同意按我方合同违约处理，并依法承担相应法律责任。</w:t>
      </w:r>
    </w:p>
    <w:p>
      <w:pPr>
        <w:adjustRightInd w:val="0"/>
        <w:snapToGrid w:val="0"/>
        <w:spacing w:line="360" w:lineRule="auto"/>
        <w:ind w:firstLine="480" w:firstLineChars="200"/>
        <w:rPr>
          <w:rFonts w:ascii="宋体" w:hAnsi="宋体" w:cs="宋体"/>
          <w:sz w:val="24"/>
          <w:szCs w:val="32"/>
          <w:highlight w:val="none"/>
        </w:rPr>
      </w:pPr>
    </w:p>
    <w:p>
      <w:pPr>
        <w:adjustRightInd w:val="0"/>
        <w:snapToGrid w:val="0"/>
        <w:spacing w:line="360" w:lineRule="auto"/>
        <w:ind w:firstLine="480" w:firstLineChars="200"/>
        <w:rPr>
          <w:rFonts w:ascii="宋体" w:hAnsi="宋体" w:cs="宋体"/>
          <w:sz w:val="24"/>
          <w:szCs w:val="32"/>
          <w:highlight w:val="none"/>
        </w:rPr>
      </w:pPr>
    </w:p>
    <w:p>
      <w:pPr>
        <w:spacing w:line="360" w:lineRule="auto"/>
        <w:jc w:val="left"/>
        <w:rPr>
          <w:rFonts w:ascii="宋体" w:hAnsi="宋体" w:cs="宋体"/>
          <w:sz w:val="24"/>
          <w:highlight w:val="none"/>
          <w:u w:val="single"/>
          <w:shd w:val="clear" w:color="auto" w:fill="FFFFFF"/>
        </w:rPr>
      </w:pPr>
      <w:r>
        <w:rPr>
          <w:rFonts w:hint="eastAsia" w:ascii="宋体" w:hAnsi="宋体" w:cs="宋体"/>
          <w:sz w:val="24"/>
          <w:highlight w:val="none"/>
          <w:shd w:val="clear" w:color="auto" w:fill="FFFFFF"/>
        </w:rPr>
        <w:t>投标人：</w:t>
      </w:r>
      <w:r>
        <w:rPr>
          <w:rFonts w:hint="eastAsia" w:ascii="宋体" w:hAnsi="宋体" w:cs="宋体"/>
          <w:sz w:val="24"/>
          <w:highlight w:val="none"/>
          <w:u w:val="single"/>
          <w:shd w:val="clear" w:color="auto" w:fill="FFFFFF"/>
        </w:rPr>
        <w:t>（加盖公章）</w:t>
      </w:r>
    </w:p>
    <w:p>
      <w:pPr>
        <w:spacing w:line="360" w:lineRule="auto"/>
        <w:rPr>
          <w:rFonts w:ascii="宋体" w:hAnsi="宋体" w:cs="宋体"/>
          <w:sz w:val="24"/>
          <w:highlight w:val="none"/>
          <w:shd w:val="clear" w:color="auto" w:fill="FFFFFF"/>
        </w:rPr>
      </w:pPr>
    </w:p>
    <w:p>
      <w:pPr>
        <w:spacing w:line="360" w:lineRule="auto"/>
        <w:rPr>
          <w:rFonts w:ascii="宋体" w:hAnsi="宋体" w:cs="宋体"/>
          <w:sz w:val="24"/>
          <w:highlight w:val="none"/>
          <w:u w:val="single"/>
          <w:shd w:val="clear" w:color="auto" w:fill="FFFFFF"/>
        </w:rPr>
      </w:pPr>
      <w:r>
        <w:rPr>
          <w:rFonts w:hint="eastAsia" w:ascii="宋体" w:hAnsi="宋体" w:cs="宋体"/>
          <w:spacing w:val="10"/>
          <w:sz w:val="24"/>
          <w:highlight w:val="none"/>
        </w:rPr>
        <w:t>法定代表人或被授权代表</w:t>
      </w:r>
      <w:r>
        <w:rPr>
          <w:rFonts w:hint="eastAsia" w:ascii="宋体" w:hAnsi="宋体" w:cs="宋体"/>
          <w:sz w:val="24"/>
          <w:highlight w:val="none"/>
        </w:rPr>
        <w:t>（签字或印章）</w:t>
      </w:r>
      <w:r>
        <w:rPr>
          <w:rFonts w:hint="eastAsia" w:ascii="宋体" w:hAnsi="宋体" w:cs="宋体"/>
          <w:sz w:val="24"/>
          <w:highlight w:val="none"/>
          <w:shd w:val="clear" w:color="auto" w:fill="FFFFFF"/>
        </w:rPr>
        <w:t>：</w:t>
      </w:r>
      <w:r>
        <w:rPr>
          <w:rFonts w:hint="eastAsia" w:ascii="宋体" w:hAnsi="宋体" w:cs="宋体"/>
          <w:sz w:val="24"/>
          <w:highlight w:val="none"/>
          <w:u w:val="single"/>
          <w:shd w:val="clear" w:color="auto" w:fill="FFFFFF"/>
        </w:rPr>
        <w:t xml:space="preserve">            </w:t>
      </w:r>
    </w:p>
    <w:p>
      <w:pPr>
        <w:spacing w:line="360" w:lineRule="auto"/>
        <w:jc w:val="left"/>
        <w:rPr>
          <w:rFonts w:ascii="宋体" w:hAnsi="宋体" w:cs="宋体"/>
          <w:sz w:val="24"/>
          <w:highlight w:val="none"/>
        </w:rPr>
      </w:pPr>
    </w:p>
    <w:p>
      <w:pPr>
        <w:pStyle w:val="6"/>
        <w:jc w:val="both"/>
        <w:rPr>
          <w:rFonts w:ascii="宋体" w:hAnsi="宋体" w:cs="宋体"/>
          <w:b w:val="0"/>
          <w:bCs w:val="0"/>
          <w:sz w:val="32"/>
          <w:szCs w:val="32"/>
          <w:highlight w:val="none"/>
        </w:rPr>
      </w:pPr>
      <w:bookmarkStart w:id="595" w:name="_Toc32539"/>
      <w:r>
        <w:rPr>
          <w:rFonts w:hint="eastAsia" w:ascii="宋体" w:hAnsi="宋体" w:cs="宋体"/>
          <w:b w:val="0"/>
          <w:bCs w:val="0"/>
          <w:spacing w:val="10"/>
          <w:sz w:val="24"/>
          <w:highlight w:val="none"/>
        </w:rPr>
        <w:t>日期：  年  月   日</w:t>
      </w:r>
      <w:bookmarkEnd w:id="595"/>
    </w:p>
    <w:p>
      <w:pPr>
        <w:pStyle w:val="6"/>
        <w:rPr>
          <w:rFonts w:ascii="宋体" w:hAnsi="宋体" w:cs="宋体"/>
          <w:sz w:val="32"/>
          <w:szCs w:val="32"/>
          <w:highlight w:val="none"/>
        </w:rPr>
      </w:pPr>
    </w:p>
    <w:p>
      <w:pPr>
        <w:rPr>
          <w:rFonts w:ascii="宋体" w:hAnsi="宋体" w:cs="宋体"/>
          <w:sz w:val="32"/>
          <w:szCs w:val="32"/>
          <w:highlight w:val="none"/>
        </w:rPr>
      </w:pPr>
    </w:p>
    <w:p>
      <w:pPr>
        <w:pStyle w:val="230"/>
        <w:ind w:firstLine="640"/>
        <w:rPr>
          <w:rFonts w:hAnsi="宋体" w:cs="宋体"/>
          <w:sz w:val="32"/>
          <w:szCs w:val="32"/>
          <w:highlight w:val="none"/>
        </w:rPr>
      </w:pPr>
    </w:p>
    <w:p>
      <w:pPr>
        <w:pStyle w:val="230"/>
        <w:ind w:firstLine="640"/>
        <w:rPr>
          <w:rFonts w:hAnsi="宋体" w:cs="宋体"/>
          <w:sz w:val="32"/>
          <w:szCs w:val="32"/>
          <w:highlight w:val="none"/>
        </w:rPr>
      </w:pPr>
    </w:p>
    <w:p>
      <w:pPr>
        <w:pStyle w:val="230"/>
        <w:ind w:firstLine="640"/>
        <w:rPr>
          <w:rFonts w:hAnsi="宋体" w:cs="宋体"/>
          <w:sz w:val="32"/>
          <w:szCs w:val="32"/>
          <w:highlight w:val="none"/>
        </w:rPr>
      </w:pPr>
    </w:p>
    <w:p>
      <w:pPr>
        <w:pStyle w:val="230"/>
        <w:ind w:firstLine="640"/>
        <w:rPr>
          <w:rFonts w:hAnsi="宋体" w:cs="宋体"/>
          <w:sz w:val="32"/>
          <w:szCs w:val="32"/>
          <w:highlight w:val="none"/>
        </w:rPr>
      </w:pPr>
    </w:p>
    <w:p>
      <w:pPr>
        <w:pStyle w:val="6"/>
        <w:rPr>
          <w:rFonts w:ascii="宋体" w:hAnsi="宋体" w:cs="宋体"/>
          <w:b w:val="0"/>
          <w:bCs w:val="0"/>
          <w:kern w:val="2"/>
          <w:sz w:val="32"/>
          <w:szCs w:val="32"/>
          <w:highlight w:val="none"/>
        </w:rPr>
      </w:pPr>
      <w:bookmarkStart w:id="596" w:name="_Toc23901"/>
      <w:r>
        <w:rPr>
          <w:rFonts w:ascii="宋体" w:hAnsi="宋体" w:cs="宋体"/>
          <w:b w:val="0"/>
          <w:bCs w:val="0"/>
          <w:kern w:val="2"/>
          <w:sz w:val="32"/>
          <w:szCs w:val="32"/>
          <w:highlight w:val="none"/>
        </w:rPr>
        <w:br w:type="page"/>
      </w:r>
    </w:p>
    <w:p>
      <w:pPr>
        <w:pStyle w:val="6"/>
        <w:rPr>
          <w:rFonts w:ascii="宋体" w:hAnsi="宋体" w:cs="宋体"/>
          <w:spacing w:val="10"/>
          <w:kern w:val="0"/>
          <w:sz w:val="32"/>
          <w:szCs w:val="32"/>
          <w:highlight w:val="none"/>
        </w:rPr>
      </w:pPr>
      <w:r>
        <w:rPr>
          <w:rFonts w:hint="eastAsia" w:ascii="宋体" w:hAnsi="宋体" w:cs="宋体"/>
          <w:spacing w:val="10"/>
          <w:kern w:val="0"/>
          <w:sz w:val="32"/>
          <w:szCs w:val="32"/>
          <w:highlight w:val="none"/>
          <w:lang w:val="en-US" w:eastAsia="zh-CN"/>
        </w:rPr>
        <w:t>22</w:t>
      </w:r>
      <w:r>
        <w:rPr>
          <w:rFonts w:hint="eastAsia" w:ascii="宋体" w:hAnsi="宋体" w:cs="宋体"/>
          <w:spacing w:val="10"/>
          <w:kern w:val="0"/>
          <w:sz w:val="32"/>
          <w:szCs w:val="32"/>
          <w:highlight w:val="none"/>
        </w:rPr>
        <w:t>.同意招标文件条款声明</w:t>
      </w:r>
      <w:bookmarkEnd w:id="596"/>
    </w:p>
    <w:p>
      <w:pPr>
        <w:spacing w:line="360" w:lineRule="auto"/>
        <w:rPr>
          <w:rFonts w:hint="eastAsia" w:ascii="宋体" w:hAnsi="宋体" w:eastAsia="宋体" w:cs="宋体"/>
          <w:sz w:val="24"/>
          <w:highlight w:val="none"/>
          <w:lang w:eastAsia="zh-CN"/>
        </w:rPr>
      </w:pPr>
      <w:r>
        <w:rPr>
          <w:rFonts w:ascii="宋体" w:hAnsi="宋体" w:cs="宋体"/>
          <w:sz w:val="24"/>
          <w:highlight w:val="none"/>
        </w:rPr>
        <w:t>致</w:t>
      </w:r>
      <w:r>
        <w:rPr>
          <w:rFonts w:hint="eastAsia" w:ascii="宋体" w:hAnsi="宋体" w:cs="宋体"/>
          <w:sz w:val="24"/>
          <w:highlight w:val="none"/>
        </w:rPr>
        <w:t>：</w:t>
      </w:r>
    </w:p>
    <w:p>
      <w:pPr>
        <w:spacing w:line="360" w:lineRule="auto"/>
        <w:ind w:firstLine="480" w:firstLineChars="200"/>
        <w:rPr>
          <w:rFonts w:ascii="宋体" w:hAnsi="宋体" w:cs="宋体"/>
          <w:sz w:val="24"/>
          <w:highlight w:val="none"/>
        </w:rPr>
      </w:pPr>
      <w:r>
        <w:rPr>
          <w:rFonts w:ascii="宋体" w:hAnsi="宋体" w:cs="宋体"/>
          <w:sz w:val="24"/>
          <w:highlight w:val="none"/>
        </w:rPr>
        <w:t>为响应你方组织的</w:t>
      </w:r>
      <w:r>
        <w:rPr>
          <w:rFonts w:hint="eastAsia" w:ascii="宋体" w:hAnsi="宋体" w:cs="宋体"/>
          <w:sz w:val="24"/>
          <w:highlight w:val="none"/>
          <w:u w:val="single"/>
        </w:rPr>
        <w:t>（</w:t>
      </w:r>
      <w:r>
        <w:rPr>
          <w:rFonts w:ascii="宋体" w:hAnsi="宋体" w:cs="宋体"/>
          <w:sz w:val="24"/>
          <w:highlight w:val="none"/>
          <w:u w:val="single"/>
        </w:rPr>
        <w:t>项目</w:t>
      </w:r>
      <w:r>
        <w:rPr>
          <w:rFonts w:hint="eastAsia" w:ascii="宋体" w:hAnsi="宋体" w:cs="宋体"/>
          <w:sz w:val="24"/>
          <w:highlight w:val="none"/>
          <w:u w:val="single"/>
        </w:rPr>
        <w:t>名称）</w:t>
      </w:r>
      <w:r>
        <w:rPr>
          <w:rFonts w:hint="eastAsia" w:ascii="宋体" w:hAnsi="宋体" w:cs="宋体"/>
          <w:sz w:val="24"/>
          <w:highlight w:val="none"/>
        </w:rPr>
        <w:t>的招标采购</w:t>
      </w:r>
      <w:r>
        <w:rPr>
          <w:rFonts w:ascii="宋体" w:hAnsi="宋体" w:cs="宋体"/>
          <w:sz w:val="24"/>
          <w:highlight w:val="none"/>
        </w:rPr>
        <w:t>，</w:t>
      </w:r>
      <w:r>
        <w:rPr>
          <w:rFonts w:hint="eastAsia" w:ascii="宋体" w:hAnsi="宋体" w:cs="宋体"/>
          <w:sz w:val="24"/>
          <w:highlight w:val="none"/>
        </w:rPr>
        <w:t>招标</w:t>
      </w:r>
      <w:r>
        <w:rPr>
          <w:rFonts w:ascii="宋体" w:hAnsi="宋体" w:cs="宋体"/>
          <w:sz w:val="24"/>
          <w:highlight w:val="none"/>
        </w:rPr>
        <w:t>编号为：</w:t>
      </w:r>
      <w:r>
        <w:rPr>
          <w:rFonts w:hint="eastAsia" w:ascii="宋体" w:hAnsi="宋体" w:cs="宋体"/>
          <w:sz w:val="24"/>
          <w:highlight w:val="none"/>
          <w:u w:val="single"/>
        </w:rPr>
        <w:t xml:space="preserve">     </w:t>
      </w:r>
      <w:r>
        <w:rPr>
          <w:rFonts w:ascii="宋体" w:hAnsi="宋体" w:cs="宋体"/>
          <w:sz w:val="24"/>
          <w:highlight w:val="none"/>
          <w:u w:val="single"/>
        </w:rPr>
        <w:t xml:space="preserve"> </w:t>
      </w:r>
      <w:r>
        <w:rPr>
          <w:rFonts w:ascii="宋体" w:hAnsi="宋体" w:cs="宋体"/>
          <w:sz w:val="24"/>
          <w:highlight w:val="none"/>
        </w:rPr>
        <w:t>,我方在参与投标前已详细研究了招标文件的所有内容，包括修改或更改（正）文件（如果有的话）和所有已提供的参考资料以及有关附件，我方完全明白并认为此招标文件没有倾向性，也没有存在排斥潜在投标人的内容，我方同意招标文件的相关条款并承诺参与投标后不再对招标文件的任何条款提出质疑或异议。</w:t>
      </w:r>
    </w:p>
    <w:p>
      <w:pPr>
        <w:spacing w:line="360" w:lineRule="auto"/>
        <w:rPr>
          <w:rFonts w:ascii="宋体" w:hAnsi="宋体" w:cs="宋体"/>
          <w:sz w:val="24"/>
          <w:highlight w:val="none"/>
        </w:rPr>
      </w:pPr>
    </w:p>
    <w:p>
      <w:pPr>
        <w:spacing w:line="360" w:lineRule="auto"/>
        <w:rPr>
          <w:rFonts w:ascii="宋体" w:hAnsi="宋体" w:cs="宋体"/>
          <w:sz w:val="24"/>
          <w:highlight w:val="none"/>
        </w:rPr>
      </w:pPr>
      <w:r>
        <w:rPr>
          <w:rFonts w:ascii="宋体" w:hAnsi="宋体" w:cs="宋体"/>
          <w:sz w:val="24"/>
          <w:highlight w:val="none"/>
        </w:rPr>
        <w:t>特此声明！</w:t>
      </w:r>
    </w:p>
    <w:p>
      <w:pPr>
        <w:spacing w:line="360" w:lineRule="auto"/>
        <w:jc w:val="left"/>
        <w:rPr>
          <w:rFonts w:ascii="宋体" w:hAnsi="宋体" w:cs="宋体"/>
          <w:sz w:val="24"/>
          <w:highlight w:val="none"/>
          <w:shd w:val="clear" w:color="auto" w:fill="FFFFFF"/>
        </w:rPr>
      </w:pPr>
    </w:p>
    <w:p>
      <w:pPr>
        <w:spacing w:line="360" w:lineRule="auto"/>
        <w:jc w:val="left"/>
        <w:rPr>
          <w:rFonts w:ascii="宋体" w:hAnsi="宋体" w:cs="宋体"/>
          <w:sz w:val="24"/>
          <w:highlight w:val="none"/>
          <w:u w:val="single"/>
          <w:shd w:val="clear" w:color="auto" w:fill="FFFFFF"/>
        </w:rPr>
      </w:pPr>
      <w:r>
        <w:rPr>
          <w:rFonts w:hint="eastAsia" w:ascii="宋体" w:hAnsi="宋体" w:cs="宋体"/>
          <w:sz w:val="24"/>
          <w:highlight w:val="none"/>
          <w:shd w:val="clear" w:color="auto" w:fill="FFFFFF"/>
        </w:rPr>
        <w:t>投标人：</w:t>
      </w:r>
      <w:r>
        <w:rPr>
          <w:rFonts w:hint="eastAsia" w:ascii="宋体" w:hAnsi="宋体" w:cs="宋体"/>
          <w:sz w:val="24"/>
          <w:highlight w:val="none"/>
          <w:u w:val="single"/>
          <w:shd w:val="clear" w:color="auto" w:fill="FFFFFF"/>
        </w:rPr>
        <w:t>（加盖公章）</w:t>
      </w:r>
    </w:p>
    <w:p>
      <w:pPr>
        <w:spacing w:line="360" w:lineRule="auto"/>
        <w:rPr>
          <w:rFonts w:ascii="宋体" w:hAnsi="宋体" w:cs="宋体"/>
          <w:sz w:val="24"/>
          <w:highlight w:val="none"/>
          <w:shd w:val="clear" w:color="auto" w:fill="FFFFFF"/>
        </w:rPr>
      </w:pPr>
    </w:p>
    <w:p>
      <w:pPr>
        <w:spacing w:line="360" w:lineRule="auto"/>
        <w:rPr>
          <w:rFonts w:ascii="宋体" w:hAnsi="宋体" w:cs="宋体"/>
          <w:sz w:val="24"/>
          <w:highlight w:val="none"/>
          <w:u w:val="single"/>
          <w:shd w:val="clear" w:color="auto" w:fill="FFFFFF"/>
        </w:rPr>
      </w:pPr>
      <w:r>
        <w:rPr>
          <w:rFonts w:hint="eastAsia" w:ascii="宋体" w:hAnsi="宋体" w:cs="宋体"/>
          <w:spacing w:val="10"/>
          <w:sz w:val="24"/>
          <w:highlight w:val="none"/>
        </w:rPr>
        <w:t>法定代表人或被授权代表</w:t>
      </w:r>
      <w:r>
        <w:rPr>
          <w:rFonts w:hint="eastAsia" w:ascii="宋体" w:hAnsi="宋体" w:cs="宋体"/>
          <w:sz w:val="24"/>
          <w:highlight w:val="none"/>
        </w:rPr>
        <w:t>（签字或印章）</w:t>
      </w:r>
      <w:r>
        <w:rPr>
          <w:rFonts w:hint="eastAsia" w:ascii="宋体" w:hAnsi="宋体" w:cs="宋体"/>
          <w:sz w:val="24"/>
          <w:highlight w:val="none"/>
          <w:shd w:val="clear" w:color="auto" w:fill="FFFFFF"/>
        </w:rPr>
        <w:t>：</w:t>
      </w:r>
      <w:r>
        <w:rPr>
          <w:rFonts w:hint="eastAsia" w:ascii="宋体" w:hAnsi="宋体" w:cs="宋体"/>
          <w:sz w:val="24"/>
          <w:highlight w:val="none"/>
          <w:u w:val="single"/>
          <w:shd w:val="clear" w:color="auto" w:fill="FFFFFF"/>
        </w:rPr>
        <w:t xml:space="preserve">            </w:t>
      </w:r>
    </w:p>
    <w:p>
      <w:pPr>
        <w:spacing w:line="360" w:lineRule="auto"/>
        <w:jc w:val="left"/>
        <w:rPr>
          <w:rFonts w:ascii="宋体" w:hAnsi="宋体" w:cs="宋体"/>
          <w:sz w:val="24"/>
          <w:highlight w:val="none"/>
        </w:rPr>
      </w:pPr>
    </w:p>
    <w:p>
      <w:pPr>
        <w:pStyle w:val="230"/>
        <w:ind w:firstLine="0" w:firstLineChars="0"/>
        <w:rPr>
          <w:rFonts w:hAnsi="宋体" w:cs="宋体"/>
          <w:sz w:val="32"/>
          <w:szCs w:val="32"/>
          <w:highlight w:val="none"/>
        </w:rPr>
      </w:pPr>
      <w:bookmarkStart w:id="597" w:name="_Toc6592"/>
      <w:r>
        <w:rPr>
          <w:rFonts w:hint="eastAsia" w:hAnsi="宋体" w:cs="宋体"/>
          <w:spacing w:val="10"/>
          <w:sz w:val="24"/>
          <w:highlight w:val="none"/>
        </w:rPr>
        <w:t>日期：  年  月   日</w:t>
      </w:r>
      <w:bookmarkEnd w:id="597"/>
    </w:p>
    <w:p>
      <w:pPr>
        <w:pStyle w:val="6"/>
        <w:rPr>
          <w:rFonts w:ascii="宋体" w:hAnsi="宋体" w:cs="宋体"/>
          <w:sz w:val="32"/>
          <w:szCs w:val="32"/>
          <w:highlight w:val="none"/>
        </w:rPr>
      </w:pPr>
    </w:p>
    <w:p>
      <w:pPr>
        <w:pStyle w:val="6"/>
        <w:rPr>
          <w:rFonts w:ascii="宋体" w:hAnsi="宋体" w:cs="宋体"/>
          <w:sz w:val="32"/>
          <w:szCs w:val="32"/>
          <w:highlight w:val="none"/>
        </w:rPr>
      </w:pPr>
    </w:p>
    <w:p>
      <w:pPr>
        <w:pStyle w:val="6"/>
        <w:rPr>
          <w:rFonts w:ascii="宋体" w:hAnsi="宋体" w:cs="宋体"/>
          <w:sz w:val="32"/>
          <w:szCs w:val="32"/>
          <w:highlight w:val="none"/>
        </w:rPr>
      </w:pPr>
    </w:p>
    <w:p>
      <w:pPr>
        <w:pStyle w:val="6"/>
        <w:rPr>
          <w:rFonts w:ascii="宋体" w:hAnsi="宋体" w:cs="宋体"/>
          <w:sz w:val="32"/>
          <w:szCs w:val="32"/>
          <w:highlight w:val="none"/>
        </w:rPr>
      </w:pPr>
    </w:p>
    <w:p>
      <w:pPr>
        <w:pStyle w:val="6"/>
        <w:rPr>
          <w:rFonts w:ascii="宋体" w:hAnsi="宋体" w:cs="宋体"/>
          <w:sz w:val="32"/>
          <w:szCs w:val="32"/>
          <w:highlight w:val="none"/>
        </w:rPr>
      </w:pPr>
    </w:p>
    <w:p>
      <w:pPr>
        <w:pStyle w:val="6"/>
        <w:rPr>
          <w:rFonts w:ascii="宋体" w:hAnsi="宋体" w:cs="宋体"/>
          <w:sz w:val="32"/>
          <w:szCs w:val="32"/>
          <w:highlight w:val="none"/>
        </w:rPr>
      </w:pPr>
    </w:p>
    <w:p>
      <w:pPr>
        <w:pStyle w:val="6"/>
        <w:rPr>
          <w:rFonts w:ascii="宋体" w:hAnsi="宋体" w:cs="宋体"/>
          <w:sz w:val="32"/>
          <w:szCs w:val="32"/>
          <w:highlight w:val="none"/>
        </w:rPr>
      </w:pPr>
      <w:bookmarkStart w:id="598" w:name="_Toc15825"/>
      <w:r>
        <w:rPr>
          <w:rFonts w:ascii="宋体" w:hAnsi="宋体" w:cs="宋体"/>
          <w:sz w:val="32"/>
          <w:szCs w:val="32"/>
          <w:highlight w:val="none"/>
        </w:rPr>
        <w:br w:type="page"/>
      </w:r>
    </w:p>
    <w:p>
      <w:pPr>
        <w:pStyle w:val="6"/>
        <w:rPr>
          <w:rFonts w:ascii="宋体" w:hAnsi="宋体" w:cs="宋体"/>
          <w:spacing w:val="10"/>
          <w:kern w:val="0"/>
          <w:sz w:val="32"/>
          <w:szCs w:val="32"/>
          <w:highlight w:val="none"/>
        </w:rPr>
      </w:pPr>
      <w:r>
        <w:rPr>
          <w:rFonts w:hint="eastAsia" w:ascii="宋体" w:hAnsi="宋体" w:cs="宋体"/>
          <w:spacing w:val="10"/>
          <w:kern w:val="0"/>
          <w:sz w:val="32"/>
          <w:szCs w:val="32"/>
          <w:highlight w:val="none"/>
          <w:lang w:val="en-US" w:eastAsia="zh-CN"/>
        </w:rPr>
        <w:t>23</w:t>
      </w:r>
      <w:r>
        <w:rPr>
          <w:rFonts w:hint="eastAsia" w:ascii="宋体" w:hAnsi="宋体" w:cs="宋体"/>
          <w:spacing w:val="10"/>
          <w:kern w:val="0"/>
          <w:sz w:val="32"/>
          <w:szCs w:val="32"/>
          <w:highlight w:val="none"/>
        </w:rPr>
        <w:t>.虚假应标承担责任声明</w:t>
      </w:r>
      <w:bookmarkEnd w:id="598"/>
    </w:p>
    <w:p>
      <w:pPr>
        <w:spacing w:line="360" w:lineRule="auto"/>
        <w:jc w:val="left"/>
        <w:rPr>
          <w:rFonts w:hint="eastAsia" w:ascii="宋体" w:hAnsi="宋体" w:eastAsia="宋体"/>
          <w:sz w:val="24"/>
          <w:szCs w:val="32"/>
          <w:highlight w:val="none"/>
          <w:lang w:eastAsia="zh-CN"/>
        </w:rPr>
      </w:pPr>
      <w:r>
        <w:rPr>
          <w:rFonts w:hint="eastAsia" w:ascii="宋体" w:hAnsi="宋体"/>
          <w:sz w:val="24"/>
          <w:szCs w:val="32"/>
          <w:highlight w:val="none"/>
        </w:rPr>
        <w:t xml:space="preserve">致: </w:t>
      </w:r>
    </w:p>
    <w:p>
      <w:pPr>
        <w:spacing w:line="360" w:lineRule="auto"/>
        <w:ind w:firstLine="480" w:firstLineChars="200"/>
        <w:jc w:val="left"/>
        <w:rPr>
          <w:rFonts w:ascii="宋体" w:hAnsi="宋体"/>
          <w:sz w:val="24"/>
          <w:szCs w:val="32"/>
          <w:highlight w:val="none"/>
        </w:rPr>
      </w:pPr>
      <w:r>
        <w:rPr>
          <w:rFonts w:hint="eastAsia" w:ascii="宋体" w:hAnsi="宋体"/>
          <w:sz w:val="24"/>
          <w:szCs w:val="32"/>
          <w:highlight w:val="none"/>
        </w:rPr>
        <w:t>我公司承诺所提供的投标文件（包括一切技术服务资料、技术服务承诺、商务承诺等）均真实有效，若在项目招标过程中（包括开评标、中标公示过程）及履行合同期间（包括验收过程）发现我公司产品（或服务）与投标响应（文件）不一致，或发现我公司提供了不真实的投标文件（虚假材料），我公司愿意承担一切法律责任并认可采购人或采购代理机构作出的取消中标资格、罚没保证金等决定。</w:t>
      </w:r>
    </w:p>
    <w:p>
      <w:pPr>
        <w:pStyle w:val="6"/>
        <w:ind w:firstLine="422" w:firstLineChars="200"/>
        <w:jc w:val="both"/>
        <w:rPr>
          <w:rFonts w:ascii="宋体" w:hAnsi="宋体"/>
          <w:sz w:val="21"/>
          <w:highlight w:val="none"/>
        </w:rPr>
      </w:pPr>
    </w:p>
    <w:p>
      <w:pPr>
        <w:pStyle w:val="6"/>
        <w:ind w:firstLine="480" w:firstLineChars="200"/>
        <w:jc w:val="both"/>
        <w:rPr>
          <w:rFonts w:ascii="宋体" w:hAnsi="宋体" w:cs="宋体"/>
          <w:b w:val="0"/>
          <w:bCs w:val="0"/>
          <w:sz w:val="24"/>
          <w:szCs w:val="24"/>
          <w:highlight w:val="none"/>
        </w:rPr>
      </w:pPr>
      <w:bookmarkStart w:id="599" w:name="_Toc27107"/>
      <w:r>
        <w:rPr>
          <w:rFonts w:hint="eastAsia" w:ascii="宋体" w:hAnsi="宋体"/>
          <w:b w:val="0"/>
          <w:bCs w:val="0"/>
          <w:sz w:val="24"/>
          <w:szCs w:val="24"/>
          <w:highlight w:val="none"/>
        </w:rPr>
        <w:t>特此声明！</w:t>
      </w:r>
      <w:bookmarkEnd w:id="599"/>
    </w:p>
    <w:p>
      <w:pPr>
        <w:pStyle w:val="6"/>
        <w:jc w:val="both"/>
        <w:rPr>
          <w:rFonts w:ascii="宋体" w:hAnsi="宋体" w:cs="宋体"/>
          <w:sz w:val="32"/>
          <w:szCs w:val="32"/>
          <w:highlight w:val="none"/>
        </w:rPr>
      </w:pPr>
    </w:p>
    <w:p>
      <w:pPr>
        <w:spacing w:line="360" w:lineRule="auto"/>
        <w:jc w:val="left"/>
        <w:rPr>
          <w:rFonts w:ascii="宋体" w:hAnsi="宋体" w:cs="宋体"/>
          <w:sz w:val="24"/>
          <w:highlight w:val="none"/>
          <w:u w:val="single"/>
          <w:shd w:val="clear" w:color="auto" w:fill="FFFFFF"/>
        </w:rPr>
      </w:pPr>
      <w:r>
        <w:rPr>
          <w:rFonts w:hint="eastAsia" w:ascii="宋体" w:hAnsi="宋体" w:cs="宋体"/>
          <w:sz w:val="24"/>
          <w:highlight w:val="none"/>
          <w:shd w:val="clear" w:color="auto" w:fill="FFFFFF"/>
        </w:rPr>
        <w:t>投标人：</w:t>
      </w:r>
      <w:r>
        <w:rPr>
          <w:rFonts w:hint="eastAsia" w:ascii="宋体" w:hAnsi="宋体" w:cs="宋体"/>
          <w:sz w:val="24"/>
          <w:highlight w:val="none"/>
          <w:u w:val="single"/>
          <w:shd w:val="clear" w:color="auto" w:fill="FFFFFF"/>
        </w:rPr>
        <w:t>（加盖公章）</w:t>
      </w:r>
    </w:p>
    <w:p>
      <w:pPr>
        <w:spacing w:line="360" w:lineRule="auto"/>
        <w:rPr>
          <w:rFonts w:ascii="宋体" w:hAnsi="宋体" w:cs="宋体"/>
          <w:sz w:val="24"/>
          <w:highlight w:val="none"/>
          <w:shd w:val="clear" w:color="auto" w:fill="FFFFFF"/>
        </w:rPr>
      </w:pPr>
    </w:p>
    <w:p>
      <w:pPr>
        <w:spacing w:line="360" w:lineRule="auto"/>
        <w:rPr>
          <w:rFonts w:ascii="宋体" w:hAnsi="宋体" w:cs="宋体"/>
          <w:sz w:val="24"/>
          <w:highlight w:val="none"/>
          <w:u w:val="single"/>
          <w:shd w:val="clear" w:color="auto" w:fill="FFFFFF"/>
        </w:rPr>
      </w:pPr>
      <w:r>
        <w:rPr>
          <w:rFonts w:hint="eastAsia" w:ascii="宋体" w:hAnsi="宋体" w:cs="宋体"/>
          <w:spacing w:val="10"/>
          <w:sz w:val="24"/>
          <w:highlight w:val="none"/>
        </w:rPr>
        <w:t>法定代表人或被授权代表</w:t>
      </w:r>
      <w:r>
        <w:rPr>
          <w:rFonts w:hint="eastAsia" w:ascii="宋体" w:hAnsi="宋体" w:cs="宋体"/>
          <w:sz w:val="24"/>
          <w:highlight w:val="none"/>
        </w:rPr>
        <w:t>（签字或印章）</w:t>
      </w:r>
      <w:r>
        <w:rPr>
          <w:rFonts w:hint="eastAsia" w:ascii="宋体" w:hAnsi="宋体" w:cs="宋体"/>
          <w:sz w:val="24"/>
          <w:highlight w:val="none"/>
          <w:shd w:val="clear" w:color="auto" w:fill="FFFFFF"/>
        </w:rPr>
        <w:t>：</w:t>
      </w:r>
      <w:r>
        <w:rPr>
          <w:rFonts w:hint="eastAsia" w:ascii="宋体" w:hAnsi="宋体" w:cs="宋体"/>
          <w:sz w:val="24"/>
          <w:highlight w:val="none"/>
          <w:u w:val="single"/>
          <w:shd w:val="clear" w:color="auto" w:fill="FFFFFF"/>
        </w:rPr>
        <w:t xml:space="preserve">            </w:t>
      </w:r>
    </w:p>
    <w:p>
      <w:pPr>
        <w:spacing w:line="360" w:lineRule="auto"/>
        <w:jc w:val="left"/>
        <w:rPr>
          <w:rFonts w:ascii="宋体" w:hAnsi="宋体" w:cs="宋体"/>
          <w:sz w:val="24"/>
          <w:highlight w:val="none"/>
        </w:rPr>
      </w:pPr>
    </w:p>
    <w:p>
      <w:pPr>
        <w:pStyle w:val="6"/>
        <w:jc w:val="both"/>
        <w:rPr>
          <w:rFonts w:ascii="宋体" w:hAnsi="宋体" w:cs="宋体"/>
          <w:sz w:val="32"/>
          <w:szCs w:val="32"/>
          <w:highlight w:val="none"/>
        </w:rPr>
      </w:pPr>
      <w:r>
        <w:rPr>
          <w:rFonts w:hint="eastAsia" w:ascii="宋体" w:hAnsi="宋体" w:cs="宋体"/>
          <w:b w:val="0"/>
          <w:bCs w:val="0"/>
          <w:spacing w:val="10"/>
          <w:sz w:val="24"/>
          <w:highlight w:val="none"/>
        </w:rPr>
        <w:t>日期：  年  月   日</w:t>
      </w:r>
    </w:p>
    <w:p>
      <w:pPr>
        <w:pStyle w:val="6"/>
        <w:rPr>
          <w:rFonts w:ascii="宋体" w:hAnsi="宋体" w:cs="宋体"/>
          <w:sz w:val="32"/>
          <w:szCs w:val="32"/>
          <w:highlight w:val="none"/>
        </w:rPr>
      </w:pPr>
    </w:p>
    <w:p>
      <w:pPr>
        <w:pStyle w:val="6"/>
        <w:rPr>
          <w:rFonts w:ascii="宋体" w:hAnsi="宋体" w:cs="宋体"/>
          <w:sz w:val="32"/>
          <w:szCs w:val="32"/>
          <w:highlight w:val="none"/>
        </w:rPr>
      </w:pPr>
    </w:p>
    <w:p>
      <w:pPr>
        <w:pStyle w:val="6"/>
        <w:rPr>
          <w:rFonts w:ascii="宋体" w:hAnsi="宋体" w:cs="宋体"/>
          <w:sz w:val="32"/>
          <w:szCs w:val="32"/>
          <w:highlight w:val="none"/>
        </w:rPr>
      </w:pPr>
    </w:p>
    <w:p>
      <w:pPr>
        <w:pStyle w:val="6"/>
        <w:rPr>
          <w:rFonts w:ascii="宋体" w:hAnsi="宋体" w:cs="宋体"/>
          <w:sz w:val="32"/>
          <w:szCs w:val="32"/>
          <w:highlight w:val="none"/>
        </w:rPr>
      </w:pPr>
    </w:p>
    <w:p>
      <w:pPr>
        <w:pStyle w:val="6"/>
        <w:rPr>
          <w:rFonts w:ascii="宋体" w:hAnsi="宋体" w:cs="宋体"/>
          <w:sz w:val="32"/>
          <w:szCs w:val="32"/>
          <w:highlight w:val="none"/>
        </w:rPr>
      </w:pPr>
    </w:p>
    <w:p>
      <w:pPr>
        <w:pStyle w:val="6"/>
        <w:rPr>
          <w:rFonts w:ascii="宋体" w:hAnsi="宋体" w:cs="宋体"/>
          <w:sz w:val="32"/>
          <w:szCs w:val="32"/>
          <w:highlight w:val="none"/>
        </w:rPr>
      </w:pPr>
      <w:r>
        <w:rPr>
          <w:rFonts w:ascii="宋体" w:hAnsi="宋体" w:cs="宋体"/>
          <w:sz w:val="32"/>
          <w:szCs w:val="32"/>
          <w:highlight w:val="none"/>
        </w:rPr>
        <w:br w:type="page"/>
      </w:r>
    </w:p>
    <w:p>
      <w:pPr>
        <w:pStyle w:val="6"/>
        <w:rPr>
          <w:rFonts w:ascii="宋体" w:hAnsi="宋体" w:cs="宋体"/>
          <w:sz w:val="40"/>
          <w:szCs w:val="40"/>
          <w:highlight w:val="none"/>
          <w:lang w:val="zh-CN"/>
        </w:rPr>
      </w:pPr>
      <w:r>
        <w:rPr>
          <w:rFonts w:hint="eastAsia" w:ascii="宋体" w:hAnsi="宋体" w:cs="宋体"/>
          <w:sz w:val="40"/>
          <w:szCs w:val="40"/>
          <w:highlight w:val="none"/>
        </w:rPr>
        <w:t>第七章  合同条款及合同格式</w:t>
      </w:r>
      <w:bookmarkEnd w:id="591"/>
      <w:bookmarkEnd w:id="592"/>
      <w:bookmarkEnd w:id="593"/>
    </w:p>
    <w:p>
      <w:pPr>
        <w:widowControl/>
        <w:jc w:val="center"/>
        <w:rPr>
          <w:rFonts w:hint="eastAsia" w:asciiTheme="majorEastAsia" w:hAnsiTheme="majorEastAsia" w:eastAsiaTheme="majorEastAsia" w:cstheme="majorEastAsia"/>
          <w:b/>
          <w:bCs/>
          <w:color w:val="000000"/>
          <w:kern w:val="0"/>
          <w:sz w:val="52"/>
          <w:szCs w:val="52"/>
          <w:highlight w:val="none"/>
          <w:lang w:bidi="ar"/>
        </w:rPr>
      </w:pPr>
      <w:r>
        <w:rPr>
          <w:rFonts w:hint="eastAsia" w:asciiTheme="majorEastAsia" w:hAnsiTheme="majorEastAsia" w:eastAsiaTheme="majorEastAsia" w:cstheme="majorEastAsia"/>
          <w:b/>
          <w:bCs/>
          <w:color w:val="000000"/>
          <w:kern w:val="0"/>
          <w:sz w:val="52"/>
          <w:szCs w:val="52"/>
          <w:highlight w:val="none"/>
          <w:lang w:bidi="ar"/>
        </w:rPr>
        <w:t>甘肃省第二人民医院</w:t>
      </w:r>
      <w:r>
        <w:rPr>
          <w:rFonts w:hint="eastAsia" w:asciiTheme="majorEastAsia" w:hAnsiTheme="majorEastAsia" w:eastAsiaTheme="majorEastAsia" w:cstheme="majorEastAsia"/>
          <w:b/>
          <w:bCs/>
          <w:kern w:val="0"/>
          <w:sz w:val="52"/>
          <w:szCs w:val="52"/>
          <w:highlight w:val="none"/>
          <w:lang w:val="en-US" w:eastAsia="zh-CN" w:bidi="ar"/>
        </w:rPr>
        <w:t>****</w:t>
      </w:r>
      <w:r>
        <w:rPr>
          <w:rFonts w:hint="eastAsia" w:asciiTheme="majorEastAsia" w:hAnsiTheme="majorEastAsia" w:eastAsiaTheme="majorEastAsia" w:cstheme="majorEastAsia"/>
          <w:b/>
          <w:bCs/>
          <w:color w:val="000000"/>
          <w:kern w:val="0"/>
          <w:sz w:val="52"/>
          <w:szCs w:val="52"/>
          <w:highlight w:val="none"/>
          <w:lang w:bidi="ar"/>
        </w:rPr>
        <w:t>采购项目合同</w:t>
      </w:r>
    </w:p>
    <w:p>
      <w:pPr>
        <w:widowControl/>
        <w:jc w:val="center"/>
        <w:rPr>
          <w:rFonts w:hint="eastAsia" w:asciiTheme="majorEastAsia" w:hAnsiTheme="majorEastAsia" w:eastAsiaTheme="majorEastAsia" w:cstheme="majorEastAsia"/>
          <w:b/>
          <w:bCs/>
          <w:color w:val="000000"/>
          <w:kern w:val="0"/>
          <w:sz w:val="52"/>
          <w:szCs w:val="52"/>
          <w:highlight w:val="none"/>
          <w:lang w:bidi="ar"/>
        </w:rPr>
      </w:pPr>
    </w:p>
    <w:p>
      <w:pPr>
        <w:pStyle w:val="236"/>
        <w:rPr>
          <w:rFonts w:hint="eastAsia" w:asciiTheme="majorEastAsia" w:hAnsiTheme="majorEastAsia" w:eastAsiaTheme="majorEastAsia" w:cstheme="majorEastAsia"/>
          <w:highlight w:val="none"/>
        </w:rPr>
      </w:pPr>
    </w:p>
    <w:p>
      <w:pPr>
        <w:widowControl/>
        <w:jc w:val="left"/>
        <w:rPr>
          <w:rFonts w:hint="eastAsia" w:asciiTheme="majorEastAsia" w:hAnsiTheme="majorEastAsia" w:eastAsiaTheme="majorEastAsia" w:cstheme="majorEastAsia"/>
          <w:b/>
          <w:bCs/>
          <w:color w:val="000000"/>
          <w:kern w:val="0"/>
          <w:sz w:val="31"/>
          <w:szCs w:val="31"/>
          <w:highlight w:val="none"/>
          <w:lang w:bidi="ar"/>
        </w:rPr>
      </w:pPr>
    </w:p>
    <w:p>
      <w:pPr>
        <w:pStyle w:val="236"/>
        <w:rPr>
          <w:rFonts w:hint="eastAsia" w:asciiTheme="majorEastAsia" w:hAnsiTheme="majorEastAsia" w:eastAsiaTheme="majorEastAsia" w:cstheme="majorEastAsia"/>
          <w:b/>
          <w:color w:val="000000"/>
          <w:sz w:val="31"/>
          <w:szCs w:val="31"/>
          <w:highlight w:val="none"/>
          <w:lang w:bidi="ar"/>
        </w:rPr>
      </w:pPr>
    </w:p>
    <w:p>
      <w:pPr>
        <w:pStyle w:val="236"/>
        <w:rPr>
          <w:rFonts w:hint="eastAsia" w:asciiTheme="majorEastAsia" w:hAnsiTheme="majorEastAsia" w:eastAsiaTheme="majorEastAsia" w:cstheme="majorEastAsia"/>
          <w:b/>
          <w:color w:val="000000"/>
          <w:sz w:val="31"/>
          <w:szCs w:val="31"/>
          <w:highlight w:val="none"/>
          <w:lang w:bidi="ar"/>
        </w:rPr>
      </w:pPr>
    </w:p>
    <w:p>
      <w:pPr>
        <w:widowControl/>
        <w:spacing w:line="480" w:lineRule="auto"/>
        <w:jc w:val="left"/>
        <w:rPr>
          <w:rFonts w:hint="eastAsia" w:asciiTheme="majorEastAsia" w:hAnsiTheme="majorEastAsia" w:eastAsiaTheme="majorEastAsia" w:cstheme="majorEastAsia"/>
          <w:sz w:val="24"/>
          <w:szCs w:val="32"/>
          <w:highlight w:val="none"/>
        </w:rPr>
      </w:pPr>
      <w:r>
        <w:rPr>
          <w:rFonts w:hint="eastAsia" w:asciiTheme="majorEastAsia" w:hAnsiTheme="majorEastAsia" w:eastAsiaTheme="majorEastAsia" w:cstheme="majorEastAsia"/>
          <w:b/>
          <w:bCs/>
          <w:color w:val="000000"/>
          <w:kern w:val="0"/>
          <w:sz w:val="36"/>
          <w:szCs w:val="36"/>
          <w:highlight w:val="none"/>
          <w:lang w:bidi="ar"/>
        </w:rPr>
        <w:t>项目名称：甘肃省第二人民医院</w:t>
      </w:r>
      <w:r>
        <w:rPr>
          <w:rFonts w:hint="eastAsia" w:asciiTheme="majorEastAsia" w:hAnsiTheme="majorEastAsia" w:eastAsiaTheme="majorEastAsia" w:cstheme="majorEastAsia"/>
          <w:b/>
          <w:bCs/>
          <w:color w:val="000000"/>
          <w:kern w:val="0"/>
          <w:sz w:val="36"/>
          <w:szCs w:val="36"/>
          <w:highlight w:val="none"/>
          <w:lang w:val="en-US" w:eastAsia="zh-CN" w:bidi="ar"/>
        </w:rPr>
        <w:t>******</w:t>
      </w:r>
      <w:r>
        <w:rPr>
          <w:rFonts w:hint="eastAsia" w:asciiTheme="majorEastAsia" w:hAnsiTheme="majorEastAsia" w:eastAsiaTheme="majorEastAsia" w:cstheme="majorEastAsia"/>
          <w:b/>
          <w:bCs/>
          <w:color w:val="000000"/>
          <w:kern w:val="0"/>
          <w:sz w:val="36"/>
          <w:szCs w:val="36"/>
          <w:highlight w:val="none"/>
          <w:lang w:bidi="ar"/>
        </w:rPr>
        <w:t xml:space="preserve">采购项目 </w:t>
      </w:r>
    </w:p>
    <w:p>
      <w:pPr>
        <w:widowControl/>
        <w:spacing w:line="480" w:lineRule="auto"/>
        <w:jc w:val="left"/>
        <w:rPr>
          <w:rFonts w:hint="default" w:asciiTheme="majorEastAsia" w:hAnsiTheme="majorEastAsia" w:eastAsiaTheme="majorEastAsia" w:cstheme="majorEastAsia"/>
          <w:b/>
          <w:bCs/>
          <w:color w:val="000000"/>
          <w:kern w:val="0"/>
          <w:sz w:val="36"/>
          <w:szCs w:val="36"/>
          <w:highlight w:val="none"/>
          <w:lang w:val="en-US" w:eastAsia="zh-CN" w:bidi="ar"/>
        </w:rPr>
      </w:pPr>
      <w:r>
        <w:rPr>
          <w:rFonts w:hint="eastAsia" w:asciiTheme="majorEastAsia" w:hAnsiTheme="majorEastAsia" w:eastAsiaTheme="majorEastAsia" w:cstheme="majorEastAsia"/>
          <w:b/>
          <w:bCs/>
          <w:color w:val="000000"/>
          <w:kern w:val="0"/>
          <w:sz w:val="36"/>
          <w:szCs w:val="36"/>
          <w:highlight w:val="none"/>
          <w:lang w:bidi="ar"/>
        </w:rPr>
        <w:t>合同编号</w:t>
      </w:r>
      <w:r>
        <w:rPr>
          <w:rFonts w:hint="eastAsia" w:asciiTheme="majorEastAsia" w:hAnsiTheme="majorEastAsia" w:eastAsiaTheme="majorEastAsia" w:cstheme="majorEastAsia"/>
          <w:b/>
          <w:bCs/>
          <w:kern w:val="0"/>
          <w:sz w:val="36"/>
          <w:szCs w:val="36"/>
          <w:highlight w:val="none"/>
          <w:lang w:bidi="ar"/>
        </w:rPr>
        <w:t>：</w:t>
      </w:r>
      <w:r>
        <w:rPr>
          <w:rFonts w:hint="eastAsia" w:asciiTheme="majorEastAsia" w:hAnsiTheme="majorEastAsia" w:eastAsiaTheme="majorEastAsia" w:cstheme="majorEastAsia"/>
          <w:b/>
          <w:bCs/>
          <w:kern w:val="0"/>
          <w:sz w:val="36"/>
          <w:szCs w:val="36"/>
          <w:highlight w:val="none"/>
          <w:lang w:val="en-US" w:eastAsia="zh-CN" w:bidi="ar"/>
        </w:rPr>
        <w:t>*************</w:t>
      </w:r>
    </w:p>
    <w:p>
      <w:pPr>
        <w:pStyle w:val="236"/>
        <w:rPr>
          <w:rFonts w:hint="eastAsia" w:asciiTheme="majorEastAsia" w:hAnsiTheme="majorEastAsia" w:eastAsiaTheme="majorEastAsia" w:cstheme="majorEastAsia"/>
          <w:b/>
          <w:color w:val="000000"/>
          <w:sz w:val="36"/>
          <w:szCs w:val="36"/>
          <w:highlight w:val="none"/>
          <w:lang w:bidi="ar"/>
        </w:rPr>
      </w:pPr>
    </w:p>
    <w:p>
      <w:pPr>
        <w:pStyle w:val="236"/>
        <w:rPr>
          <w:rFonts w:hint="eastAsia" w:asciiTheme="majorEastAsia" w:hAnsiTheme="majorEastAsia" w:eastAsiaTheme="majorEastAsia" w:cstheme="majorEastAsia"/>
          <w:b/>
          <w:color w:val="000000"/>
          <w:sz w:val="36"/>
          <w:szCs w:val="36"/>
          <w:highlight w:val="none"/>
          <w:lang w:bidi="ar"/>
        </w:rPr>
      </w:pPr>
    </w:p>
    <w:p>
      <w:pPr>
        <w:widowControl/>
        <w:spacing w:line="480" w:lineRule="auto"/>
        <w:jc w:val="left"/>
        <w:rPr>
          <w:rFonts w:hint="eastAsia" w:asciiTheme="majorEastAsia" w:hAnsiTheme="majorEastAsia" w:eastAsiaTheme="majorEastAsia" w:cstheme="majorEastAsia"/>
          <w:color w:val="000000"/>
          <w:kern w:val="0"/>
          <w:sz w:val="31"/>
          <w:szCs w:val="31"/>
          <w:highlight w:val="none"/>
          <w:lang w:bidi="ar"/>
        </w:rPr>
      </w:pPr>
    </w:p>
    <w:p>
      <w:pPr>
        <w:pStyle w:val="236"/>
        <w:rPr>
          <w:rFonts w:hint="eastAsia" w:asciiTheme="majorEastAsia" w:hAnsiTheme="majorEastAsia" w:eastAsiaTheme="majorEastAsia" w:cstheme="majorEastAsia"/>
          <w:highlight w:val="none"/>
        </w:rPr>
      </w:pPr>
    </w:p>
    <w:p>
      <w:pPr>
        <w:pStyle w:val="236"/>
        <w:rPr>
          <w:rFonts w:hint="eastAsia" w:asciiTheme="majorEastAsia" w:hAnsiTheme="majorEastAsia" w:eastAsiaTheme="majorEastAsia" w:cstheme="majorEastAsia"/>
          <w:highlight w:val="none"/>
        </w:rPr>
      </w:pPr>
    </w:p>
    <w:p>
      <w:pPr>
        <w:pStyle w:val="236"/>
        <w:rPr>
          <w:rFonts w:hint="eastAsia" w:asciiTheme="majorEastAsia" w:hAnsiTheme="majorEastAsia" w:eastAsiaTheme="majorEastAsia" w:cstheme="majorEastAsia"/>
          <w:highlight w:val="none"/>
        </w:rPr>
      </w:pPr>
    </w:p>
    <w:p>
      <w:pPr>
        <w:pStyle w:val="236"/>
        <w:rPr>
          <w:rFonts w:hint="eastAsia" w:asciiTheme="majorEastAsia" w:hAnsiTheme="majorEastAsia" w:eastAsiaTheme="majorEastAsia" w:cstheme="majorEastAsia"/>
          <w:highlight w:val="none"/>
        </w:rPr>
      </w:pPr>
    </w:p>
    <w:p>
      <w:pPr>
        <w:widowControl/>
        <w:spacing w:line="480" w:lineRule="auto"/>
        <w:jc w:val="left"/>
        <w:rPr>
          <w:rFonts w:hint="eastAsia" w:asciiTheme="majorEastAsia" w:hAnsiTheme="majorEastAsia" w:eastAsiaTheme="majorEastAsia" w:cstheme="majorEastAsia"/>
          <w:sz w:val="36"/>
          <w:szCs w:val="36"/>
          <w:highlight w:val="none"/>
        </w:rPr>
      </w:pPr>
      <w:r>
        <w:rPr>
          <w:rFonts w:hint="eastAsia" w:asciiTheme="majorEastAsia" w:hAnsiTheme="majorEastAsia" w:eastAsiaTheme="majorEastAsia" w:cstheme="majorEastAsia"/>
          <w:color w:val="000000"/>
          <w:kern w:val="0"/>
          <w:sz w:val="36"/>
          <w:szCs w:val="36"/>
          <w:highlight w:val="none"/>
          <w:lang w:bidi="ar"/>
        </w:rPr>
        <w:t xml:space="preserve">甲方（采购方）：甘肃省第二人民医院 </w:t>
      </w:r>
    </w:p>
    <w:p>
      <w:pPr>
        <w:widowControl/>
        <w:spacing w:line="480" w:lineRule="auto"/>
        <w:jc w:val="left"/>
        <w:rPr>
          <w:rFonts w:hint="eastAsia" w:asciiTheme="majorEastAsia" w:hAnsiTheme="majorEastAsia" w:eastAsiaTheme="majorEastAsia" w:cstheme="majorEastAsia"/>
          <w:sz w:val="36"/>
          <w:szCs w:val="36"/>
          <w:highlight w:val="none"/>
          <w:lang w:val="en-US" w:eastAsia="zh-CN"/>
        </w:rPr>
      </w:pPr>
      <w:r>
        <w:rPr>
          <w:rFonts w:hint="eastAsia" w:asciiTheme="majorEastAsia" w:hAnsiTheme="majorEastAsia" w:eastAsiaTheme="majorEastAsia" w:cstheme="majorEastAsia"/>
          <w:color w:val="000000"/>
          <w:kern w:val="0"/>
          <w:sz w:val="36"/>
          <w:szCs w:val="36"/>
          <w:highlight w:val="none"/>
          <w:lang w:bidi="ar"/>
        </w:rPr>
        <w:t>乙方（中标人）：</w:t>
      </w:r>
      <w:r>
        <w:rPr>
          <w:rFonts w:hint="eastAsia" w:asciiTheme="majorEastAsia" w:hAnsiTheme="majorEastAsia" w:eastAsiaTheme="majorEastAsia" w:cstheme="majorEastAsia"/>
          <w:kern w:val="0"/>
          <w:sz w:val="36"/>
          <w:szCs w:val="36"/>
          <w:highlight w:val="none"/>
          <w:lang w:val="en-US" w:eastAsia="zh-CN" w:bidi="ar"/>
        </w:rPr>
        <w:t>***************</w:t>
      </w:r>
    </w:p>
    <w:p>
      <w:pPr>
        <w:widowControl/>
        <w:spacing w:line="480" w:lineRule="auto"/>
        <w:jc w:val="left"/>
        <w:rPr>
          <w:rFonts w:hint="eastAsia" w:asciiTheme="majorEastAsia" w:hAnsiTheme="majorEastAsia" w:eastAsiaTheme="majorEastAsia" w:cstheme="majorEastAsia"/>
          <w:sz w:val="36"/>
          <w:szCs w:val="36"/>
          <w:highlight w:val="none"/>
        </w:rPr>
      </w:pPr>
      <w:r>
        <w:rPr>
          <w:rFonts w:hint="eastAsia" w:asciiTheme="majorEastAsia" w:hAnsiTheme="majorEastAsia" w:eastAsiaTheme="majorEastAsia" w:cstheme="majorEastAsia"/>
          <w:color w:val="000000"/>
          <w:kern w:val="0"/>
          <w:sz w:val="36"/>
          <w:szCs w:val="36"/>
          <w:highlight w:val="none"/>
          <w:lang w:bidi="ar"/>
        </w:rPr>
        <w:t>丙方（</w:t>
      </w:r>
      <w:r>
        <w:rPr>
          <w:rFonts w:hint="eastAsia" w:asciiTheme="majorEastAsia" w:hAnsiTheme="majorEastAsia" w:eastAsiaTheme="majorEastAsia" w:cstheme="majorEastAsia"/>
          <w:color w:val="000000"/>
          <w:kern w:val="0"/>
          <w:sz w:val="36"/>
          <w:szCs w:val="36"/>
          <w:highlight w:val="none"/>
          <w:lang w:eastAsia="zh-CN" w:bidi="ar"/>
        </w:rPr>
        <w:t>采购人</w:t>
      </w:r>
      <w:r>
        <w:rPr>
          <w:rFonts w:hint="eastAsia" w:asciiTheme="majorEastAsia" w:hAnsiTheme="majorEastAsia" w:eastAsiaTheme="majorEastAsia" w:cstheme="majorEastAsia"/>
          <w:color w:val="000000"/>
          <w:kern w:val="0"/>
          <w:sz w:val="36"/>
          <w:szCs w:val="36"/>
          <w:highlight w:val="none"/>
          <w:lang w:bidi="ar"/>
        </w:rPr>
        <w:t>）：</w:t>
      </w:r>
      <w:r>
        <w:rPr>
          <w:rFonts w:hint="eastAsia" w:asciiTheme="majorEastAsia" w:hAnsiTheme="majorEastAsia" w:eastAsiaTheme="majorEastAsia" w:cstheme="majorEastAsia"/>
          <w:color w:val="000000"/>
          <w:kern w:val="0"/>
          <w:sz w:val="36"/>
          <w:szCs w:val="36"/>
          <w:highlight w:val="none"/>
          <w:lang w:val="en-US" w:eastAsia="zh-CN" w:bidi="ar"/>
        </w:rPr>
        <w:t>************</w:t>
      </w:r>
      <w:r>
        <w:rPr>
          <w:rFonts w:hint="eastAsia" w:asciiTheme="majorEastAsia" w:hAnsiTheme="majorEastAsia" w:eastAsiaTheme="majorEastAsia" w:cstheme="majorEastAsia"/>
          <w:color w:val="000000"/>
          <w:kern w:val="0"/>
          <w:sz w:val="36"/>
          <w:szCs w:val="36"/>
          <w:highlight w:val="none"/>
          <w:lang w:bidi="ar"/>
        </w:rPr>
        <w:t xml:space="preserve"> </w:t>
      </w:r>
    </w:p>
    <w:p>
      <w:pPr>
        <w:widowControl/>
        <w:spacing w:line="720" w:lineRule="auto"/>
        <w:jc w:val="left"/>
        <w:rPr>
          <w:rFonts w:hint="eastAsia" w:asciiTheme="majorEastAsia" w:hAnsiTheme="majorEastAsia" w:eastAsiaTheme="majorEastAsia" w:cstheme="majorEastAsia"/>
          <w:color w:val="000000"/>
          <w:kern w:val="0"/>
          <w:sz w:val="36"/>
          <w:szCs w:val="36"/>
          <w:highlight w:val="none"/>
          <w:lang w:bidi="ar"/>
        </w:rPr>
      </w:pPr>
    </w:p>
    <w:p>
      <w:pPr>
        <w:widowControl/>
        <w:spacing w:line="720" w:lineRule="auto"/>
        <w:jc w:val="left"/>
        <w:rPr>
          <w:rFonts w:hint="eastAsia" w:asciiTheme="majorEastAsia" w:hAnsiTheme="majorEastAsia" w:eastAsiaTheme="majorEastAsia" w:cstheme="majorEastAsia"/>
          <w:color w:val="000000"/>
          <w:kern w:val="0"/>
          <w:sz w:val="36"/>
          <w:szCs w:val="36"/>
          <w:highlight w:val="none"/>
          <w:lang w:bidi="ar"/>
        </w:rPr>
      </w:pPr>
    </w:p>
    <w:p>
      <w:pPr>
        <w:widowControl/>
        <w:jc w:val="center"/>
        <w:rPr>
          <w:rFonts w:hint="eastAsia" w:asciiTheme="majorEastAsia" w:hAnsiTheme="majorEastAsia" w:eastAsiaTheme="majorEastAsia" w:cstheme="majorEastAsia"/>
          <w:b/>
          <w:bCs/>
          <w:color w:val="000000"/>
          <w:kern w:val="0"/>
          <w:sz w:val="28"/>
          <w:szCs w:val="28"/>
          <w:highlight w:val="none"/>
          <w:lang w:bidi="ar"/>
        </w:rPr>
        <w:sectPr>
          <w:headerReference r:id="rId20" w:type="first"/>
          <w:footerReference r:id="rId23" w:type="first"/>
          <w:headerReference r:id="rId18" w:type="default"/>
          <w:footerReference r:id="rId21" w:type="default"/>
          <w:headerReference r:id="rId19" w:type="even"/>
          <w:footerReference r:id="rId22" w:type="even"/>
          <w:pgSz w:w="11906" w:h="16838"/>
          <w:pgMar w:top="1134" w:right="1134" w:bottom="1134" w:left="1134" w:header="851" w:footer="992" w:gutter="0"/>
          <w:pgNumType w:fmt="decimal"/>
          <w:cols w:space="425" w:num="1"/>
          <w:docGrid w:type="lines" w:linePitch="312" w:charSpace="0"/>
        </w:sectPr>
      </w:pPr>
    </w:p>
    <w:p>
      <w:pPr>
        <w:widowControl/>
        <w:jc w:val="center"/>
        <w:rPr>
          <w:rFonts w:hint="eastAsia" w:asciiTheme="majorEastAsia" w:hAnsiTheme="majorEastAsia" w:eastAsiaTheme="majorEastAsia" w:cstheme="majorEastAsia"/>
          <w:highlight w:val="none"/>
        </w:rPr>
      </w:pPr>
      <w:r>
        <w:rPr>
          <w:rFonts w:hint="eastAsia" w:asciiTheme="majorEastAsia" w:hAnsiTheme="majorEastAsia" w:eastAsiaTheme="majorEastAsia" w:cstheme="majorEastAsia"/>
          <w:b/>
          <w:bCs/>
          <w:color w:val="000000"/>
          <w:kern w:val="0"/>
          <w:sz w:val="28"/>
          <w:szCs w:val="28"/>
          <w:highlight w:val="none"/>
          <w:lang w:bidi="ar"/>
        </w:rPr>
        <w:t>甘肃省第二人民医院</w:t>
      </w:r>
      <w:r>
        <w:rPr>
          <w:rFonts w:hint="eastAsia" w:asciiTheme="majorEastAsia" w:hAnsiTheme="majorEastAsia" w:eastAsiaTheme="majorEastAsia" w:cstheme="majorEastAsia"/>
          <w:b/>
          <w:bCs/>
          <w:color w:val="000000"/>
          <w:kern w:val="0"/>
          <w:sz w:val="28"/>
          <w:szCs w:val="28"/>
          <w:highlight w:val="none"/>
          <w:lang w:val="en-US" w:eastAsia="zh-CN" w:bidi="ar"/>
        </w:rPr>
        <w:t>********</w:t>
      </w:r>
      <w:r>
        <w:rPr>
          <w:rFonts w:hint="eastAsia" w:asciiTheme="majorEastAsia" w:hAnsiTheme="majorEastAsia" w:eastAsiaTheme="majorEastAsia" w:cstheme="majorEastAsia"/>
          <w:b/>
          <w:bCs/>
          <w:color w:val="000000"/>
          <w:kern w:val="0"/>
          <w:sz w:val="28"/>
          <w:szCs w:val="28"/>
          <w:highlight w:val="none"/>
          <w:lang w:bidi="ar"/>
        </w:rPr>
        <w:t>采购项目合同</w:t>
      </w:r>
    </w:p>
    <w:p>
      <w:pPr>
        <w:widowControl/>
        <w:spacing w:line="360" w:lineRule="auto"/>
        <w:jc w:val="left"/>
        <w:rPr>
          <w:rFonts w:hint="eastAsia" w:asciiTheme="majorEastAsia" w:hAnsiTheme="majorEastAsia" w:eastAsiaTheme="majorEastAsia" w:cstheme="majorEastAsia"/>
          <w:highlight w:val="none"/>
        </w:rPr>
      </w:pPr>
      <w:r>
        <w:rPr>
          <w:rFonts w:hint="eastAsia" w:asciiTheme="majorEastAsia" w:hAnsiTheme="majorEastAsia" w:eastAsiaTheme="majorEastAsia" w:cstheme="majorEastAsia"/>
          <w:color w:val="000000"/>
          <w:kern w:val="0"/>
          <w:sz w:val="24"/>
          <w:highlight w:val="none"/>
          <w:lang w:bidi="ar"/>
        </w:rPr>
        <w:t xml:space="preserve">甲方（采购方）：甘肃省第二人民医院 </w:t>
      </w:r>
    </w:p>
    <w:p>
      <w:pPr>
        <w:widowControl/>
        <w:spacing w:line="360" w:lineRule="auto"/>
        <w:jc w:val="left"/>
        <w:rPr>
          <w:rFonts w:hint="eastAsia" w:asciiTheme="majorEastAsia" w:hAnsiTheme="majorEastAsia" w:eastAsiaTheme="majorEastAsia" w:cstheme="majorEastAsia"/>
          <w:highlight w:val="none"/>
          <w:lang w:val="en-US" w:eastAsia="zh-CN"/>
        </w:rPr>
      </w:pPr>
      <w:r>
        <w:rPr>
          <w:rFonts w:hint="eastAsia" w:asciiTheme="majorEastAsia" w:hAnsiTheme="majorEastAsia" w:eastAsiaTheme="majorEastAsia" w:cstheme="majorEastAsia"/>
          <w:color w:val="000000"/>
          <w:kern w:val="0"/>
          <w:sz w:val="24"/>
          <w:highlight w:val="none"/>
          <w:lang w:bidi="ar"/>
        </w:rPr>
        <w:t>乙方（中标方）：</w:t>
      </w:r>
      <w:r>
        <w:rPr>
          <w:rFonts w:hint="eastAsia" w:asciiTheme="majorEastAsia" w:hAnsiTheme="majorEastAsia" w:eastAsiaTheme="majorEastAsia" w:cstheme="majorEastAsia"/>
          <w:kern w:val="0"/>
          <w:sz w:val="24"/>
          <w:highlight w:val="none"/>
          <w:lang w:val="en-US" w:eastAsia="zh-CN" w:bidi="ar"/>
        </w:rPr>
        <w:t>*************</w:t>
      </w:r>
    </w:p>
    <w:p>
      <w:pPr>
        <w:widowControl/>
        <w:spacing w:line="360" w:lineRule="auto"/>
        <w:jc w:val="left"/>
        <w:rPr>
          <w:rFonts w:hint="eastAsia" w:asciiTheme="majorEastAsia" w:hAnsiTheme="majorEastAsia" w:eastAsiaTheme="majorEastAsia" w:cstheme="majorEastAsia"/>
          <w:color w:val="000000"/>
          <w:kern w:val="0"/>
          <w:sz w:val="24"/>
          <w:highlight w:val="none"/>
          <w:lang w:bidi="ar"/>
        </w:rPr>
      </w:pPr>
      <w:r>
        <w:rPr>
          <w:rFonts w:hint="eastAsia" w:asciiTheme="majorEastAsia" w:hAnsiTheme="majorEastAsia" w:eastAsiaTheme="majorEastAsia" w:cstheme="majorEastAsia"/>
          <w:color w:val="000000"/>
          <w:kern w:val="0"/>
          <w:sz w:val="24"/>
          <w:highlight w:val="none"/>
          <w:lang w:bidi="ar"/>
        </w:rPr>
        <w:t>签约地点：兰州市城关区</w:t>
      </w:r>
    </w:p>
    <w:p>
      <w:pPr>
        <w:widowControl/>
        <w:spacing w:line="360" w:lineRule="auto"/>
        <w:jc w:val="left"/>
        <w:rPr>
          <w:rFonts w:hint="eastAsia" w:asciiTheme="majorEastAsia" w:hAnsiTheme="majorEastAsia" w:eastAsiaTheme="majorEastAsia" w:cstheme="majorEastAsia"/>
          <w:highlight w:val="none"/>
        </w:rPr>
      </w:pPr>
      <w:r>
        <w:rPr>
          <w:rFonts w:hint="eastAsia" w:asciiTheme="majorEastAsia" w:hAnsiTheme="majorEastAsia" w:eastAsiaTheme="majorEastAsia" w:cstheme="majorEastAsia"/>
          <w:color w:val="000000"/>
          <w:kern w:val="0"/>
          <w:sz w:val="24"/>
          <w:highlight w:val="none"/>
          <w:lang w:bidi="ar"/>
        </w:rPr>
        <w:t xml:space="preserve">合同组成：本合同由合同协议书、通用条款、专用条款及附件组成。 </w:t>
      </w:r>
    </w:p>
    <w:p>
      <w:pPr>
        <w:widowControl/>
        <w:numPr>
          <w:ilvl w:val="0"/>
          <w:numId w:val="9"/>
        </w:numPr>
        <w:jc w:val="center"/>
        <w:rPr>
          <w:rFonts w:hint="eastAsia" w:asciiTheme="majorEastAsia" w:hAnsiTheme="majorEastAsia" w:eastAsiaTheme="majorEastAsia" w:cstheme="majorEastAsia"/>
          <w:b/>
          <w:bCs/>
          <w:color w:val="000000"/>
          <w:kern w:val="0"/>
          <w:sz w:val="28"/>
          <w:szCs w:val="28"/>
          <w:highlight w:val="none"/>
          <w:lang w:bidi="ar"/>
        </w:rPr>
      </w:pPr>
      <w:r>
        <w:rPr>
          <w:rFonts w:hint="eastAsia" w:asciiTheme="majorEastAsia" w:hAnsiTheme="majorEastAsia" w:eastAsiaTheme="majorEastAsia" w:cstheme="majorEastAsia"/>
          <w:b/>
          <w:bCs/>
          <w:color w:val="000000"/>
          <w:kern w:val="0"/>
          <w:sz w:val="28"/>
          <w:szCs w:val="28"/>
          <w:highlight w:val="none"/>
          <w:lang w:bidi="ar"/>
        </w:rPr>
        <w:t>合同协议书</w:t>
      </w:r>
    </w:p>
    <w:p>
      <w:pPr>
        <w:widowControl/>
        <w:spacing w:line="360" w:lineRule="auto"/>
        <w:ind w:firstLine="480" w:firstLineChars="200"/>
        <w:jc w:val="left"/>
        <w:rPr>
          <w:rFonts w:hint="eastAsia" w:asciiTheme="majorEastAsia" w:hAnsiTheme="majorEastAsia" w:eastAsiaTheme="majorEastAsia" w:cstheme="majorEastAsia"/>
          <w:highlight w:val="none"/>
        </w:rPr>
      </w:pPr>
      <w:r>
        <w:rPr>
          <w:rFonts w:hint="eastAsia" w:asciiTheme="majorEastAsia" w:hAnsiTheme="majorEastAsia" w:eastAsiaTheme="majorEastAsia" w:cstheme="majorEastAsia"/>
          <w:color w:val="000000"/>
          <w:kern w:val="0"/>
          <w:sz w:val="24"/>
          <w:highlight w:val="none"/>
          <w:lang w:bidi="ar"/>
        </w:rPr>
        <w:t xml:space="preserve">根据《中华人民共和国民法典》《中华人民共和国招标投标法》《中华人民共和国政 </w:t>
      </w:r>
    </w:p>
    <w:p>
      <w:pPr>
        <w:widowControl/>
        <w:spacing w:line="360" w:lineRule="auto"/>
        <w:jc w:val="left"/>
        <w:rPr>
          <w:rFonts w:hint="eastAsia" w:asciiTheme="majorEastAsia" w:hAnsiTheme="majorEastAsia" w:eastAsiaTheme="majorEastAsia" w:cstheme="majorEastAsia"/>
          <w:highlight w:val="none"/>
        </w:rPr>
      </w:pPr>
      <w:r>
        <w:rPr>
          <w:rFonts w:hint="eastAsia" w:asciiTheme="majorEastAsia" w:hAnsiTheme="majorEastAsia" w:eastAsiaTheme="majorEastAsia" w:cstheme="majorEastAsia"/>
          <w:color w:val="000000"/>
          <w:kern w:val="0"/>
          <w:sz w:val="24"/>
          <w:highlight w:val="none"/>
          <w:lang w:bidi="ar"/>
        </w:rPr>
        <w:t>府采购法》《中华人民共和国</w:t>
      </w:r>
      <w:r>
        <w:rPr>
          <w:rFonts w:hint="eastAsia" w:asciiTheme="majorEastAsia" w:hAnsiTheme="majorEastAsia" w:eastAsiaTheme="majorEastAsia" w:cstheme="majorEastAsia"/>
          <w:color w:val="000000"/>
          <w:kern w:val="0"/>
          <w:sz w:val="24"/>
          <w:highlight w:val="none"/>
          <w:lang w:eastAsia="zh-CN" w:bidi="ar"/>
        </w:rPr>
        <w:t>采购</w:t>
      </w:r>
      <w:r>
        <w:rPr>
          <w:rFonts w:hint="eastAsia" w:asciiTheme="majorEastAsia" w:hAnsiTheme="majorEastAsia" w:eastAsiaTheme="majorEastAsia" w:cstheme="majorEastAsia"/>
          <w:color w:val="000000"/>
          <w:kern w:val="0"/>
          <w:sz w:val="24"/>
          <w:highlight w:val="none"/>
          <w:lang w:bidi="ar"/>
        </w:rPr>
        <w:t xml:space="preserve">法实施条例》及其他有关法律、法规、规章、规范 </w:t>
      </w:r>
    </w:p>
    <w:p>
      <w:pPr>
        <w:widowControl/>
        <w:spacing w:line="360" w:lineRule="auto"/>
        <w:jc w:val="left"/>
        <w:rPr>
          <w:rFonts w:hint="eastAsia" w:asciiTheme="majorEastAsia" w:hAnsiTheme="majorEastAsia" w:eastAsiaTheme="majorEastAsia" w:cstheme="majorEastAsia"/>
          <w:highlight w:val="none"/>
        </w:rPr>
      </w:pPr>
      <w:r>
        <w:rPr>
          <w:rFonts w:hint="eastAsia" w:asciiTheme="majorEastAsia" w:hAnsiTheme="majorEastAsia" w:eastAsiaTheme="majorEastAsia" w:cstheme="majorEastAsia"/>
          <w:color w:val="000000"/>
          <w:kern w:val="0"/>
          <w:sz w:val="24"/>
          <w:highlight w:val="none"/>
          <w:lang w:bidi="ar"/>
        </w:rPr>
        <w:t xml:space="preserve">性文件的规定，甲乙双方经友好协商，根据平等、互利的原则签订本合同，并达成以下协 </w:t>
      </w:r>
    </w:p>
    <w:p>
      <w:pPr>
        <w:widowControl/>
        <w:spacing w:line="360" w:lineRule="auto"/>
        <w:jc w:val="left"/>
        <w:rPr>
          <w:rFonts w:hint="eastAsia" w:asciiTheme="majorEastAsia" w:hAnsiTheme="majorEastAsia" w:eastAsiaTheme="majorEastAsia" w:cstheme="majorEastAsia"/>
          <w:highlight w:val="none"/>
        </w:rPr>
      </w:pPr>
      <w:r>
        <w:rPr>
          <w:rFonts w:hint="eastAsia" w:asciiTheme="majorEastAsia" w:hAnsiTheme="majorEastAsia" w:eastAsiaTheme="majorEastAsia" w:cstheme="majorEastAsia"/>
          <w:color w:val="000000"/>
          <w:kern w:val="0"/>
          <w:sz w:val="24"/>
          <w:highlight w:val="none"/>
          <w:lang w:bidi="ar"/>
        </w:rPr>
        <w:t>议：</w:t>
      </w:r>
    </w:p>
    <w:p>
      <w:pPr>
        <w:widowControl/>
        <w:spacing w:line="360" w:lineRule="auto"/>
        <w:ind w:firstLine="480" w:firstLineChars="200"/>
        <w:jc w:val="left"/>
        <w:rPr>
          <w:rFonts w:hint="eastAsia" w:asciiTheme="majorEastAsia" w:hAnsiTheme="majorEastAsia" w:eastAsiaTheme="majorEastAsia" w:cstheme="majorEastAsia"/>
          <w:highlight w:val="none"/>
        </w:rPr>
      </w:pPr>
      <w:r>
        <w:rPr>
          <w:rFonts w:hint="eastAsia" w:asciiTheme="majorEastAsia" w:hAnsiTheme="majorEastAsia" w:eastAsiaTheme="majorEastAsia" w:cstheme="majorEastAsia"/>
          <w:color w:val="000000"/>
          <w:kern w:val="0"/>
          <w:sz w:val="24"/>
          <w:highlight w:val="none"/>
          <w:lang w:val="en-US" w:eastAsia="zh-CN" w:bidi="ar"/>
        </w:rPr>
        <w:t>1.</w:t>
      </w:r>
      <w:r>
        <w:rPr>
          <w:rFonts w:hint="eastAsia" w:asciiTheme="majorEastAsia" w:hAnsiTheme="majorEastAsia" w:eastAsiaTheme="majorEastAsia" w:cstheme="majorEastAsia"/>
          <w:color w:val="000000"/>
          <w:kern w:val="0"/>
          <w:sz w:val="24"/>
          <w:highlight w:val="none"/>
          <w:lang w:bidi="ar"/>
        </w:rPr>
        <w:t xml:space="preserve">根据甲方需求乙方提供具有优良质量的产品及安装等服务给甲方，供货明细及合同总 </w:t>
      </w:r>
    </w:p>
    <w:p>
      <w:pPr>
        <w:widowControl/>
        <w:spacing w:line="360" w:lineRule="auto"/>
        <w:jc w:val="left"/>
        <w:rPr>
          <w:rFonts w:hint="eastAsia" w:asciiTheme="majorEastAsia" w:hAnsiTheme="majorEastAsia" w:eastAsiaTheme="majorEastAsia" w:cstheme="majorEastAsia"/>
          <w:color w:val="000000"/>
          <w:kern w:val="0"/>
          <w:sz w:val="24"/>
          <w:highlight w:val="none"/>
          <w:lang w:bidi="ar"/>
        </w:rPr>
      </w:pPr>
      <w:r>
        <w:rPr>
          <w:rFonts w:hint="eastAsia" w:asciiTheme="majorEastAsia" w:hAnsiTheme="majorEastAsia" w:eastAsiaTheme="majorEastAsia" w:cstheme="majorEastAsia"/>
          <w:color w:val="000000"/>
          <w:kern w:val="0"/>
          <w:sz w:val="24"/>
          <w:highlight w:val="none"/>
          <w:lang w:bidi="ar"/>
        </w:rPr>
        <w:t>金额 详情如下：</w:t>
      </w:r>
    </w:p>
    <w:tbl>
      <w:tblPr>
        <w:tblStyle w:val="37"/>
        <w:tblW w:w="5499" w:type="pct"/>
        <w:tblInd w:w="-525" w:type="dxa"/>
        <w:tblLayout w:type="fixed"/>
        <w:tblCellMar>
          <w:top w:w="0" w:type="dxa"/>
          <w:left w:w="108" w:type="dxa"/>
          <w:bottom w:w="0" w:type="dxa"/>
          <w:right w:w="108" w:type="dxa"/>
        </w:tblCellMar>
      </w:tblPr>
      <w:tblGrid>
        <w:gridCol w:w="677"/>
        <w:gridCol w:w="1453"/>
        <w:gridCol w:w="1511"/>
        <w:gridCol w:w="1242"/>
        <w:gridCol w:w="825"/>
        <w:gridCol w:w="825"/>
        <w:gridCol w:w="688"/>
        <w:gridCol w:w="825"/>
        <w:gridCol w:w="1377"/>
        <w:gridCol w:w="1101"/>
      </w:tblGrid>
      <w:tr>
        <w:tblPrEx>
          <w:tblCellMar>
            <w:top w:w="0" w:type="dxa"/>
            <w:left w:w="108" w:type="dxa"/>
            <w:bottom w:w="0" w:type="dxa"/>
            <w:right w:w="108" w:type="dxa"/>
          </w:tblCellMar>
        </w:tblPrEx>
        <w:trPr>
          <w:trHeight w:val="598" w:hRule="atLeast"/>
        </w:trPr>
        <w:tc>
          <w:tcPr>
            <w:tcW w:w="3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Theme="majorEastAsia" w:hAnsiTheme="majorEastAsia" w:eastAsiaTheme="majorEastAsia" w:cstheme="majorEastAsia"/>
                <w:b/>
                <w:bCs/>
                <w:color w:val="000000"/>
                <w:sz w:val="22"/>
                <w:szCs w:val="22"/>
                <w:highlight w:val="none"/>
              </w:rPr>
            </w:pPr>
            <w:r>
              <w:rPr>
                <w:rFonts w:hint="eastAsia" w:asciiTheme="majorEastAsia" w:hAnsiTheme="majorEastAsia" w:eastAsiaTheme="majorEastAsia" w:cstheme="majorEastAsia"/>
                <w:b/>
                <w:bCs/>
                <w:color w:val="000000"/>
                <w:kern w:val="0"/>
                <w:sz w:val="22"/>
                <w:szCs w:val="22"/>
                <w:highlight w:val="none"/>
                <w:lang w:bidi="ar"/>
              </w:rPr>
              <w:t>序号</w:t>
            </w:r>
          </w:p>
        </w:tc>
        <w:tc>
          <w:tcPr>
            <w:tcW w:w="6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Theme="majorEastAsia" w:hAnsiTheme="majorEastAsia" w:eastAsiaTheme="majorEastAsia" w:cstheme="majorEastAsia"/>
                <w:b/>
                <w:bCs/>
                <w:color w:val="000000"/>
                <w:sz w:val="22"/>
                <w:szCs w:val="22"/>
                <w:highlight w:val="none"/>
              </w:rPr>
            </w:pPr>
            <w:r>
              <w:rPr>
                <w:rFonts w:hint="eastAsia" w:asciiTheme="majorEastAsia" w:hAnsiTheme="majorEastAsia" w:eastAsiaTheme="majorEastAsia" w:cstheme="majorEastAsia"/>
                <w:b/>
                <w:bCs/>
                <w:color w:val="000000"/>
                <w:kern w:val="0"/>
                <w:sz w:val="22"/>
                <w:szCs w:val="22"/>
                <w:highlight w:val="none"/>
                <w:lang w:bidi="ar"/>
              </w:rPr>
              <w:t>货物名称</w:t>
            </w:r>
          </w:p>
        </w:tc>
        <w:tc>
          <w:tcPr>
            <w:tcW w:w="7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Theme="majorEastAsia" w:hAnsiTheme="majorEastAsia" w:eastAsiaTheme="majorEastAsia" w:cstheme="majorEastAsia"/>
                <w:b/>
                <w:bCs/>
                <w:color w:val="000000"/>
                <w:sz w:val="22"/>
                <w:szCs w:val="22"/>
                <w:highlight w:val="none"/>
              </w:rPr>
            </w:pPr>
            <w:r>
              <w:rPr>
                <w:rFonts w:hint="eastAsia" w:asciiTheme="majorEastAsia" w:hAnsiTheme="majorEastAsia" w:eastAsiaTheme="majorEastAsia" w:cstheme="majorEastAsia"/>
                <w:b/>
                <w:bCs/>
                <w:color w:val="000000"/>
                <w:kern w:val="0"/>
                <w:sz w:val="22"/>
                <w:szCs w:val="22"/>
                <w:highlight w:val="none"/>
                <w:lang w:bidi="ar"/>
              </w:rPr>
              <w:t>型号规格品牌</w:t>
            </w:r>
          </w:p>
        </w:tc>
        <w:tc>
          <w:tcPr>
            <w:tcW w:w="5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Theme="majorEastAsia" w:hAnsiTheme="majorEastAsia" w:eastAsiaTheme="majorEastAsia" w:cstheme="majorEastAsia"/>
                <w:b/>
                <w:bCs/>
                <w:color w:val="000000"/>
                <w:sz w:val="22"/>
                <w:szCs w:val="22"/>
                <w:highlight w:val="none"/>
              </w:rPr>
            </w:pPr>
            <w:r>
              <w:rPr>
                <w:rFonts w:hint="eastAsia" w:asciiTheme="majorEastAsia" w:hAnsiTheme="majorEastAsia" w:eastAsiaTheme="majorEastAsia" w:cstheme="majorEastAsia"/>
                <w:b/>
                <w:bCs/>
                <w:color w:val="000000"/>
                <w:kern w:val="0"/>
                <w:sz w:val="22"/>
                <w:szCs w:val="22"/>
                <w:highlight w:val="none"/>
                <w:lang w:bidi="ar"/>
              </w:rPr>
              <w:t>生产厂家</w:t>
            </w:r>
          </w:p>
        </w:tc>
        <w:tc>
          <w:tcPr>
            <w:tcW w:w="3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Theme="majorEastAsia" w:hAnsiTheme="majorEastAsia" w:eastAsiaTheme="majorEastAsia" w:cstheme="majorEastAsia"/>
                <w:b/>
                <w:bCs/>
                <w:color w:val="000000"/>
                <w:kern w:val="0"/>
                <w:sz w:val="22"/>
                <w:szCs w:val="22"/>
                <w:highlight w:val="none"/>
                <w:lang w:bidi="ar"/>
              </w:rPr>
            </w:pPr>
            <w:r>
              <w:rPr>
                <w:rFonts w:hint="eastAsia" w:asciiTheme="majorEastAsia" w:hAnsiTheme="majorEastAsia" w:eastAsiaTheme="majorEastAsia" w:cstheme="majorEastAsia"/>
                <w:b/>
                <w:bCs/>
                <w:color w:val="000000"/>
                <w:kern w:val="0"/>
                <w:sz w:val="22"/>
                <w:szCs w:val="22"/>
                <w:highlight w:val="none"/>
                <w:lang w:bidi="ar"/>
              </w:rPr>
              <w:t>注册证号</w:t>
            </w:r>
          </w:p>
        </w:tc>
        <w:tc>
          <w:tcPr>
            <w:tcW w:w="3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Theme="majorEastAsia" w:hAnsiTheme="majorEastAsia" w:eastAsiaTheme="majorEastAsia" w:cstheme="majorEastAsia"/>
                <w:b/>
                <w:bCs/>
                <w:color w:val="000000"/>
                <w:sz w:val="22"/>
                <w:szCs w:val="22"/>
                <w:highlight w:val="none"/>
              </w:rPr>
            </w:pPr>
            <w:r>
              <w:rPr>
                <w:rFonts w:hint="eastAsia" w:asciiTheme="majorEastAsia" w:hAnsiTheme="majorEastAsia" w:eastAsiaTheme="majorEastAsia" w:cstheme="majorEastAsia"/>
                <w:b/>
                <w:bCs/>
                <w:color w:val="000000"/>
                <w:kern w:val="0"/>
                <w:sz w:val="22"/>
                <w:szCs w:val="22"/>
                <w:highlight w:val="none"/>
                <w:lang w:bidi="ar"/>
              </w:rPr>
              <w:t>国别</w:t>
            </w:r>
          </w:p>
        </w:tc>
        <w:tc>
          <w:tcPr>
            <w:tcW w:w="3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Theme="majorEastAsia" w:hAnsiTheme="majorEastAsia" w:eastAsiaTheme="majorEastAsia" w:cstheme="majorEastAsia"/>
                <w:b/>
                <w:bCs/>
                <w:color w:val="000000"/>
                <w:sz w:val="22"/>
                <w:szCs w:val="22"/>
                <w:highlight w:val="none"/>
              </w:rPr>
            </w:pPr>
            <w:r>
              <w:rPr>
                <w:rFonts w:hint="eastAsia" w:asciiTheme="majorEastAsia" w:hAnsiTheme="majorEastAsia" w:eastAsiaTheme="majorEastAsia" w:cstheme="majorEastAsia"/>
                <w:b/>
                <w:bCs/>
                <w:color w:val="000000"/>
                <w:kern w:val="0"/>
                <w:sz w:val="22"/>
                <w:szCs w:val="22"/>
                <w:highlight w:val="none"/>
                <w:lang w:bidi="ar"/>
              </w:rPr>
              <w:t>数量</w:t>
            </w:r>
          </w:p>
        </w:tc>
        <w:tc>
          <w:tcPr>
            <w:tcW w:w="3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Theme="majorEastAsia" w:hAnsiTheme="majorEastAsia" w:eastAsiaTheme="majorEastAsia" w:cstheme="majorEastAsia"/>
                <w:b/>
                <w:bCs/>
                <w:color w:val="000000"/>
                <w:sz w:val="22"/>
                <w:szCs w:val="22"/>
                <w:highlight w:val="none"/>
              </w:rPr>
            </w:pPr>
            <w:r>
              <w:rPr>
                <w:rFonts w:hint="eastAsia" w:asciiTheme="majorEastAsia" w:hAnsiTheme="majorEastAsia" w:eastAsiaTheme="majorEastAsia" w:cstheme="majorEastAsia"/>
                <w:b/>
                <w:bCs/>
                <w:color w:val="000000"/>
                <w:kern w:val="0"/>
                <w:sz w:val="22"/>
                <w:szCs w:val="22"/>
                <w:highlight w:val="none"/>
                <w:lang w:bidi="ar"/>
              </w:rPr>
              <w:t>单位</w:t>
            </w:r>
          </w:p>
        </w:tc>
        <w:tc>
          <w:tcPr>
            <w:tcW w:w="65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Theme="majorEastAsia" w:hAnsiTheme="majorEastAsia" w:eastAsiaTheme="majorEastAsia" w:cstheme="majorEastAsia"/>
                <w:b/>
                <w:bCs/>
                <w:color w:val="000000"/>
                <w:sz w:val="22"/>
                <w:szCs w:val="22"/>
                <w:highlight w:val="none"/>
              </w:rPr>
            </w:pPr>
            <w:r>
              <w:rPr>
                <w:rFonts w:hint="eastAsia" w:asciiTheme="majorEastAsia" w:hAnsiTheme="majorEastAsia" w:eastAsiaTheme="majorEastAsia" w:cstheme="majorEastAsia"/>
                <w:b/>
                <w:bCs/>
                <w:color w:val="000000"/>
                <w:kern w:val="0"/>
                <w:sz w:val="22"/>
                <w:szCs w:val="22"/>
                <w:highlight w:val="none"/>
                <w:lang w:val="en-US" w:eastAsia="zh-CN" w:bidi="ar"/>
              </w:rPr>
              <w:t>中标单</w:t>
            </w:r>
            <w:r>
              <w:rPr>
                <w:rFonts w:hint="eastAsia" w:asciiTheme="majorEastAsia" w:hAnsiTheme="majorEastAsia" w:eastAsiaTheme="majorEastAsia" w:cstheme="majorEastAsia"/>
                <w:b/>
                <w:bCs/>
                <w:color w:val="000000"/>
                <w:kern w:val="0"/>
                <w:sz w:val="22"/>
                <w:szCs w:val="22"/>
                <w:highlight w:val="none"/>
                <w:lang w:bidi="ar"/>
              </w:rPr>
              <w:t>价（CNY/元）</w:t>
            </w:r>
          </w:p>
        </w:tc>
        <w:tc>
          <w:tcPr>
            <w:tcW w:w="5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Theme="majorEastAsia" w:hAnsiTheme="majorEastAsia" w:eastAsiaTheme="majorEastAsia" w:cstheme="majorEastAsia"/>
                <w:b/>
                <w:bCs/>
                <w:color w:val="000000"/>
                <w:sz w:val="22"/>
                <w:szCs w:val="22"/>
                <w:highlight w:val="none"/>
              </w:rPr>
            </w:pPr>
            <w:r>
              <w:rPr>
                <w:rFonts w:hint="eastAsia" w:asciiTheme="majorEastAsia" w:hAnsiTheme="majorEastAsia" w:eastAsiaTheme="majorEastAsia" w:cstheme="majorEastAsia"/>
                <w:b/>
                <w:bCs/>
                <w:color w:val="000000"/>
                <w:kern w:val="0"/>
                <w:sz w:val="22"/>
                <w:szCs w:val="22"/>
                <w:highlight w:val="none"/>
                <w:lang w:bidi="ar"/>
              </w:rPr>
              <w:t>备注</w:t>
            </w:r>
          </w:p>
        </w:tc>
      </w:tr>
      <w:tr>
        <w:tblPrEx>
          <w:tblCellMar>
            <w:top w:w="0" w:type="dxa"/>
            <w:left w:w="108" w:type="dxa"/>
            <w:bottom w:w="0" w:type="dxa"/>
            <w:right w:w="108" w:type="dxa"/>
          </w:tblCellMar>
        </w:tblPrEx>
        <w:trPr>
          <w:trHeight w:val="891" w:hRule="atLeast"/>
        </w:trPr>
        <w:tc>
          <w:tcPr>
            <w:tcW w:w="3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Theme="majorEastAsia" w:hAnsiTheme="majorEastAsia" w:eastAsiaTheme="majorEastAsia" w:cstheme="majorEastAsia"/>
                <w:color w:val="000000"/>
                <w:sz w:val="22"/>
                <w:szCs w:val="22"/>
                <w:highlight w:val="none"/>
              </w:rPr>
            </w:pPr>
            <w:r>
              <w:rPr>
                <w:rFonts w:hint="eastAsia" w:asciiTheme="majorEastAsia" w:hAnsiTheme="majorEastAsia" w:eastAsiaTheme="majorEastAsia" w:cstheme="majorEastAsia"/>
                <w:highlight w:val="none"/>
              </w:rPr>
              <w:t>1</w:t>
            </w:r>
          </w:p>
        </w:tc>
        <w:tc>
          <w:tcPr>
            <w:tcW w:w="6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Theme="majorEastAsia" w:hAnsiTheme="majorEastAsia" w:eastAsiaTheme="majorEastAsia" w:cstheme="majorEastAsia"/>
                <w:color w:val="000000"/>
                <w:sz w:val="22"/>
                <w:szCs w:val="22"/>
                <w:highlight w:val="none"/>
                <w:lang w:eastAsia="zh-CN"/>
              </w:rPr>
            </w:pPr>
            <w:r>
              <w:rPr>
                <w:rFonts w:hint="eastAsia" w:asciiTheme="majorEastAsia" w:hAnsiTheme="majorEastAsia" w:eastAsiaTheme="majorEastAsia" w:cstheme="majorEastAsia"/>
                <w:highlight w:val="none"/>
                <w:lang w:eastAsia="zh-CN"/>
              </w:rPr>
              <w:t>*******</w:t>
            </w:r>
          </w:p>
        </w:tc>
        <w:tc>
          <w:tcPr>
            <w:tcW w:w="71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Theme="majorEastAsia" w:hAnsiTheme="majorEastAsia" w:eastAsiaTheme="majorEastAsia" w:cstheme="majorEastAsia"/>
                <w:color w:val="000000"/>
                <w:sz w:val="22"/>
                <w:szCs w:val="22"/>
                <w:highlight w:val="none"/>
              </w:rPr>
            </w:pPr>
            <w:r>
              <w:rPr>
                <w:rFonts w:hint="eastAsia" w:asciiTheme="majorEastAsia" w:hAnsiTheme="majorEastAsia" w:eastAsiaTheme="majorEastAsia" w:cstheme="majorEastAsia"/>
                <w:highlight w:val="none"/>
                <w:lang w:val="en-US" w:eastAsia="zh-CN"/>
              </w:rPr>
              <w:t>*******</w:t>
            </w:r>
          </w:p>
        </w:tc>
        <w:tc>
          <w:tcPr>
            <w:tcW w:w="5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Theme="majorEastAsia" w:hAnsiTheme="majorEastAsia" w:eastAsiaTheme="majorEastAsia" w:cstheme="majorEastAsia"/>
                <w:color w:val="000000"/>
                <w:sz w:val="22"/>
                <w:szCs w:val="22"/>
                <w:highlight w:val="none"/>
              </w:rPr>
            </w:pPr>
            <w:r>
              <w:rPr>
                <w:rFonts w:hint="eastAsia" w:asciiTheme="majorEastAsia" w:hAnsiTheme="majorEastAsia" w:eastAsiaTheme="majorEastAsia" w:cstheme="majorEastAsia"/>
                <w:highlight w:val="none"/>
                <w:lang w:val="en-US" w:eastAsia="zh-CN"/>
              </w:rPr>
              <w:t>*******</w:t>
            </w:r>
          </w:p>
        </w:tc>
        <w:tc>
          <w:tcPr>
            <w:tcW w:w="3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Theme="majorEastAsia" w:hAnsiTheme="majorEastAsia" w:eastAsiaTheme="majorEastAsia" w:cstheme="majorEastAsia"/>
                <w:color w:val="000000"/>
                <w:kern w:val="0"/>
                <w:sz w:val="22"/>
                <w:szCs w:val="22"/>
                <w:highlight w:val="none"/>
                <w:lang w:bidi="ar"/>
              </w:rPr>
            </w:pPr>
            <w:r>
              <w:rPr>
                <w:rFonts w:hint="eastAsia" w:asciiTheme="majorEastAsia" w:hAnsiTheme="majorEastAsia" w:eastAsiaTheme="majorEastAsia" w:cstheme="majorEastAsia"/>
                <w:highlight w:val="none"/>
                <w:lang w:val="en-US" w:eastAsia="zh-CN"/>
              </w:rPr>
              <w:t>******</w:t>
            </w:r>
          </w:p>
        </w:tc>
        <w:tc>
          <w:tcPr>
            <w:tcW w:w="3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Theme="majorEastAsia" w:hAnsiTheme="majorEastAsia" w:eastAsiaTheme="majorEastAsia" w:cstheme="majorEastAsia"/>
                <w:color w:val="000000"/>
                <w:sz w:val="22"/>
                <w:szCs w:val="22"/>
                <w:highlight w:val="none"/>
              </w:rPr>
            </w:pPr>
            <w:r>
              <w:rPr>
                <w:rFonts w:hint="eastAsia" w:asciiTheme="majorEastAsia" w:hAnsiTheme="majorEastAsia" w:eastAsiaTheme="majorEastAsia" w:cstheme="majorEastAsia"/>
                <w:highlight w:val="none"/>
                <w:lang w:val="en-US" w:eastAsia="zh-CN"/>
              </w:rPr>
              <w:t>******</w:t>
            </w:r>
          </w:p>
        </w:tc>
        <w:tc>
          <w:tcPr>
            <w:tcW w:w="3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Theme="majorEastAsia" w:hAnsiTheme="majorEastAsia" w:eastAsiaTheme="majorEastAsia" w:cstheme="majorEastAsia"/>
                <w:color w:val="000000"/>
                <w:sz w:val="22"/>
                <w:szCs w:val="22"/>
                <w:highlight w:val="none"/>
              </w:rPr>
            </w:pPr>
            <w:r>
              <w:rPr>
                <w:rFonts w:hint="eastAsia" w:asciiTheme="majorEastAsia" w:hAnsiTheme="majorEastAsia" w:eastAsiaTheme="majorEastAsia" w:cstheme="majorEastAsia"/>
                <w:highlight w:val="none"/>
                <w:lang w:val="en-US" w:eastAsia="zh-CN"/>
              </w:rPr>
              <w:t>****</w:t>
            </w:r>
          </w:p>
        </w:tc>
        <w:tc>
          <w:tcPr>
            <w:tcW w:w="3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Theme="majorEastAsia" w:hAnsiTheme="majorEastAsia" w:eastAsiaTheme="majorEastAsia" w:cstheme="majorEastAsia"/>
                <w:color w:val="000000"/>
                <w:sz w:val="22"/>
                <w:szCs w:val="22"/>
                <w:highlight w:val="none"/>
              </w:rPr>
            </w:pPr>
            <w:r>
              <w:rPr>
                <w:rFonts w:hint="eastAsia" w:asciiTheme="majorEastAsia" w:hAnsiTheme="majorEastAsia" w:eastAsiaTheme="majorEastAsia" w:cstheme="majorEastAsia"/>
                <w:highlight w:val="none"/>
                <w:lang w:val="en-US" w:eastAsia="zh-CN"/>
              </w:rPr>
              <w:t>******</w:t>
            </w:r>
          </w:p>
        </w:tc>
        <w:tc>
          <w:tcPr>
            <w:tcW w:w="6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Theme="majorEastAsia" w:hAnsiTheme="majorEastAsia" w:eastAsiaTheme="majorEastAsia" w:cstheme="majorEastAsia"/>
                <w:color w:val="000000"/>
                <w:sz w:val="22"/>
                <w:szCs w:val="22"/>
                <w:highlight w:val="none"/>
              </w:rPr>
            </w:pPr>
            <w:r>
              <w:rPr>
                <w:rFonts w:hint="eastAsia" w:asciiTheme="majorEastAsia" w:hAnsiTheme="majorEastAsia" w:eastAsiaTheme="majorEastAsia" w:cstheme="majorEastAsia"/>
                <w:highlight w:val="none"/>
                <w:lang w:val="en-US" w:eastAsia="zh-CN"/>
              </w:rPr>
              <w:t>*******</w:t>
            </w:r>
          </w:p>
        </w:tc>
        <w:tc>
          <w:tcPr>
            <w:tcW w:w="5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Theme="majorEastAsia" w:hAnsiTheme="majorEastAsia" w:eastAsiaTheme="majorEastAsia" w:cstheme="majorEastAsia"/>
                <w:color w:val="000000"/>
                <w:sz w:val="22"/>
                <w:szCs w:val="22"/>
                <w:highlight w:val="none"/>
              </w:rPr>
            </w:pPr>
          </w:p>
        </w:tc>
      </w:tr>
      <w:tr>
        <w:tblPrEx>
          <w:tblCellMar>
            <w:top w:w="0" w:type="dxa"/>
            <w:left w:w="108" w:type="dxa"/>
            <w:bottom w:w="0" w:type="dxa"/>
            <w:right w:w="108" w:type="dxa"/>
          </w:tblCellMar>
        </w:tblPrEx>
        <w:trPr>
          <w:trHeight w:val="891" w:hRule="atLeast"/>
        </w:trPr>
        <w:tc>
          <w:tcPr>
            <w:tcW w:w="3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Theme="majorEastAsia" w:hAnsiTheme="majorEastAsia" w:eastAsiaTheme="majorEastAsia" w:cstheme="majorEastAsia"/>
                <w:color w:val="000000"/>
                <w:sz w:val="22"/>
                <w:szCs w:val="22"/>
                <w:highlight w:val="none"/>
              </w:rPr>
            </w:pPr>
            <w:r>
              <w:rPr>
                <w:rFonts w:hint="eastAsia" w:asciiTheme="majorEastAsia" w:hAnsiTheme="majorEastAsia" w:eastAsiaTheme="majorEastAsia" w:cstheme="majorEastAsia"/>
                <w:highlight w:val="none"/>
              </w:rPr>
              <w:t>2</w:t>
            </w:r>
          </w:p>
        </w:tc>
        <w:tc>
          <w:tcPr>
            <w:tcW w:w="6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Theme="majorEastAsia" w:hAnsiTheme="majorEastAsia" w:eastAsiaTheme="majorEastAsia" w:cstheme="majorEastAsia"/>
                <w:color w:val="000000"/>
                <w:sz w:val="22"/>
                <w:szCs w:val="22"/>
                <w:highlight w:val="none"/>
                <w:lang w:val="en-US" w:eastAsia="zh-CN"/>
              </w:rPr>
            </w:pPr>
            <w:r>
              <w:rPr>
                <w:rFonts w:hint="eastAsia" w:asciiTheme="majorEastAsia" w:hAnsiTheme="majorEastAsia" w:eastAsiaTheme="majorEastAsia" w:cstheme="majorEastAsia"/>
                <w:highlight w:val="none"/>
                <w:lang w:val="en-US" w:eastAsia="zh-CN"/>
              </w:rPr>
              <w:t>*******</w:t>
            </w:r>
          </w:p>
        </w:tc>
        <w:tc>
          <w:tcPr>
            <w:tcW w:w="71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Theme="majorEastAsia" w:hAnsiTheme="majorEastAsia" w:eastAsiaTheme="majorEastAsia" w:cstheme="majorEastAsia"/>
                <w:color w:val="000000"/>
                <w:sz w:val="22"/>
                <w:szCs w:val="22"/>
                <w:highlight w:val="none"/>
              </w:rPr>
            </w:pPr>
            <w:r>
              <w:rPr>
                <w:rFonts w:hint="eastAsia" w:asciiTheme="majorEastAsia" w:hAnsiTheme="majorEastAsia" w:eastAsiaTheme="majorEastAsia" w:cstheme="majorEastAsia"/>
                <w:highlight w:val="none"/>
                <w:lang w:val="en-US" w:eastAsia="zh-CN"/>
              </w:rPr>
              <w:t>*******</w:t>
            </w:r>
          </w:p>
        </w:tc>
        <w:tc>
          <w:tcPr>
            <w:tcW w:w="5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Theme="majorEastAsia" w:hAnsiTheme="majorEastAsia" w:eastAsiaTheme="majorEastAsia" w:cstheme="majorEastAsia"/>
                <w:color w:val="000000"/>
                <w:sz w:val="22"/>
                <w:szCs w:val="22"/>
                <w:highlight w:val="none"/>
              </w:rPr>
            </w:pPr>
            <w:r>
              <w:rPr>
                <w:rFonts w:hint="eastAsia" w:asciiTheme="majorEastAsia" w:hAnsiTheme="majorEastAsia" w:eastAsiaTheme="majorEastAsia" w:cstheme="majorEastAsia"/>
                <w:highlight w:val="none"/>
                <w:lang w:val="en-US" w:eastAsia="zh-CN"/>
              </w:rPr>
              <w:t>*******</w:t>
            </w:r>
          </w:p>
        </w:tc>
        <w:tc>
          <w:tcPr>
            <w:tcW w:w="3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Theme="majorEastAsia" w:hAnsiTheme="majorEastAsia" w:eastAsiaTheme="majorEastAsia" w:cstheme="majorEastAsia"/>
                <w:color w:val="000000"/>
                <w:kern w:val="0"/>
                <w:sz w:val="22"/>
                <w:szCs w:val="22"/>
                <w:highlight w:val="none"/>
                <w:lang w:bidi="ar"/>
              </w:rPr>
            </w:pPr>
            <w:r>
              <w:rPr>
                <w:rFonts w:hint="eastAsia" w:asciiTheme="majorEastAsia" w:hAnsiTheme="majorEastAsia" w:eastAsiaTheme="majorEastAsia" w:cstheme="majorEastAsia"/>
                <w:highlight w:val="none"/>
                <w:lang w:val="en-US" w:eastAsia="zh-CN"/>
              </w:rPr>
              <w:t>******</w:t>
            </w:r>
          </w:p>
        </w:tc>
        <w:tc>
          <w:tcPr>
            <w:tcW w:w="3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Theme="majorEastAsia" w:hAnsiTheme="majorEastAsia" w:eastAsiaTheme="majorEastAsia" w:cstheme="majorEastAsia"/>
                <w:color w:val="000000"/>
                <w:sz w:val="22"/>
                <w:szCs w:val="22"/>
                <w:highlight w:val="none"/>
              </w:rPr>
            </w:pPr>
            <w:r>
              <w:rPr>
                <w:rFonts w:hint="eastAsia" w:asciiTheme="majorEastAsia" w:hAnsiTheme="majorEastAsia" w:eastAsiaTheme="majorEastAsia" w:cstheme="majorEastAsia"/>
                <w:highlight w:val="none"/>
                <w:lang w:val="en-US" w:eastAsia="zh-CN"/>
              </w:rPr>
              <w:t>******</w:t>
            </w:r>
          </w:p>
        </w:tc>
        <w:tc>
          <w:tcPr>
            <w:tcW w:w="3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Theme="majorEastAsia" w:hAnsiTheme="majorEastAsia" w:eastAsiaTheme="majorEastAsia" w:cstheme="majorEastAsia"/>
                <w:color w:val="000000"/>
                <w:sz w:val="22"/>
                <w:szCs w:val="22"/>
                <w:highlight w:val="none"/>
              </w:rPr>
            </w:pPr>
            <w:r>
              <w:rPr>
                <w:rFonts w:hint="eastAsia" w:asciiTheme="majorEastAsia" w:hAnsiTheme="majorEastAsia" w:eastAsiaTheme="majorEastAsia" w:cstheme="majorEastAsia"/>
                <w:highlight w:val="none"/>
                <w:lang w:val="en-US" w:eastAsia="zh-CN"/>
              </w:rPr>
              <w:t>****</w:t>
            </w:r>
          </w:p>
        </w:tc>
        <w:tc>
          <w:tcPr>
            <w:tcW w:w="3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Theme="majorEastAsia" w:hAnsiTheme="majorEastAsia" w:eastAsiaTheme="majorEastAsia" w:cstheme="majorEastAsia"/>
                <w:color w:val="000000"/>
                <w:sz w:val="22"/>
                <w:szCs w:val="22"/>
                <w:highlight w:val="none"/>
              </w:rPr>
            </w:pPr>
            <w:r>
              <w:rPr>
                <w:rFonts w:hint="eastAsia" w:asciiTheme="majorEastAsia" w:hAnsiTheme="majorEastAsia" w:eastAsiaTheme="majorEastAsia" w:cstheme="majorEastAsia"/>
                <w:highlight w:val="none"/>
                <w:lang w:val="en-US" w:eastAsia="zh-CN"/>
              </w:rPr>
              <w:t>******</w:t>
            </w:r>
          </w:p>
        </w:tc>
        <w:tc>
          <w:tcPr>
            <w:tcW w:w="6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Theme="majorEastAsia" w:hAnsiTheme="majorEastAsia" w:eastAsiaTheme="majorEastAsia" w:cstheme="majorEastAsia"/>
                <w:color w:val="000000"/>
                <w:sz w:val="22"/>
                <w:szCs w:val="22"/>
                <w:highlight w:val="none"/>
              </w:rPr>
            </w:pPr>
            <w:r>
              <w:rPr>
                <w:rFonts w:hint="eastAsia" w:asciiTheme="majorEastAsia" w:hAnsiTheme="majorEastAsia" w:eastAsiaTheme="majorEastAsia" w:cstheme="majorEastAsia"/>
                <w:highlight w:val="none"/>
                <w:lang w:val="en-US" w:eastAsia="zh-CN"/>
              </w:rPr>
              <w:t>*******</w:t>
            </w:r>
          </w:p>
        </w:tc>
        <w:tc>
          <w:tcPr>
            <w:tcW w:w="5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Theme="majorEastAsia" w:hAnsiTheme="majorEastAsia" w:eastAsiaTheme="majorEastAsia" w:cstheme="majorEastAsia"/>
                <w:color w:val="000000"/>
                <w:sz w:val="22"/>
                <w:szCs w:val="22"/>
                <w:highlight w:val="none"/>
              </w:rPr>
            </w:pPr>
          </w:p>
        </w:tc>
      </w:tr>
      <w:tr>
        <w:tblPrEx>
          <w:tblCellMar>
            <w:top w:w="0" w:type="dxa"/>
            <w:left w:w="108" w:type="dxa"/>
            <w:bottom w:w="0" w:type="dxa"/>
            <w:right w:w="108" w:type="dxa"/>
          </w:tblCellMar>
        </w:tblPrEx>
        <w:trPr>
          <w:trHeight w:val="528" w:hRule="atLeast"/>
        </w:trPr>
        <w:tc>
          <w:tcPr>
            <w:tcW w:w="3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Theme="majorEastAsia" w:hAnsiTheme="majorEastAsia" w:eastAsiaTheme="majorEastAsia" w:cstheme="majorEastAsia"/>
                <w:color w:val="000000"/>
                <w:kern w:val="0"/>
                <w:sz w:val="22"/>
                <w:szCs w:val="22"/>
                <w:highlight w:val="none"/>
                <w:lang w:bidi="ar"/>
              </w:rPr>
            </w:pPr>
            <w:r>
              <w:rPr>
                <w:rFonts w:hint="eastAsia" w:asciiTheme="majorEastAsia" w:hAnsiTheme="majorEastAsia" w:eastAsiaTheme="majorEastAsia" w:cstheme="majorEastAsia"/>
                <w:color w:val="000000"/>
                <w:kern w:val="0"/>
                <w:sz w:val="22"/>
                <w:szCs w:val="22"/>
                <w:highlight w:val="none"/>
                <w:lang w:bidi="ar"/>
              </w:rPr>
              <w:t>合计</w:t>
            </w:r>
          </w:p>
        </w:tc>
        <w:tc>
          <w:tcPr>
            <w:tcW w:w="4678" w:type="pct"/>
            <w:gridSpan w:val="9"/>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both"/>
              <w:textAlignment w:val="center"/>
              <w:rPr>
                <w:rFonts w:hint="eastAsia" w:asciiTheme="majorEastAsia" w:hAnsiTheme="majorEastAsia" w:eastAsiaTheme="majorEastAsia" w:cstheme="majorEastAsia"/>
                <w:color w:val="000000"/>
                <w:sz w:val="22"/>
                <w:szCs w:val="22"/>
                <w:highlight w:val="none"/>
              </w:rPr>
            </w:pPr>
            <w:r>
              <w:rPr>
                <w:rFonts w:hint="eastAsia" w:asciiTheme="majorEastAsia" w:hAnsiTheme="majorEastAsia" w:eastAsiaTheme="majorEastAsia" w:cstheme="majorEastAsia"/>
                <w:b/>
                <w:bCs/>
                <w:color w:val="000000"/>
                <w:kern w:val="0"/>
                <w:sz w:val="22"/>
                <w:szCs w:val="22"/>
                <w:highlight w:val="none"/>
                <w:lang w:bidi="ar"/>
              </w:rPr>
              <w:t>合同总额（大、小写）：</w:t>
            </w:r>
            <w:r>
              <w:rPr>
                <w:rFonts w:hint="eastAsia" w:asciiTheme="majorEastAsia" w:hAnsiTheme="majorEastAsia" w:eastAsiaTheme="majorEastAsia" w:cstheme="majorEastAsia"/>
                <w:b/>
                <w:bCs/>
                <w:kern w:val="0"/>
                <w:sz w:val="22"/>
                <w:szCs w:val="22"/>
                <w:highlight w:val="none"/>
                <w:lang w:bidi="ar"/>
              </w:rPr>
              <w:t>大写：</w:t>
            </w:r>
            <w:r>
              <w:rPr>
                <w:rFonts w:hint="eastAsia" w:asciiTheme="majorEastAsia" w:hAnsiTheme="majorEastAsia" w:eastAsiaTheme="majorEastAsia" w:cstheme="majorEastAsia"/>
                <w:highlight w:val="none"/>
                <w:lang w:val="en-US" w:eastAsia="zh-CN"/>
              </w:rPr>
              <w:t>*******</w:t>
            </w:r>
            <w:r>
              <w:rPr>
                <w:rFonts w:hint="eastAsia" w:asciiTheme="majorEastAsia" w:hAnsiTheme="majorEastAsia" w:eastAsiaTheme="majorEastAsia" w:cstheme="majorEastAsia"/>
                <w:b/>
                <w:bCs/>
                <w:kern w:val="0"/>
                <w:sz w:val="22"/>
                <w:szCs w:val="22"/>
                <w:highlight w:val="none"/>
                <w:lang w:bidi="ar"/>
              </w:rPr>
              <w:t xml:space="preserve">      </w:t>
            </w:r>
            <w:r>
              <w:rPr>
                <w:rFonts w:hint="eastAsia" w:asciiTheme="majorEastAsia" w:hAnsiTheme="majorEastAsia" w:eastAsiaTheme="majorEastAsia" w:cstheme="majorEastAsia"/>
                <w:b/>
                <w:bCs/>
                <w:kern w:val="0"/>
                <w:sz w:val="22"/>
                <w:szCs w:val="22"/>
                <w:highlight w:val="none"/>
                <w:lang w:val="en-US" w:eastAsia="zh-CN" w:bidi="ar"/>
              </w:rPr>
              <w:t xml:space="preserve">        </w:t>
            </w:r>
            <w:r>
              <w:rPr>
                <w:rFonts w:hint="eastAsia" w:asciiTheme="majorEastAsia" w:hAnsiTheme="majorEastAsia" w:eastAsiaTheme="majorEastAsia" w:cstheme="majorEastAsia"/>
                <w:b/>
                <w:bCs/>
                <w:kern w:val="0"/>
                <w:sz w:val="22"/>
                <w:szCs w:val="22"/>
                <w:highlight w:val="none"/>
                <w:lang w:bidi="ar"/>
              </w:rPr>
              <w:t xml:space="preserve">    小写：</w:t>
            </w:r>
            <w:r>
              <w:rPr>
                <w:rFonts w:hint="eastAsia" w:asciiTheme="majorEastAsia" w:hAnsiTheme="majorEastAsia" w:eastAsiaTheme="majorEastAsia" w:cstheme="majorEastAsia"/>
                <w:highlight w:val="none"/>
                <w:lang w:val="en-US" w:eastAsia="zh-CN"/>
              </w:rPr>
              <w:t>*******</w:t>
            </w:r>
            <w:r>
              <w:rPr>
                <w:rFonts w:hint="eastAsia" w:asciiTheme="majorEastAsia" w:hAnsiTheme="majorEastAsia" w:eastAsiaTheme="majorEastAsia" w:cstheme="majorEastAsia"/>
                <w:b/>
                <w:bCs/>
                <w:kern w:val="0"/>
                <w:sz w:val="22"/>
                <w:szCs w:val="22"/>
                <w:highlight w:val="none"/>
                <w:lang w:bidi="ar"/>
              </w:rPr>
              <w:t xml:space="preserve">元   </w:t>
            </w:r>
            <w:r>
              <w:rPr>
                <w:rFonts w:hint="eastAsia" w:asciiTheme="majorEastAsia" w:hAnsiTheme="majorEastAsia" w:eastAsiaTheme="majorEastAsia" w:cstheme="majorEastAsia"/>
                <w:b/>
                <w:bCs/>
                <w:color w:val="0000FF"/>
                <w:kern w:val="0"/>
                <w:sz w:val="22"/>
                <w:szCs w:val="22"/>
                <w:highlight w:val="none"/>
                <w:lang w:bidi="ar"/>
              </w:rPr>
              <w:t xml:space="preserve"> </w:t>
            </w:r>
          </w:p>
        </w:tc>
      </w:tr>
    </w:tbl>
    <w:p>
      <w:pPr>
        <w:widowControl/>
        <w:jc w:val="left"/>
        <w:rPr>
          <w:rFonts w:hint="eastAsia" w:asciiTheme="majorEastAsia" w:hAnsiTheme="majorEastAsia" w:eastAsiaTheme="majorEastAsia" w:cstheme="majorEastAsia"/>
          <w:highlight w:val="none"/>
        </w:rPr>
      </w:pPr>
      <w:r>
        <w:rPr>
          <w:rFonts w:hint="eastAsia" w:asciiTheme="majorEastAsia" w:hAnsiTheme="majorEastAsia" w:eastAsiaTheme="majorEastAsia" w:cstheme="majorEastAsia"/>
          <w:color w:val="000000"/>
          <w:kern w:val="0"/>
          <w:sz w:val="24"/>
          <w:highlight w:val="none"/>
          <w:lang w:bidi="ar"/>
        </w:rPr>
        <w:t xml:space="preserve"> </w:t>
      </w:r>
    </w:p>
    <w:p>
      <w:pPr>
        <w:widowControl/>
        <w:spacing w:line="360" w:lineRule="auto"/>
        <w:ind w:firstLine="480" w:firstLineChars="200"/>
        <w:jc w:val="left"/>
        <w:rPr>
          <w:rFonts w:hint="eastAsia" w:asciiTheme="majorEastAsia" w:hAnsiTheme="majorEastAsia" w:eastAsiaTheme="majorEastAsia" w:cstheme="majorEastAsia"/>
          <w:highlight w:val="none"/>
        </w:rPr>
      </w:pPr>
      <w:r>
        <w:rPr>
          <w:rFonts w:hint="eastAsia" w:asciiTheme="majorEastAsia" w:hAnsiTheme="majorEastAsia" w:eastAsiaTheme="majorEastAsia" w:cstheme="majorEastAsia"/>
          <w:color w:val="000000"/>
          <w:kern w:val="0"/>
          <w:sz w:val="24"/>
          <w:highlight w:val="none"/>
          <w:lang w:bidi="ar"/>
        </w:rPr>
        <w:t>1.1 合同总额包括货物清单所有产品的运输费用、运输保险费、外包装清理费、装卸费、安装费、调试费、技术指导费、技术培训费、质保金、服务费、各项税费及合同实施过程中的不可预见费用等。</w:t>
      </w:r>
    </w:p>
    <w:p>
      <w:pPr>
        <w:widowControl/>
        <w:spacing w:line="360" w:lineRule="auto"/>
        <w:ind w:firstLine="480" w:firstLineChars="200"/>
        <w:jc w:val="left"/>
        <w:rPr>
          <w:rFonts w:hint="eastAsia" w:asciiTheme="majorEastAsia" w:hAnsiTheme="majorEastAsia" w:eastAsiaTheme="majorEastAsia" w:cstheme="majorEastAsia"/>
          <w:highlight w:val="none"/>
        </w:rPr>
      </w:pPr>
      <w:r>
        <w:rPr>
          <w:rFonts w:hint="eastAsia" w:asciiTheme="majorEastAsia" w:hAnsiTheme="majorEastAsia" w:eastAsiaTheme="majorEastAsia" w:cstheme="majorEastAsia"/>
          <w:color w:val="000000"/>
          <w:kern w:val="0"/>
          <w:sz w:val="24"/>
          <w:highlight w:val="none"/>
          <w:lang w:bidi="ar"/>
        </w:rPr>
        <w:t xml:space="preserve">1.2 乙方所供货物的质量必须同时符合国家强制标准、符合招投标文件的规定。 </w:t>
      </w:r>
    </w:p>
    <w:p>
      <w:pPr>
        <w:widowControl/>
        <w:spacing w:line="360" w:lineRule="auto"/>
        <w:ind w:firstLine="480" w:firstLineChars="200"/>
        <w:jc w:val="left"/>
        <w:rPr>
          <w:rFonts w:hint="eastAsia" w:asciiTheme="majorEastAsia" w:hAnsiTheme="majorEastAsia" w:eastAsiaTheme="majorEastAsia" w:cstheme="majorEastAsia"/>
          <w:highlight w:val="none"/>
        </w:rPr>
      </w:pPr>
      <w:r>
        <w:rPr>
          <w:rFonts w:hint="eastAsia" w:asciiTheme="majorEastAsia" w:hAnsiTheme="majorEastAsia" w:eastAsiaTheme="majorEastAsia" w:cstheme="majorEastAsia"/>
          <w:color w:val="000000"/>
          <w:kern w:val="0"/>
          <w:sz w:val="24"/>
          <w:highlight w:val="none"/>
          <w:lang w:bidi="ar"/>
        </w:rPr>
        <w:t xml:space="preserve">1.3 乙方所供的全部货物必须为原厂、全新、质量合格的产品；主机、配件、备件、附件、耗材及其零部件不能有以次充好、翻新、返修、质量不合格的产品。乙方对所供货物的质量负全责。 </w:t>
      </w:r>
    </w:p>
    <w:p>
      <w:pPr>
        <w:widowControl/>
        <w:spacing w:line="360" w:lineRule="auto"/>
        <w:ind w:firstLine="480" w:firstLineChars="200"/>
        <w:jc w:val="left"/>
        <w:rPr>
          <w:rFonts w:hint="eastAsia" w:asciiTheme="majorEastAsia" w:hAnsiTheme="majorEastAsia" w:eastAsiaTheme="majorEastAsia" w:cstheme="majorEastAsia"/>
          <w:highlight w:val="none"/>
        </w:rPr>
      </w:pPr>
      <w:r>
        <w:rPr>
          <w:rFonts w:hint="eastAsia" w:asciiTheme="majorEastAsia" w:hAnsiTheme="majorEastAsia" w:eastAsiaTheme="majorEastAsia" w:cstheme="majorEastAsia"/>
          <w:color w:val="000000"/>
          <w:kern w:val="0"/>
          <w:sz w:val="24"/>
          <w:highlight w:val="none"/>
          <w:lang w:bidi="ar"/>
        </w:rPr>
        <w:t>1.4 乙方负责所供货物的运输、装卸、验收前的保管、安装、调试、质保服务（包括但不限于维保修、故障排除、更换零部件、重新供货、退货等）、对甲方人员的培训。</w:t>
      </w:r>
    </w:p>
    <w:p>
      <w:pPr>
        <w:widowControl/>
        <w:spacing w:line="360" w:lineRule="auto"/>
        <w:jc w:val="left"/>
        <w:rPr>
          <w:rFonts w:hint="eastAsia" w:asciiTheme="majorEastAsia" w:hAnsiTheme="majorEastAsia" w:eastAsiaTheme="majorEastAsia" w:cstheme="majorEastAsia"/>
          <w:highlight w:val="none"/>
        </w:rPr>
      </w:pPr>
      <w:r>
        <w:rPr>
          <w:rFonts w:hint="eastAsia" w:asciiTheme="majorEastAsia" w:hAnsiTheme="majorEastAsia" w:eastAsiaTheme="majorEastAsia" w:cstheme="majorEastAsia"/>
          <w:color w:val="000000"/>
          <w:kern w:val="0"/>
          <w:sz w:val="24"/>
          <w:highlight w:val="none"/>
          <w:lang w:bidi="ar"/>
        </w:rPr>
        <w:t xml:space="preserve">2. 质保期及售后服务要求 </w:t>
      </w:r>
    </w:p>
    <w:p>
      <w:pPr>
        <w:widowControl/>
        <w:spacing w:line="360" w:lineRule="auto"/>
        <w:ind w:firstLine="480" w:firstLineChars="200"/>
        <w:jc w:val="left"/>
        <w:rPr>
          <w:rFonts w:hint="eastAsia" w:asciiTheme="majorEastAsia" w:hAnsiTheme="majorEastAsia" w:eastAsiaTheme="majorEastAsia" w:cstheme="majorEastAsia"/>
          <w:highlight w:val="none"/>
        </w:rPr>
      </w:pPr>
      <w:r>
        <w:rPr>
          <w:rFonts w:hint="eastAsia" w:asciiTheme="majorEastAsia" w:hAnsiTheme="majorEastAsia" w:eastAsiaTheme="majorEastAsia" w:cstheme="majorEastAsia"/>
          <w:color w:val="000000"/>
          <w:kern w:val="0"/>
          <w:sz w:val="24"/>
          <w:highlight w:val="none"/>
          <w:lang w:bidi="ar"/>
        </w:rPr>
        <w:t>2.1 本合同整体设备的质量保证期为自甲方验收合格之日</w:t>
      </w:r>
      <w:r>
        <w:rPr>
          <w:rFonts w:hint="eastAsia" w:asciiTheme="majorEastAsia" w:hAnsiTheme="majorEastAsia" w:eastAsiaTheme="majorEastAsia" w:cstheme="majorEastAsia"/>
          <w:kern w:val="0"/>
          <w:sz w:val="24"/>
          <w:highlight w:val="none"/>
          <w:lang w:bidi="ar"/>
        </w:rPr>
        <w:t>起</w:t>
      </w:r>
      <w:r>
        <w:rPr>
          <w:rFonts w:hint="eastAsia" w:asciiTheme="majorEastAsia" w:hAnsiTheme="majorEastAsia" w:eastAsiaTheme="majorEastAsia" w:cstheme="majorEastAsia"/>
          <w:kern w:val="0"/>
          <w:sz w:val="24"/>
          <w:highlight w:val="none"/>
          <w:u w:val="single"/>
          <w:lang w:val="en-US" w:eastAsia="zh-CN" w:bidi="ar"/>
        </w:rPr>
        <w:t>3</w:t>
      </w:r>
      <w:r>
        <w:rPr>
          <w:rFonts w:hint="eastAsia" w:asciiTheme="majorEastAsia" w:hAnsiTheme="majorEastAsia" w:eastAsiaTheme="majorEastAsia" w:cstheme="majorEastAsia"/>
          <w:kern w:val="0"/>
          <w:sz w:val="24"/>
          <w:highlight w:val="none"/>
          <w:lang w:bidi="ar"/>
        </w:rPr>
        <w:t>年（</w:t>
      </w:r>
      <w:r>
        <w:rPr>
          <w:rFonts w:hint="eastAsia" w:asciiTheme="majorEastAsia" w:hAnsiTheme="majorEastAsia" w:eastAsiaTheme="majorEastAsia" w:cstheme="majorEastAsia"/>
          <w:kern w:val="0"/>
          <w:sz w:val="24"/>
          <w:highlight w:val="none"/>
          <w:u w:val="single"/>
          <w:lang w:val="en-US" w:eastAsia="zh-CN" w:bidi="ar"/>
        </w:rPr>
        <w:t>36</w:t>
      </w:r>
      <w:r>
        <w:rPr>
          <w:rFonts w:hint="eastAsia" w:asciiTheme="majorEastAsia" w:hAnsiTheme="majorEastAsia" w:eastAsiaTheme="majorEastAsia" w:cstheme="majorEastAsia"/>
          <w:kern w:val="0"/>
          <w:sz w:val="24"/>
          <w:highlight w:val="none"/>
          <w:lang w:bidi="ar"/>
        </w:rPr>
        <w:t>个月）</w:t>
      </w:r>
      <w:r>
        <w:rPr>
          <w:rFonts w:hint="eastAsia" w:asciiTheme="majorEastAsia" w:hAnsiTheme="majorEastAsia" w:eastAsiaTheme="majorEastAsia" w:cstheme="majorEastAsia"/>
          <w:color w:val="000000"/>
          <w:kern w:val="0"/>
          <w:sz w:val="24"/>
          <w:highlight w:val="none"/>
          <w:lang w:bidi="ar"/>
        </w:rPr>
        <w:t xml:space="preserve">，乙方承诺，质保期内乙方对所供货物实行包修、包换、包退，不收取任何费用。 </w:t>
      </w:r>
    </w:p>
    <w:p>
      <w:pPr>
        <w:widowControl/>
        <w:spacing w:line="360" w:lineRule="auto"/>
        <w:ind w:firstLine="480" w:firstLineChars="200"/>
        <w:jc w:val="left"/>
        <w:rPr>
          <w:rFonts w:hint="eastAsia" w:asciiTheme="majorEastAsia" w:hAnsiTheme="majorEastAsia" w:eastAsiaTheme="majorEastAsia" w:cstheme="majorEastAsia"/>
          <w:highlight w:val="none"/>
        </w:rPr>
      </w:pPr>
      <w:r>
        <w:rPr>
          <w:rFonts w:hint="eastAsia" w:asciiTheme="majorEastAsia" w:hAnsiTheme="majorEastAsia" w:eastAsiaTheme="majorEastAsia" w:cstheme="majorEastAsia"/>
          <w:color w:val="000000"/>
          <w:kern w:val="0"/>
          <w:sz w:val="24"/>
          <w:highlight w:val="none"/>
          <w:lang w:bidi="ar"/>
        </w:rPr>
        <w:t xml:space="preserve">2.2 在质保期内有任何质量问题，乙方在接报后必须无条件予以退换。 </w:t>
      </w:r>
    </w:p>
    <w:p>
      <w:pPr>
        <w:widowControl/>
        <w:spacing w:line="360" w:lineRule="auto"/>
        <w:ind w:firstLine="480" w:firstLineChars="200"/>
        <w:jc w:val="left"/>
        <w:rPr>
          <w:rFonts w:hint="eastAsia" w:asciiTheme="majorEastAsia" w:hAnsiTheme="majorEastAsia" w:eastAsiaTheme="majorEastAsia" w:cstheme="majorEastAsia"/>
          <w:highlight w:val="none"/>
        </w:rPr>
      </w:pPr>
      <w:r>
        <w:rPr>
          <w:rFonts w:hint="eastAsia" w:asciiTheme="majorEastAsia" w:hAnsiTheme="majorEastAsia" w:eastAsiaTheme="majorEastAsia" w:cstheme="majorEastAsia"/>
          <w:color w:val="000000"/>
          <w:kern w:val="0"/>
          <w:sz w:val="24"/>
          <w:highlight w:val="none"/>
          <w:lang w:bidi="ar"/>
        </w:rPr>
        <w:t>2.3 乙方在接到甲方故障通知后，须在</w:t>
      </w:r>
      <w:r>
        <w:rPr>
          <w:rFonts w:hint="eastAsia" w:asciiTheme="majorEastAsia" w:hAnsiTheme="majorEastAsia" w:eastAsiaTheme="majorEastAsia" w:cstheme="majorEastAsia"/>
          <w:color w:val="000000"/>
          <w:kern w:val="0"/>
          <w:sz w:val="24"/>
          <w:highlight w:val="none"/>
          <w:lang w:val="en-US" w:eastAsia="zh-CN" w:bidi="ar"/>
        </w:rPr>
        <w:t>2</w:t>
      </w:r>
      <w:r>
        <w:rPr>
          <w:rFonts w:hint="eastAsia" w:asciiTheme="majorEastAsia" w:hAnsiTheme="majorEastAsia" w:eastAsiaTheme="majorEastAsia" w:cstheme="majorEastAsia"/>
          <w:color w:val="000000"/>
          <w:kern w:val="0"/>
          <w:sz w:val="24"/>
          <w:highlight w:val="none"/>
          <w:lang w:bidi="ar"/>
        </w:rPr>
        <w:t>小时内响应、</w:t>
      </w:r>
      <w:r>
        <w:rPr>
          <w:rFonts w:hint="eastAsia" w:asciiTheme="majorEastAsia" w:hAnsiTheme="majorEastAsia" w:eastAsiaTheme="majorEastAsia" w:cstheme="majorEastAsia"/>
          <w:color w:val="000000"/>
          <w:kern w:val="0"/>
          <w:sz w:val="24"/>
          <w:highlight w:val="none"/>
          <w:lang w:val="en-US" w:eastAsia="zh-CN" w:bidi="ar"/>
        </w:rPr>
        <w:t>24</w:t>
      </w:r>
      <w:r>
        <w:rPr>
          <w:rFonts w:hint="eastAsia" w:asciiTheme="majorEastAsia" w:hAnsiTheme="majorEastAsia" w:eastAsiaTheme="majorEastAsia" w:cstheme="majorEastAsia"/>
          <w:color w:val="000000"/>
          <w:kern w:val="0"/>
          <w:sz w:val="24"/>
          <w:highlight w:val="none"/>
          <w:lang w:bidi="ar"/>
        </w:rPr>
        <w:t xml:space="preserve">小时赶赴现场进行维修。 </w:t>
      </w:r>
    </w:p>
    <w:p>
      <w:pPr>
        <w:widowControl/>
        <w:spacing w:line="360" w:lineRule="auto"/>
        <w:ind w:firstLine="480" w:firstLineChars="200"/>
        <w:jc w:val="left"/>
        <w:rPr>
          <w:rFonts w:hint="eastAsia" w:asciiTheme="majorEastAsia" w:hAnsiTheme="majorEastAsia" w:eastAsiaTheme="majorEastAsia" w:cstheme="majorEastAsia"/>
          <w:highlight w:val="none"/>
        </w:rPr>
      </w:pPr>
      <w:r>
        <w:rPr>
          <w:rFonts w:hint="eastAsia" w:asciiTheme="majorEastAsia" w:hAnsiTheme="majorEastAsia" w:eastAsiaTheme="majorEastAsia" w:cstheme="majorEastAsia"/>
          <w:color w:val="000000"/>
          <w:kern w:val="0"/>
          <w:sz w:val="24"/>
          <w:highlight w:val="none"/>
          <w:lang w:bidi="ar"/>
        </w:rPr>
        <w:t xml:space="preserve">2.4 设备安装现场乙方须对使用人员进行培训，培训人数不限。质保期内乙方履行质保责任不得收费。 </w:t>
      </w:r>
    </w:p>
    <w:p>
      <w:pPr>
        <w:widowControl/>
        <w:spacing w:line="360" w:lineRule="auto"/>
        <w:ind w:firstLine="480" w:firstLineChars="200"/>
        <w:jc w:val="left"/>
        <w:rPr>
          <w:rFonts w:hint="eastAsia" w:asciiTheme="majorEastAsia" w:hAnsiTheme="majorEastAsia" w:eastAsiaTheme="majorEastAsia" w:cstheme="majorEastAsia"/>
          <w:highlight w:val="none"/>
        </w:rPr>
      </w:pPr>
      <w:r>
        <w:rPr>
          <w:rFonts w:hint="eastAsia" w:asciiTheme="majorEastAsia" w:hAnsiTheme="majorEastAsia" w:eastAsiaTheme="majorEastAsia" w:cstheme="majorEastAsia"/>
          <w:color w:val="000000"/>
          <w:kern w:val="0"/>
          <w:sz w:val="24"/>
          <w:highlight w:val="none"/>
          <w:lang w:bidi="ar"/>
        </w:rPr>
        <w:t xml:space="preserve">2.5 质量责任不因本合同的有效期届满、质保期届满而终止、免除。 </w:t>
      </w:r>
    </w:p>
    <w:p>
      <w:pPr>
        <w:widowControl/>
        <w:spacing w:line="360" w:lineRule="auto"/>
        <w:jc w:val="left"/>
        <w:rPr>
          <w:rFonts w:hint="eastAsia" w:asciiTheme="majorEastAsia" w:hAnsiTheme="majorEastAsia" w:eastAsiaTheme="majorEastAsia" w:cstheme="majorEastAsia"/>
          <w:highlight w:val="none"/>
        </w:rPr>
      </w:pPr>
      <w:r>
        <w:rPr>
          <w:rFonts w:hint="eastAsia" w:asciiTheme="majorEastAsia" w:hAnsiTheme="majorEastAsia" w:eastAsiaTheme="majorEastAsia" w:cstheme="majorEastAsia"/>
          <w:color w:val="000000"/>
          <w:kern w:val="0"/>
          <w:sz w:val="24"/>
          <w:highlight w:val="none"/>
          <w:lang w:bidi="ar"/>
        </w:rPr>
        <w:t xml:space="preserve">3.其他服务约定： </w:t>
      </w:r>
    </w:p>
    <w:p>
      <w:pPr>
        <w:widowControl/>
        <w:spacing w:line="360" w:lineRule="auto"/>
        <w:ind w:firstLine="480" w:firstLineChars="200"/>
        <w:jc w:val="left"/>
        <w:rPr>
          <w:rFonts w:hint="eastAsia" w:asciiTheme="majorEastAsia" w:hAnsiTheme="majorEastAsia" w:eastAsiaTheme="majorEastAsia" w:cstheme="majorEastAsia"/>
          <w:highlight w:val="none"/>
        </w:rPr>
      </w:pPr>
      <w:r>
        <w:rPr>
          <w:rFonts w:hint="eastAsia" w:asciiTheme="majorEastAsia" w:hAnsiTheme="majorEastAsia" w:eastAsiaTheme="majorEastAsia" w:cstheme="majorEastAsia"/>
          <w:color w:val="000000"/>
          <w:kern w:val="0"/>
          <w:sz w:val="24"/>
          <w:highlight w:val="none"/>
          <w:lang w:bidi="ar"/>
        </w:rPr>
        <w:t>3.1 乙方在合同签订生效日起</w:t>
      </w:r>
      <w:r>
        <w:rPr>
          <w:rFonts w:hint="eastAsia" w:asciiTheme="majorEastAsia" w:hAnsiTheme="majorEastAsia" w:eastAsiaTheme="majorEastAsia" w:cstheme="majorEastAsia"/>
          <w:kern w:val="0"/>
          <w:sz w:val="24"/>
          <w:highlight w:val="none"/>
          <w:lang w:bidi="ar"/>
        </w:rPr>
        <w:t>30日</w:t>
      </w:r>
      <w:r>
        <w:rPr>
          <w:rFonts w:hint="eastAsia" w:asciiTheme="majorEastAsia" w:hAnsiTheme="majorEastAsia" w:eastAsiaTheme="majorEastAsia" w:cstheme="majorEastAsia"/>
          <w:color w:val="000000"/>
          <w:kern w:val="0"/>
          <w:sz w:val="24"/>
          <w:highlight w:val="none"/>
          <w:lang w:bidi="ar"/>
        </w:rPr>
        <w:t xml:space="preserve">历天内完成交货并安装调试； </w:t>
      </w:r>
    </w:p>
    <w:p>
      <w:pPr>
        <w:widowControl/>
        <w:spacing w:line="360" w:lineRule="auto"/>
        <w:ind w:firstLine="480" w:firstLineChars="200"/>
        <w:jc w:val="left"/>
        <w:rPr>
          <w:rFonts w:hint="eastAsia" w:asciiTheme="majorEastAsia" w:hAnsiTheme="majorEastAsia" w:eastAsiaTheme="majorEastAsia" w:cstheme="majorEastAsia"/>
          <w:highlight w:val="none"/>
        </w:rPr>
      </w:pPr>
      <w:r>
        <w:rPr>
          <w:rFonts w:hint="eastAsia" w:asciiTheme="majorEastAsia" w:hAnsiTheme="majorEastAsia" w:eastAsiaTheme="majorEastAsia" w:cstheme="majorEastAsia"/>
          <w:color w:val="000000"/>
          <w:kern w:val="0"/>
          <w:sz w:val="24"/>
          <w:highlight w:val="none"/>
          <w:lang w:bidi="ar"/>
        </w:rPr>
        <w:t xml:space="preserve">3.2 交货地点：甲方指定处。 </w:t>
      </w:r>
    </w:p>
    <w:p>
      <w:pPr>
        <w:widowControl/>
        <w:spacing w:line="360" w:lineRule="auto"/>
        <w:ind w:firstLine="480" w:firstLineChars="200"/>
        <w:jc w:val="left"/>
        <w:rPr>
          <w:rFonts w:hint="eastAsia" w:asciiTheme="majorEastAsia" w:hAnsiTheme="majorEastAsia" w:eastAsiaTheme="majorEastAsia" w:cstheme="majorEastAsia"/>
          <w:highlight w:val="none"/>
        </w:rPr>
      </w:pPr>
      <w:r>
        <w:rPr>
          <w:rFonts w:hint="eastAsia" w:asciiTheme="majorEastAsia" w:hAnsiTheme="majorEastAsia" w:eastAsiaTheme="majorEastAsia" w:cstheme="majorEastAsia"/>
          <w:color w:val="000000"/>
          <w:kern w:val="0"/>
          <w:sz w:val="24"/>
          <w:highlight w:val="none"/>
          <w:lang w:bidi="ar"/>
        </w:rPr>
        <w:t xml:space="preserve">3.3乙方按照合同规定将货物送达甲方指定地点后，由甲乙双方现场核查、清点，符合合同约定的进场要求，否则甲方有权拒绝，并要求乙方重新供货；货物在运输途中、装卸过程中、安装调试及试运行过程中发生毁损、灭失的风险由乙方承担；货物经现场核查、清点合格后方可进行装卸、安装、调试、试运行等，安装调试及试运行期间货物由乙方保管并承担费用，甲方提供场地；试运行期至少为 15 天，经试运行合格后双方共同对货物进行最终验收，验收合格后所有权及风险转移至甲方，验收不合格的乙方负责更换并承担费用，直至验收合格。 </w:t>
      </w:r>
    </w:p>
    <w:p>
      <w:pPr>
        <w:widowControl/>
        <w:spacing w:line="360" w:lineRule="auto"/>
        <w:ind w:firstLine="480" w:firstLineChars="200"/>
        <w:jc w:val="left"/>
        <w:rPr>
          <w:rFonts w:hint="eastAsia" w:asciiTheme="majorEastAsia" w:hAnsiTheme="majorEastAsia" w:eastAsiaTheme="majorEastAsia" w:cstheme="majorEastAsia"/>
          <w:highlight w:val="none"/>
        </w:rPr>
      </w:pPr>
      <w:r>
        <w:rPr>
          <w:rFonts w:hint="eastAsia" w:asciiTheme="majorEastAsia" w:hAnsiTheme="majorEastAsia" w:eastAsiaTheme="majorEastAsia" w:cstheme="majorEastAsia"/>
          <w:color w:val="000000"/>
          <w:kern w:val="0"/>
          <w:sz w:val="24"/>
          <w:highlight w:val="none"/>
          <w:lang w:bidi="ar"/>
        </w:rPr>
        <w:t>4.乙方保证按照合同及招标文件、投标文件、采购相关文件的规定向甲方提供全部的货物、验收、服务、</w:t>
      </w:r>
      <w:r>
        <w:rPr>
          <w:rFonts w:hint="eastAsia" w:asciiTheme="majorEastAsia" w:hAnsiTheme="majorEastAsia" w:eastAsiaTheme="majorEastAsia" w:cstheme="majorEastAsia"/>
          <w:color w:val="000000"/>
          <w:kern w:val="0"/>
          <w:sz w:val="24"/>
          <w:highlight w:val="none"/>
          <w:lang w:eastAsia="zh-CN" w:bidi="ar"/>
        </w:rPr>
        <w:t>维修</w:t>
      </w:r>
      <w:r>
        <w:rPr>
          <w:rFonts w:hint="eastAsia" w:asciiTheme="majorEastAsia" w:hAnsiTheme="majorEastAsia" w:eastAsiaTheme="majorEastAsia" w:cstheme="majorEastAsia"/>
          <w:color w:val="000000"/>
          <w:kern w:val="0"/>
          <w:sz w:val="24"/>
          <w:highlight w:val="none"/>
          <w:lang w:bidi="ar"/>
        </w:rPr>
        <w:t xml:space="preserve">等，并在质量保证期内承担货物质量保证责任。乙方履行合同义务后，甲方按照本合同规定向乙方支付款项。 </w:t>
      </w:r>
    </w:p>
    <w:p>
      <w:pPr>
        <w:widowControl/>
        <w:spacing w:line="360" w:lineRule="auto"/>
        <w:jc w:val="left"/>
        <w:rPr>
          <w:rFonts w:hint="eastAsia" w:asciiTheme="majorEastAsia" w:hAnsiTheme="majorEastAsia" w:eastAsiaTheme="majorEastAsia" w:cstheme="majorEastAsia"/>
          <w:highlight w:val="none"/>
        </w:rPr>
      </w:pPr>
      <w:r>
        <w:rPr>
          <w:rFonts w:hint="eastAsia" w:asciiTheme="majorEastAsia" w:hAnsiTheme="majorEastAsia" w:eastAsiaTheme="majorEastAsia" w:cstheme="majorEastAsia"/>
          <w:b/>
          <w:bCs/>
          <w:color w:val="000000"/>
          <w:kern w:val="0"/>
          <w:sz w:val="24"/>
          <w:highlight w:val="none"/>
          <w:lang w:bidi="ar"/>
        </w:rPr>
        <w:t>二</w:t>
      </w:r>
      <w:r>
        <w:rPr>
          <w:rFonts w:hint="eastAsia" w:asciiTheme="majorEastAsia" w:hAnsiTheme="majorEastAsia" w:eastAsiaTheme="majorEastAsia" w:cstheme="majorEastAsia"/>
          <w:b/>
          <w:bCs/>
          <w:color w:val="000000"/>
          <w:kern w:val="0"/>
          <w:sz w:val="28"/>
          <w:szCs w:val="28"/>
          <w:highlight w:val="none"/>
          <w:lang w:bidi="ar"/>
        </w:rPr>
        <w:t xml:space="preserve">、合同通用条款 </w:t>
      </w:r>
    </w:p>
    <w:p>
      <w:pPr>
        <w:widowControl/>
        <w:spacing w:line="360" w:lineRule="auto"/>
        <w:ind w:firstLine="482" w:firstLineChars="200"/>
        <w:jc w:val="left"/>
        <w:rPr>
          <w:rFonts w:hint="eastAsia" w:asciiTheme="majorEastAsia" w:hAnsiTheme="majorEastAsia" w:eastAsiaTheme="majorEastAsia" w:cstheme="majorEastAsia"/>
          <w:highlight w:val="none"/>
        </w:rPr>
      </w:pPr>
      <w:r>
        <w:rPr>
          <w:rFonts w:hint="eastAsia" w:asciiTheme="majorEastAsia" w:hAnsiTheme="majorEastAsia" w:eastAsiaTheme="majorEastAsia" w:cstheme="majorEastAsia"/>
          <w:b/>
          <w:bCs/>
          <w:color w:val="000000"/>
          <w:kern w:val="0"/>
          <w:sz w:val="24"/>
          <w:highlight w:val="none"/>
          <w:lang w:bidi="ar"/>
        </w:rPr>
        <w:t xml:space="preserve">1. 定义 </w:t>
      </w:r>
    </w:p>
    <w:p>
      <w:pPr>
        <w:widowControl/>
        <w:spacing w:line="360" w:lineRule="auto"/>
        <w:ind w:firstLine="480" w:firstLineChars="200"/>
        <w:jc w:val="left"/>
        <w:rPr>
          <w:rFonts w:hint="eastAsia" w:asciiTheme="majorEastAsia" w:hAnsiTheme="majorEastAsia" w:eastAsiaTheme="majorEastAsia" w:cstheme="majorEastAsia"/>
          <w:highlight w:val="none"/>
        </w:rPr>
      </w:pPr>
      <w:r>
        <w:rPr>
          <w:rFonts w:hint="eastAsia" w:asciiTheme="majorEastAsia" w:hAnsiTheme="majorEastAsia" w:eastAsiaTheme="majorEastAsia" w:cstheme="majorEastAsia"/>
          <w:color w:val="000000"/>
          <w:kern w:val="0"/>
          <w:sz w:val="24"/>
          <w:highlight w:val="none"/>
          <w:lang w:bidi="ar"/>
        </w:rPr>
        <w:t xml:space="preserve">1.1 本合同下列术语应解释为： </w:t>
      </w:r>
    </w:p>
    <w:p>
      <w:pPr>
        <w:widowControl/>
        <w:spacing w:line="360" w:lineRule="auto"/>
        <w:ind w:firstLine="480" w:firstLineChars="200"/>
        <w:jc w:val="left"/>
        <w:rPr>
          <w:rFonts w:hint="eastAsia" w:asciiTheme="majorEastAsia" w:hAnsiTheme="majorEastAsia" w:eastAsiaTheme="majorEastAsia" w:cstheme="majorEastAsia"/>
          <w:highlight w:val="none"/>
        </w:rPr>
      </w:pPr>
      <w:r>
        <w:rPr>
          <w:rFonts w:hint="eastAsia" w:asciiTheme="majorEastAsia" w:hAnsiTheme="majorEastAsia" w:eastAsiaTheme="majorEastAsia" w:cstheme="majorEastAsia"/>
          <w:color w:val="000000"/>
          <w:kern w:val="0"/>
          <w:sz w:val="24"/>
          <w:highlight w:val="none"/>
          <w:lang w:bidi="ar"/>
        </w:rPr>
        <w:t xml:space="preserve">1)“合同”系指采购方（以下简称甲方）及中标方（以下简称乙方）双方签署的、合同格式中载明的甲乙双方所达成的协议，包括所有的附件、附录和上述文件所提到的构成合同的所有文件。 </w:t>
      </w:r>
    </w:p>
    <w:p>
      <w:pPr>
        <w:widowControl/>
        <w:spacing w:line="360" w:lineRule="auto"/>
        <w:ind w:firstLine="480" w:firstLineChars="200"/>
        <w:jc w:val="left"/>
        <w:rPr>
          <w:rFonts w:hint="eastAsia" w:asciiTheme="majorEastAsia" w:hAnsiTheme="majorEastAsia" w:eastAsiaTheme="majorEastAsia" w:cstheme="majorEastAsia"/>
          <w:highlight w:val="none"/>
        </w:rPr>
      </w:pPr>
      <w:r>
        <w:rPr>
          <w:rFonts w:hint="eastAsia" w:asciiTheme="majorEastAsia" w:hAnsiTheme="majorEastAsia" w:eastAsiaTheme="majorEastAsia" w:cstheme="majorEastAsia"/>
          <w:color w:val="000000"/>
          <w:kern w:val="0"/>
          <w:sz w:val="24"/>
          <w:highlight w:val="none"/>
          <w:lang w:bidi="ar"/>
        </w:rPr>
        <w:t>2）“合同价”系指根据本合同规定乙方在正确地完全履行合同义务后甲方应支付给乙方得价款。</w:t>
      </w:r>
    </w:p>
    <w:p>
      <w:pPr>
        <w:widowControl/>
        <w:spacing w:line="360" w:lineRule="auto"/>
        <w:ind w:firstLine="480" w:firstLineChars="200"/>
        <w:jc w:val="left"/>
        <w:rPr>
          <w:rFonts w:hint="eastAsia" w:asciiTheme="majorEastAsia" w:hAnsiTheme="majorEastAsia" w:eastAsiaTheme="majorEastAsia" w:cstheme="majorEastAsia"/>
          <w:highlight w:val="none"/>
        </w:rPr>
      </w:pPr>
      <w:r>
        <w:rPr>
          <w:rFonts w:hint="eastAsia" w:asciiTheme="majorEastAsia" w:hAnsiTheme="majorEastAsia" w:eastAsiaTheme="majorEastAsia" w:cstheme="majorEastAsia"/>
          <w:color w:val="000000"/>
          <w:kern w:val="0"/>
          <w:sz w:val="24"/>
          <w:highlight w:val="none"/>
          <w:lang w:bidi="ar"/>
        </w:rPr>
        <w:t xml:space="preserve">3）“货物”指乙方按合同要求，向甲方提供的一切设备、机械、仪器、备件、工具、手册及有关技术资料和材料。 </w:t>
      </w:r>
    </w:p>
    <w:p>
      <w:pPr>
        <w:widowControl/>
        <w:spacing w:line="360" w:lineRule="auto"/>
        <w:ind w:firstLine="480" w:firstLineChars="200"/>
        <w:jc w:val="left"/>
        <w:rPr>
          <w:rFonts w:hint="eastAsia" w:asciiTheme="majorEastAsia" w:hAnsiTheme="majorEastAsia" w:eastAsiaTheme="majorEastAsia" w:cstheme="majorEastAsia"/>
          <w:highlight w:val="none"/>
        </w:rPr>
      </w:pPr>
      <w:r>
        <w:rPr>
          <w:rFonts w:hint="eastAsia" w:asciiTheme="majorEastAsia" w:hAnsiTheme="majorEastAsia" w:eastAsiaTheme="majorEastAsia" w:cstheme="majorEastAsia"/>
          <w:color w:val="000000"/>
          <w:kern w:val="0"/>
          <w:sz w:val="24"/>
          <w:highlight w:val="none"/>
          <w:lang w:bidi="ar"/>
        </w:rPr>
        <w:t xml:space="preserve">4）“服务”指合同规定乙方需承担的运输、保险、安装、试验、调试、技术协助、校准、培训、质量保证以及其他类似的义务。 </w:t>
      </w:r>
    </w:p>
    <w:p>
      <w:pPr>
        <w:widowControl/>
        <w:spacing w:line="360" w:lineRule="auto"/>
        <w:ind w:firstLine="480" w:firstLineChars="200"/>
        <w:jc w:val="left"/>
        <w:rPr>
          <w:rFonts w:hint="eastAsia" w:asciiTheme="majorEastAsia" w:hAnsiTheme="majorEastAsia" w:eastAsiaTheme="majorEastAsia" w:cstheme="majorEastAsia"/>
          <w:highlight w:val="none"/>
        </w:rPr>
      </w:pPr>
      <w:r>
        <w:rPr>
          <w:rFonts w:hint="eastAsia" w:asciiTheme="majorEastAsia" w:hAnsiTheme="majorEastAsia" w:eastAsiaTheme="majorEastAsia" w:cstheme="majorEastAsia"/>
          <w:color w:val="000000"/>
          <w:kern w:val="0"/>
          <w:sz w:val="24"/>
          <w:highlight w:val="none"/>
          <w:lang w:bidi="ar"/>
        </w:rPr>
        <w:t xml:space="preserve">5）“合同条款”系指本合同条款。 </w:t>
      </w:r>
    </w:p>
    <w:p>
      <w:pPr>
        <w:widowControl/>
        <w:spacing w:line="360" w:lineRule="auto"/>
        <w:ind w:firstLine="480" w:firstLineChars="200"/>
        <w:jc w:val="left"/>
        <w:rPr>
          <w:rFonts w:hint="eastAsia" w:asciiTheme="majorEastAsia" w:hAnsiTheme="majorEastAsia" w:eastAsiaTheme="majorEastAsia" w:cstheme="majorEastAsia"/>
          <w:highlight w:val="none"/>
        </w:rPr>
      </w:pPr>
      <w:r>
        <w:rPr>
          <w:rFonts w:hint="eastAsia" w:asciiTheme="majorEastAsia" w:hAnsiTheme="majorEastAsia" w:eastAsiaTheme="majorEastAsia" w:cstheme="majorEastAsia"/>
          <w:color w:val="000000"/>
          <w:kern w:val="0"/>
          <w:sz w:val="24"/>
          <w:highlight w:val="none"/>
          <w:lang w:bidi="ar"/>
        </w:rPr>
        <w:t xml:space="preserve">6）“甲方”系指在合同专用条款中指明的购买货物和服务的单位。 </w:t>
      </w:r>
    </w:p>
    <w:p>
      <w:pPr>
        <w:widowControl/>
        <w:spacing w:line="360" w:lineRule="auto"/>
        <w:ind w:firstLine="480" w:firstLineChars="200"/>
        <w:jc w:val="left"/>
        <w:rPr>
          <w:rFonts w:hint="eastAsia" w:asciiTheme="majorEastAsia" w:hAnsiTheme="majorEastAsia" w:eastAsiaTheme="majorEastAsia" w:cstheme="majorEastAsia"/>
          <w:highlight w:val="none"/>
        </w:rPr>
      </w:pPr>
      <w:r>
        <w:rPr>
          <w:rFonts w:hint="eastAsia" w:asciiTheme="majorEastAsia" w:hAnsiTheme="majorEastAsia" w:eastAsiaTheme="majorEastAsia" w:cstheme="majorEastAsia"/>
          <w:color w:val="000000"/>
          <w:kern w:val="0"/>
          <w:sz w:val="24"/>
          <w:highlight w:val="none"/>
          <w:lang w:bidi="ar"/>
        </w:rPr>
        <w:t>7）“乙方”系指在合同专用条款中指明的提供合同项下货物和服务的公司或其他实体。</w:t>
      </w:r>
    </w:p>
    <w:p>
      <w:pPr>
        <w:widowControl/>
        <w:spacing w:line="360" w:lineRule="auto"/>
        <w:ind w:firstLine="480" w:firstLineChars="200"/>
        <w:jc w:val="left"/>
        <w:rPr>
          <w:rFonts w:hint="eastAsia" w:asciiTheme="majorEastAsia" w:hAnsiTheme="majorEastAsia" w:eastAsiaTheme="majorEastAsia" w:cstheme="majorEastAsia"/>
          <w:highlight w:val="none"/>
        </w:rPr>
      </w:pPr>
      <w:r>
        <w:rPr>
          <w:rFonts w:hint="eastAsia" w:asciiTheme="majorEastAsia" w:hAnsiTheme="majorEastAsia" w:eastAsiaTheme="majorEastAsia" w:cstheme="majorEastAsia"/>
          <w:color w:val="000000"/>
          <w:kern w:val="0"/>
          <w:sz w:val="24"/>
          <w:highlight w:val="none"/>
          <w:lang w:bidi="ar"/>
        </w:rPr>
        <w:t xml:space="preserve">8）“天”指日历天数。 </w:t>
      </w:r>
    </w:p>
    <w:p>
      <w:pPr>
        <w:widowControl/>
        <w:spacing w:line="360" w:lineRule="auto"/>
        <w:ind w:firstLine="482" w:firstLineChars="200"/>
        <w:jc w:val="left"/>
        <w:rPr>
          <w:rFonts w:hint="eastAsia" w:asciiTheme="majorEastAsia" w:hAnsiTheme="majorEastAsia" w:eastAsiaTheme="majorEastAsia" w:cstheme="majorEastAsia"/>
          <w:highlight w:val="none"/>
        </w:rPr>
      </w:pPr>
      <w:r>
        <w:rPr>
          <w:rFonts w:hint="eastAsia" w:asciiTheme="majorEastAsia" w:hAnsiTheme="majorEastAsia" w:eastAsiaTheme="majorEastAsia" w:cstheme="majorEastAsia"/>
          <w:b/>
          <w:bCs/>
          <w:color w:val="000000"/>
          <w:kern w:val="0"/>
          <w:sz w:val="24"/>
          <w:highlight w:val="none"/>
          <w:lang w:bidi="ar"/>
        </w:rPr>
        <w:t xml:space="preserve">2. 原产地 </w:t>
      </w:r>
    </w:p>
    <w:p>
      <w:pPr>
        <w:widowControl/>
        <w:spacing w:line="360" w:lineRule="auto"/>
        <w:ind w:firstLine="480" w:firstLineChars="200"/>
        <w:jc w:val="left"/>
        <w:rPr>
          <w:rFonts w:hint="eastAsia" w:asciiTheme="majorEastAsia" w:hAnsiTheme="majorEastAsia" w:eastAsiaTheme="majorEastAsia" w:cstheme="majorEastAsia"/>
          <w:highlight w:val="none"/>
        </w:rPr>
      </w:pPr>
      <w:r>
        <w:rPr>
          <w:rFonts w:hint="eastAsia" w:asciiTheme="majorEastAsia" w:hAnsiTheme="majorEastAsia" w:eastAsiaTheme="majorEastAsia" w:cstheme="majorEastAsia"/>
          <w:color w:val="000000"/>
          <w:kern w:val="0"/>
          <w:sz w:val="24"/>
          <w:highlight w:val="none"/>
          <w:lang w:bidi="ar"/>
        </w:rPr>
        <w:t xml:space="preserve">原产地系指货物的开采、生产地，或提供服务的来源地。 </w:t>
      </w:r>
    </w:p>
    <w:p>
      <w:pPr>
        <w:widowControl/>
        <w:spacing w:line="360" w:lineRule="auto"/>
        <w:ind w:firstLine="482" w:firstLineChars="200"/>
        <w:jc w:val="left"/>
        <w:rPr>
          <w:rFonts w:hint="eastAsia" w:asciiTheme="majorEastAsia" w:hAnsiTheme="majorEastAsia" w:eastAsiaTheme="majorEastAsia" w:cstheme="majorEastAsia"/>
          <w:highlight w:val="none"/>
        </w:rPr>
      </w:pPr>
      <w:r>
        <w:rPr>
          <w:rFonts w:hint="eastAsia" w:asciiTheme="majorEastAsia" w:hAnsiTheme="majorEastAsia" w:eastAsiaTheme="majorEastAsia" w:cstheme="majorEastAsia"/>
          <w:b/>
          <w:bCs/>
          <w:color w:val="000000"/>
          <w:kern w:val="0"/>
          <w:sz w:val="24"/>
          <w:highlight w:val="none"/>
          <w:lang w:bidi="ar"/>
        </w:rPr>
        <w:t xml:space="preserve">3. 标准 </w:t>
      </w:r>
    </w:p>
    <w:p>
      <w:pPr>
        <w:widowControl/>
        <w:spacing w:line="360" w:lineRule="auto"/>
        <w:ind w:firstLine="480" w:firstLineChars="200"/>
        <w:jc w:val="left"/>
        <w:rPr>
          <w:rFonts w:hint="eastAsia" w:asciiTheme="majorEastAsia" w:hAnsiTheme="majorEastAsia" w:eastAsiaTheme="majorEastAsia" w:cstheme="majorEastAsia"/>
          <w:highlight w:val="none"/>
        </w:rPr>
      </w:pPr>
      <w:r>
        <w:rPr>
          <w:rFonts w:hint="eastAsia" w:asciiTheme="majorEastAsia" w:hAnsiTheme="majorEastAsia" w:eastAsiaTheme="majorEastAsia" w:cstheme="majorEastAsia"/>
          <w:color w:val="000000"/>
          <w:kern w:val="0"/>
          <w:sz w:val="24"/>
          <w:highlight w:val="none"/>
          <w:lang w:bidi="ar"/>
        </w:rPr>
        <w:t>3.1 本合同下交付的货物符合“技术参数和图纸要求”要求所述的标准，如果没有提及使用标准，则应符合相关的全部国家强制性标准、规范、指南、技术要求所规定的标准；没有国家强制性标准的，适用相关的行业标准、规范、指南、技术要求；没有行业标准的，参照适用国际标准，有多个国际标准的，使用最高的国际标准（由乙方提供）。如果没有提及使用标准，则应符合中华人民共和国有关机构发布的最新版本的标准</w:t>
      </w:r>
      <w:r>
        <w:rPr>
          <w:rFonts w:hint="eastAsia" w:asciiTheme="majorEastAsia" w:hAnsiTheme="majorEastAsia" w:eastAsiaTheme="majorEastAsia" w:cstheme="majorEastAsia"/>
          <w:b/>
          <w:bCs/>
          <w:color w:val="000000"/>
          <w:kern w:val="0"/>
          <w:sz w:val="24"/>
          <w:highlight w:val="none"/>
          <w:lang w:bidi="ar"/>
        </w:rPr>
        <w:t xml:space="preserve">。 </w:t>
      </w:r>
    </w:p>
    <w:p>
      <w:pPr>
        <w:widowControl/>
        <w:spacing w:line="360" w:lineRule="auto"/>
        <w:jc w:val="left"/>
        <w:rPr>
          <w:rFonts w:hint="eastAsia" w:asciiTheme="majorEastAsia" w:hAnsiTheme="majorEastAsia" w:eastAsiaTheme="majorEastAsia" w:cstheme="majorEastAsia"/>
          <w:highlight w:val="none"/>
        </w:rPr>
      </w:pPr>
      <w:r>
        <w:rPr>
          <w:rFonts w:hint="eastAsia" w:asciiTheme="majorEastAsia" w:hAnsiTheme="majorEastAsia" w:eastAsiaTheme="majorEastAsia" w:cstheme="majorEastAsia"/>
          <w:color w:val="000000"/>
          <w:kern w:val="0"/>
          <w:sz w:val="24"/>
          <w:highlight w:val="none"/>
          <w:lang w:bidi="ar"/>
        </w:rPr>
        <w:t xml:space="preserve">3.2 计量单位均采用中华人民共和国法定计量单位。 </w:t>
      </w:r>
    </w:p>
    <w:p>
      <w:pPr>
        <w:widowControl/>
        <w:spacing w:line="360" w:lineRule="auto"/>
        <w:ind w:firstLine="482" w:firstLineChars="200"/>
        <w:jc w:val="left"/>
        <w:rPr>
          <w:rFonts w:hint="eastAsia" w:asciiTheme="majorEastAsia" w:hAnsiTheme="majorEastAsia" w:eastAsiaTheme="majorEastAsia" w:cstheme="majorEastAsia"/>
          <w:highlight w:val="none"/>
        </w:rPr>
      </w:pPr>
      <w:r>
        <w:rPr>
          <w:rFonts w:hint="eastAsia" w:asciiTheme="majorEastAsia" w:hAnsiTheme="majorEastAsia" w:eastAsiaTheme="majorEastAsia" w:cstheme="majorEastAsia"/>
          <w:b/>
          <w:bCs/>
          <w:color w:val="000000"/>
          <w:kern w:val="0"/>
          <w:sz w:val="24"/>
          <w:highlight w:val="none"/>
          <w:lang w:bidi="ar"/>
        </w:rPr>
        <w:t xml:space="preserve">4. 包装要求 </w:t>
      </w:r>
    </w:p>
    <w:p>
      <w:pPr>
        <w:widowControl/>
        <w:spacing w:line="360" w:lineRule="auto"/>
        <w:ind w:firstLine="480" w:firstLineChars="200"/>
        <w:jc w:val="left"/>
        <w:rPr>
          <w:rFonts w:hint="eastAsia" w:asciiTheme="majorEastAsia" w:hAnsiTheme="majorEastAsia" w:eastAsiaTheme="majorEastAsia" w:cstheme="majorEastAsia"/>
          <w:highlight w:val="none"/>
        </w:rPr>
      </w:pPr>
      <w:r>
        <w:rPr>
          <w:rFonts w:hint="eastAsia" w:asciiTheme="majorEastAsia" w:hAnsiTheme="majorEastAsia" w:eastAsiaTheme="majorEastAsia" w:cstheme="majorEastAsia"/>
          <w:color w:val="000000"/>
          <w:kern w:val="0"/>
          <w:sz w:val="24"/>
          <w:highlight w:val="none"/>
          <w:lang w:bidi="ar"/>
        </w:rPr>
        <w:t xml:space="preserve">4.1 乙方所供货，标准原厂出厂包装必须完好、无破损、无污染、无拆封。 </w:t>
      </w:r>
    </w:p>
    <w:p>
      <w:pPr>
        <w:widowControl/>
        <w:spacing w:line="360" w:lineRule="auto"/>
        <w:ind w:firstLine="480" w:firstLineChars="200"/>
        <w:jc w:val="left"/>
        <w:rPr>
          <w:rFonts w:hint="eastAsia" w:asciiTheme="majorEastAsia" w:hAnsiTheme="majorEastAsia" w:eastAsiaTheme="majorEastAsia" w:cstheme="majorEastAsia"/>
          <w:highlight w:val="none"/>
        </w:rPr>
      </w:pPr>
      <w:r>
        <w:rPr>
          <w:rFonts w:hint="eastAsia" w:asciiTheme="majorEastAsia" w:hAnsiTheme="majorEastAsia" w:eastAsiaTheme="majorEastAsia" w:cstheme="majorEastAsia"/>
          <w:color w:val="000000"/>
          <w:kern w:val="0"/>
          <w:sz w:val="24"/>
          <w:highlight w:val="none"/>
          <w:lang w:bidi="ar"/>
        </w:rPr>
        <w:t xml:space="preserve">4.2 乙方所提供的全部货物须另行采用相应标准的保护措施进行包装。这类包装应适于长途运输，并有良好的防潮、防震、防锈和防野蛮装卸等保护措施，以确保货物安全运抵现场。乙方应承担由于其包装不妥而引起货物锈蚀、损坏和丢失的责任。 </w:t>
      </w:r>
    </w:p>
    <w:p>
      <w:pPr>
        <w:widowControl/>
        <w:spacing w:line="360" w:lineRule="auto"/>
        <w:ind w:firstLine="480" w:firstLineChars="200"/>
        <w:jc w:val="left"/>
        <w:rPr>
          <w:rFonts w:hint="eastAsia" w:asciiTheme="majorEastAsia" w:hAnsiTheme="majorEastAsia" w:eastAsiaTheme="majorEastAsia" w:cstheme="majorEastAsia"/>
          <w:highlight w:val="none"/>
        </w:rPr>
      </w:pPr>
      <w:r>
        <w:rPr>
          <w:rFonts w:hint="eastAsia" w:asciiTheme="majorEastAsia" w:hAnsiTheme="majorEastAsia" w:eastAsiaTheme="majorEastAsia" w:cstheme="majorEastAsia"/>
          <w:color w:val="000000"/>
          <w:kern w:val="0"/>
          <w:sz w:val="24"/>
          <w:highlight w:val="none"/>
          <w:lang w:bidi="ar"/>
        </w:rPr>
        <w:t xml:space="preserve">4.3 每件包装箱内应附有一份详细装箱单和质量证书。 </w:t>
      </w:r>
    </w:p>
    <w:p>
      <w:pPr>
        <w:widowControl/>
        <w:spacing w:line="360" w:lineRule="auto"/>
        <w:ind w:firstLine="480" w:firstLineChars="200"/>
        <w:jc w:val="left"/>
        <w:rPr>
          <w:rFonts w:hint="eastAsia" w:asciiTheme="majorEastAsia" w:hAnsiTheme="majorEastAsia" w:eastAsiaTheme="majorEastAsia" w:cstheme="majorEastAsia"/>
          <w:highlight w:val="none"/>
        </w:rPr>
      </w:pPr>
      <w:r>
        <w:rPr>
          <w:rFonts w:hint="eastAsia" w:asciiTheme="majorEastAsia" w:hAnsiTheme="majorEastAsia" w:eastAsiaTheme="majorEastAsia" w:cstheme="majorEastAsia"/>
          <w:color w:val="000000"/>
          <w:kern w:val="0"/>
          <w:sz w:val="24"/>
          <w:highlight w:val="none"/>
          <w:lang w:bidi="ar"/>
        </w:rPr>
        <w:t xml:space="preserve">4.4 包装物不计价、不回收，包装费用由乙方承担。因未按照本合同的约定进行包装的，甲方有权拒绝接受货物，造成货物毁损、灭失、质量瑕疵、质量缺陷、性能减低、外观受损等的，由乙方承担损失。 </w:t>
      </w:r>
    </w:p>
    <w:p>
      <w:pPr>
        <w:widowControl/>
        <w:spacing w:line="360" w:lineRule="auto"/>
        <w:ind w:firstLine="480" w:firstLineChars="200"/>
        <w:jc w:val="left"/>
        <w:rPr>
          <w:rFonts w:hint="eastAsia" w:asciiTheme="majorEastAsia" w:hAnsiTheme="majorEastAsia" w:eastAsiaTheme="majorEastAsia" w:cstheme="majorEastAsia"/>
          <w:highlight w:val="none"/>
        </w:rPr>
      </w:pPr>
      <w:r>
        <w:rPr>
          <w:rFonts w:hint="eastAsia" w:asciiTheme="majorEastAsia" w:hAnsiTheme="majorEastAsia" w:eastAsiaTheme="majorEastAsia" w:cstheme="majorEastAsia"/>
          <w:color w:val="000000"/>
          <w:kern w:val="0"/>
          <w:sz w:val="24"/>
          <w:highlight w:val="none"/>
          <w:lang w:bidi="ar"/>
        </w:rPr>
        <w:t>4.5 货物的包装物必须为原厂的出厂包装，乙方不得拆除、开封，运输途中及装卸过程中乙方为保证货物不受损可以在原包装上继续进行包装，试运行验收合格移交后，乙方须处理包装垃圾保证清洁出场。</w:t>
      </w:r>
    </w:p>
    <w:p>
      <w:pPr>
        <w:widowControl/>
        <w:spacing w:line="360" w:lineRule="auto"/>
        <w:ind w:firstLine="482" w:firstLineChars="200"/>
        <w:jc w:val="left"/>
        <w:rPr>
          <w:rFonts w:hint="eastAsia" w:asciiTheme="majorEastAsia" w:hAnsiTheme="majorEastAsia" w:eastAsiaTheme="majorEastAsia" w:cstheme="majorEastAsia"/>
          <w:highlight w:val="none"/>
        </w:rPr>
      </w:pPr>
      <w:r>
        <w:rPr>
          <w:rFonts w:hint="eastAsia" w:asciiTheme="majorEastAsia" w:hAnsiTheme="majorEastAsia" w:eastAsiaTheme="majorEastAsia" w:cstheme="majorEastAsia"/>
          <w:b/>
          <w:bCs/>
          <w:color w:val="000000"/>
          <w:kern w:val="0"/>
          <w:sz w:val="24"/>
          <w:highlight w:val="none"/>
          <w:lang w:bidi="ar"/>
        </w:rPr>
        <w:t xml:space="preserve">5. 包装标记 </w:t>
      </w:r>
    </w:p>
    <w:p>
      <w:pPr>
        <w:widowControl/>
        <w:spacing w:line="360" w:lineRule="auto"/>
        <w:ind w:firstLine="480" w:firstLineChars="200"/>
        <w:jc w:val="left"/>
        <w:rPr>
          <w:rFonts w:hint="eastAsia" w:asciiTheme="majorEastAsia" w:hAnsiTheme="majorEastAsia" w:eastAsiaTheme="majorEastAsia" w:cstheme="majorEastAsia"/>
          <w:highlight w:val="none"/>
        </w:rPr>
      </w:pPr>
      <w:r>
        <w:rPr>
          <w:rFonts w:hint="eastAsia" w:asciiTheme="majorEastAsia" w:hAnsiTheme="majorEastAsia" w:eastAsiaTheme="majorEastAsia" w:cstheme="majorEastAsia"/>
          <w:color w:val="000000"/>
          <w:kern w:val="0"/>
          <w:sz w:val="24"/>
          <w:highlight w:val="none"/>
          <w:lang w:bidi="ar"/>
        </w:rPr>
        <w:t xml:space="preserve">5.1 乙方应在每一包装箱邻接的四个侧面用不易褪色的油漆以醒目的中文印刷字样标明以下各项： </w:t>
      </w:r>
    </w:p>
    <w:p>
      <w:pPr>
        <w:widowControl/>
        <w:spacing w:line="360" w:lineRule="auto"/>
        <w:ind w:firstLine="480" w:firstLineChars="200"/>
        <w:jc w:val="left"/>
        <w:rPr>
          <w:rFonts w:hint="eastAsia" w:asciiTheme="majorEastAsia" w:hAnsiTheme="majorEastAsia" w:eastAsiaTheme="majorEastAsia" w:cstheme="majorEastAsia"/>
          <w:highlight w:val="none"/>
        </w:rPr>
      </w:pPr>
      <w:r>
        <w:rPr>
          <w:rFonts w:hint="eastAsia" w:asciiTheme="majorEastAsia" w:hAnsiTheme="majorEastAsia" w:eastAsiaTheme="majorEastAsia" w:cstheme="majorEastAsia"/>
          <w:color w:val="000000"/>
          <w:kern w:val="0"/>
          <w:sz w:val="24"/>
          <w:highlight w:val="none"/>
          <w:lang w:bidi="ar"/>
        </w:rPr>
        <w:t xml:space="preserve">(1) 项目名称： </w:t>
      </w:r>
    </w:p>
    <w:p>
      <w:pPr>
        <w:widowControl/>
        <w:spacing w:line="360" w:lineRule="auto"/>
        <w:ind w:firstLine="480" w:firstLineChars="200"/>
        <w:jc w:val="left"/>
        <w:rPr>
          <w:rFonts w:hint="eastAsia" w:asciiTheme="majorEastAsia" w:hAnsiTheme="majorEastAsia" w:eastAsiaTheme="majorEastAsia" w:cstheme="majorEastAsia"/>
          <w:highlight w:val="none"/>
        </w:rPr>
      </w:pPr>
      <w:r>
        <w:rPr>
          <w:rFonts w:hint="eastAsia" w:asciiTheme="majorEastAsia" w:hAnsiTheme="majorEastAsia" w:eastAsiaTheme="majorEastAsia" w:cstheme="majorEastAsia"/>
          <w:color w:val="000000"/>
          <w:kern w:val="0"/>
          <w:sz w:val="24"/>
          <w:highlight w:val="none"/>
          <w:lang w:bidi="ar"/>
        </w:rPr>
        <w:t xml:space="preserve">(2) 合同号： </w:t>
      </w:r>
    </w:p>
    <w:p>
      <w:pPr>
        <w:widowControl/>
        <w:spacing w:line="360" w:lineRule="auto"/>
        <w:ind w:firstLine="480" w:firstLineChars="200"/>
        <w:jc w:val="left"/>
        <w:rPr>
          <w:rFonts w:hint="eastAsia" w:asciiTheme="majorEastAsia" w:hAnsiTheme="majorEastAsia" w:eastAsiaTheme="majorEastAsia" w:cstheme="majorEastAsia"/>
          <w:highlight w:val="none"/>
        </w:rPr>
      </w:pPr>
      <w:r>
        <w:rPr>
          <w:rFonts w:hint="eastAsia" w:asciiTheme="majorEastAsia" w:hAnsiTheme="majorEastAsia" w:eastAsiaTheme="majorEastAsia" w:cstheme="majorEastAsia"/>
          <w:color w:val="000000"/>
          <w:kern w:val="0"/>
          <w:sz w:val="24"/>
          <w:highlight w:val="none"/>
          <w:lang w:bidi="ar"/>
        </w:rPr>
        <w:t xml:space="preserve">(3) 收货人： </w:t>
      </w:r>
    </w:p>
    <w:p>
      <w:pPr>
        <w:widowControl/>
        <w:spacing w:line="360" w:lineRule="auto"/>
        <w:ind w:firstLine="480" w:firstLineChars="200"/>
        <w:jc w:val="left"/>
        <w:rPr>
          <w:rFonts w:hint="eastAsia" w:asciiTheme="majorEastAsia" w:hAnsiTheme="majorEastAsia" w:eastAsiaTheme="majorEastAsia" w:cstheme="majorEastAsia"/>
          <w:highlight w:val="none"/>
        </w:rPr>
      </w:pPr>
      <w:r>
        <w:rPr>
          <w:rFonts w:hint="eastAsia" w:asciiTheme="majorEastAsia" w:hAnsiTheme="majorEastAsia" w:eastAsiaTheme="majorEastAsia" w:cstheme="majorEastAsia"/>
          <w:color w:val="000000"/>
          <w:kern w:val="0"/>
          <w:sz w:val="24"/>
          <w:highlight w:val="none"/>
          <w:lang w:bidi="ar"/>
        </w:rPr>
        <w:t xml:space="preserve">(4) 到站： </w:t>
      </w:r>
    </w:p>
    <w:p>
      <w:pPr>
        <w:widowControl/>
        <w:spacing w:line="360" w:lineRule="auto"/>
        <w:ind w:firstLine="480" w:firstLineChars="200"/>
        <w:jc w:val="left"/>
        <w:rPr>
          <w:rFonts w:hint="eastAsia" w:asciiTheme="majorEastAsia" w:hAnsiTheme="majorEastAsia" w:eastAsiaTheme="majorEastAsia" w:cstheme="majorEastAsia"/>
          <w:highlight w:val="none"/>
        </w:rPr>
      </w:pPr>
      <w:r>
        <w:rPr>
          <w:rFonts w:hint="eastAsia" w:asciiTheme="majorEastAsia" w:hAnsiTheme="majorEastAsia" w:eastAsiaTheme="majorEastAsia" w:cstheme="majorEastAsia"/>
          <w:color w:val="000000"/>
          <w:kern w:val="0"/>
          <w:sz w:val="24"/>
          <w:highlight w:val="none"/>
          <w:lang w:bidi="ar"/>
        </w:rPr>
        <w:t xml:space="preserve">(5) 货物的名称、包号、箱号： </w:t>
      </w:r>
    </w:p>
    <w:p>
      <w:pPr>
        <w:widowControl/>
        <w:spacing w:line="360" w:lineRule="auto"/>
        <w:ind w:firstLine="480" w:firstLineChars="200"/>
        <w:jc w:val="left"/>
        <w:rPr>
          <w:rFonts w:hint="eastAsia" w:asciiTheme="majorEastAsia" w:hAnsiTheme="majorEastAsia" w:eastAsiaTheme="majorEastAsia" w:cstheme="majorEastAsia"/>
          <w:highlight w:val="none"/>
        </w:rPr>
      </w:pPr>
      <w:r>
        <w:rPr>
          <w:rFonts w:hint="eastAsia" w:asciiTheme="majorEastAsia" w:hAnsiTheme="majorEastAsia" w:eastAsiaTheme="majorEastAsia" w:cstheme="majorEastAsia"/>
          <w:color w:val="000000"/>
          <w:kern w:val="0"/>
          <w:sz w:val="24"/>
          <w:highlight w:val="none"/>
          <w:lang w:bidi="ar"/>
        </w:rPr>
        <w:t xml:space="preserve">(6) 毛重/净重（公斤）： </w:t>
      </w:r>
    </w:p>
    <w:p>
      <w:pPr>
        <w:widowControl/>
        <w:spacing w:line="360" w:lineRule="auto"/>
        <w:ind w:firstLine="480" w:firstLineChars="200"/>
        <w:jc w:val="left"/>
        <w:rPr>
          <w:rFonts w:hint="eastAsia" w:asciiTheme="majorEastAsia" w:hAnsiTheme="majorEastAsia" w:eastAsiaTheme="majorEastAsia" w:cstheme="majorEastAsia"/>
          <w:highlight w:val="none"/>
        </w:rPr>
      </w:pPr>
      <w:r>
        <w:rPr>
          <w:rFonts w:hint="eastAsia" w:asciiTheme="majorEastAsia" w:hAnsiTheme="majorEastAsia" w:eastAsiaTheme="majorEastAsia" w:cstheme="majorEastAsia"/>
          <w:color w:val="000000"/>
          <w:kern w:val="0"/>
          <w:sz w:val="24"/>
          <w:highlight w:val="none"/>
          <w:lang w:bidi="ar"/>
        </w:rPr>
        <w:t xml:space="preserve">(7) 尺寸（长×宽×高，以厘米计）： </w:t>
      </w:r>
    </w:p>
    <w:p>
      <w:pPr>
        <w:widowControl/>
        <w:spacing w:line="360" w:lineRule="auto"/>
        <w:ind w:firstLine="480" w:firstLineChars="200"/>
        <w:jc w:val="left"/>
        <w:rPr>
          <w:rFonts w:hint="eastAsia" w:asciiTheme="majorEastAsia" w:hAnsiTheme="majorEastAsia" w:eastAsiaTheme="majorEastAsia" w:cstheme="majorEastAsia"/>
          <w:highlight w:val="none"/>
        </w:rPr>
      </w:pPr>
      <w:r>
        <w:rPr>
          <w:rFonts w:hint="eastAsia" w:asciiTheme="majorEastAsia" w:hAnsiTheme="majorEastAsia" w:eastAsiaTheme="majorEastAsia" w:cstheme="majorEastAsia"/>
          <w:color w:val="000000"/>
          <w:kern w:val="0"/>
          <w:sz w:val="24"/>
          <w:highlight w:val="none"/>
          <w:lang w:bidi="ar"/>
        </w:rPr>
        <w:t xml:space="preserve">(8) 发货单位： </w:t>
      </w:r>
    </w:p>
    <w:p>
      <w:pPr>
        <w:widowControl/>
        <w:spacing w:line="360" w:lineRule="auto"/>
        <w:ind w:firstLine="480" w:firstLineChars="200"/>
        <w:jc w:val="left"/>
        <w:rPr>
          <w:rFonts w:hint="eastAsia" w:asciiTheme="majorEastAsia" w:hAnsiTheme="majorEastAsia" w:eastAsiaTheme="majorEastAsia" w:cstheme="majorEastAsia"/>
          <w:highlight w:val="none"/>
        </w:rPr>
      </w:pPr>
      <w:r>
        <w:rPr>
          <w:rFonts w:hint="eastAsia" w:asciiTheme="majorEastAsia" w:hAnsiTheme="majorEastAsia" w:eastAsiaTheme="majorEastAsia" w:cstheme="majorEastAsia"/>
          <w:color w:val="000000"/>
          <w:kern w:val="0"/>
          <w:sz w:val="24"/>
          <w:highlight w:val="none"/>
          <w:lang w:bidi="ar"/>
        </w:rPr>
        <w:t xml:space="preserve">凡重达两吨或两吨以上的包装，乙方应在每件包装箱的两侧用中文和适当的运输标记，标明“重心”和“吊装点”，并根据货物的特点和运输的不同要求，以清晰字样在包装箱上注明“小心轻放”、“勿倒置”、“防潮”等适当的标志，以便装卸和搬运。 </w:t>
      </w:r>
    </w:p>
    <w:p>
      <w:pPr>
        <w:widowControl/>
        <w:spacing w:line="360" w:lineRule="auto"/>
        <w:ind w:firstLine="480" w:firstLineChars="200"/>
        <w:jc w:val="left"/>
        <w:rPr>
          <w:rFonts w:hint="eastAsia" w:asciiTheme="majorEastAsia" w:hAnsiTheme="majorEastAsia" w:eastAsiaTheme="majorEastAsia" w:cstheme="majorEastAsia"/>
          <w:highlight w:val="none"/>
        </w:rPr>
      </w:pPr>
      <w:r>
        <w:rPr>
          <w:rFonts w:hint="eastAsia" w:asciiTheme="majorEastAsia" w:hAnsiTheme="majorEastAsia" w:eastAsiaTheme="majorEastAsia" w:cstheme="majorEastAsia"/>
          <w:color w:val="000000"/>
          <w:kern w:val="0"/>
          <w:sz w:val="24"/>
          <w:highlight w:val="none"/>
          <w:lang w:bidi="ar"/>
        </w:rPr>
        <w:t xml:space="preserve">5.2 标识设备配置信息卡片。 </w:t>
      </w:r>
    </w:p>
    <w:p>
      <w:pPr>
        <w:widowControl/>
        <w:spacing w:line="360" w:lineRule="auto"/>
        <w:jc w:val="left"/>
        <w:rPr>
          <w:rFonts w:hint="eastAsia" w:asciiTheme="majorEastAsia" w:hAnsiTheme="majorEastAsia" w:eastAsiaTheme="majorEastAsia" w:cstheme="majorEastAsia"/>
          <w:highlight w:val="none"/>
        </w:rPr>
      </w:pPr>
      <w:r>
        <w:rPr>
          <w:rFonts w:hint="eastAsia" w:asciiTheme="majorEastAsia" w:hAnsiTheme="majorEastAsia" w:eastAsiaTheme="majorEastAsia" w:cstheme="majorEastAsia"/>
          <w:b/>
          <w:bCs/>
          <w:color w:val="000000"/>
          <w:kern w:val="0"/>
          <w:sz w:val="24"/>
          <w:highlight w:val="none"/>
          <w:lang w:bidi="ar"/>
        </w:rPr>
        <w:t xml:space="preserve">6. 装运条件 </w:t>
      </w:r>
    </w:p>
    <w:p>
      <w:pPr>
        <w:widowControl/>
        <w:spacing w:line="360" w:lineRule="auto"/>
        <w:ind w:firstLine="480" w:firstLineChars="200"/>
        <w:jc w:val="left"/>
        <w:rPr>
          <w:rFonts w:hint="eastAsia" w:asciiTheme="majorEastAsia" w:hAnsiTheme="majorEastAsia" w:eastAsiaTheme="majorEastAsia" w:cstheme="majorEastAsia"/>
          <w:highlight w:val="none"/>
        </w:rPr>
      </w:pPr>
      <w:r>
        <w:rPr>
          <w:rFonts w:hint="eastAsia" w:asciiTheme="majorEastAsia" w:hAnsiTheme="majorEastAsia" w:eastAsiaTheme="majorEastAsia" w:cstheme="majorEastAsia"/>
          <w:color w:val="000000"/>
          <w:kern w:val="0"/>
          <w:sz w:val="24"/>
          <w:highlight w:val="none"/>
          <w:lang w:bidi="ar"/>
        </w:rPr>
        <w:t xml:space="preserve">6.1 乙方应在合同规定的交货期合理时间内以传真或邮件通知甲方合同号、货物名称、数量、包装件数、总毛重、总体积（立方米）和备妥待运日期。同时，乙方应以书面形式给甲方详细交货清单一式三份，包括合同号、货物名称、规格、数量、总毛重、总体积（立方米）和每一包装箱的尺寸（长×宽×高）、单价和总价、备妥待运日期，以及货物在运输和仓储中的特殊要求和注意事项。 </w:t>
      </w:r>
    </w:p>
    <w:p>
      <w:pPr>
        <w:widowControl/>
        <w:spacing w:line="360" w:lineRule="auto"/>
        <w:ind w:firstLine="480" w:firstLineChars="200"/>
        <w:jc w:val="left"/>
        <w:rPr>
          <w:rFonts w:hint="eastAsia" w:asciiTheme="majorEastAsia" w:hAnsiTheme="majorEastAsia" w:eastAsiaTheme="majorEastAsia" w:cstheme="majorEastAsia"/>
          <w:highlight w:val="none"/>
        </w:rPr>
      </w:pPr>
      <w:r>
        <w:rPr>
          <w:rFonts w:hint="eastAsia" w:asciiTheme="majorEastAsia" w:hAnsiTheme="majorEastAsia" w:eastAsiaTheme="majorEastAsia" w:cstheme="majorEastAsia"/>
          <w:color w:val="000000"/>
          <w:kern w:val="0"/>
          <w:sz w:val="24"/>
          <w:highlight w:val="none"/>
          <w:lang w:bidi="ar"/>
        </w:rPr>
        <w:t xml:space="preserve">6.2 乙方负责安排到站前内陆运输。 </w:t>
      </w:r>
    </w:p>
    <w:p>
      <w:pPr>
        <w:widowControl/>
        <w:spacing w:line="360" w:lineRule="auto"/>
        <w:ind w:firstLine="480" w:firstLineChars="200"/>
        <w:jc w:val="left"/>
        <w:rPr>
          <w:rFonts w:hint="eastAsia" w:asciiTheme="majorEastAsia" w:hAnsiTheme="majorEastAsia" w:eastAsiaTheme="majorEastAsia" w:cstheme="majorEastAsia"/>
          <w:highlight w:val="none"/>
        </w:rPr>
      </w:pPr>
      <w:r>
        <w:rPr>
          <w:rFonts w:hint="eastAsia" w:asciiTheme="majorEastAsia" w:hAnsiTheme="majorEastAsia" w:eastAsiaTheme="majorEastAsia" w:cstheme="majorEastAsia"/>
          <w:color w:val="000000"/>
          <w:kern w:val="0"/>
          <w:sz w:val="24"/>
          <w:highlight w:val="none"/>
          <w:lang w:bidi="ar"/>
        </w:rPr>
        <w:t xml:space="preserve">6.3 货物到达现场后，由乙方负责清点、检验合格并安装调试办理相关手续后得到日期应视为是货物的交货期。 </w:t>
      </w:r>
    </w:p>
    <w:p>
      <w:pPr>
        <w:widowControl/>
        <w:spacing w:line="360" w:lineRule="auto"/>
        <w:ind w:firstLine="480" w:firstLineChars="200"/>
        <w:jc w:val="left"/>
        <w:rPr>
          <w:rFonts w:hint="eastAsia" w:asciiTheme="majorEastAsia" w:hAnsiTheme="majorEastAsia" w:eastAsiaTheme="majorEastAsia" w:cstheme="majorEastAsia"/>
          <w:highlight w:val="none"/>
        </w:rPr>
      </w:pPr>
      <w:r>
        <w:rPr>
          <w:rFonts w:hint="eastAsia" w:asciiTheme="majorEastAsia" w:hAnsiTheme="majorEastAsia" w:eastAsiaTheme="majorEastAsia" w:cstheme="majorEastAsia"/>
          <w:color w:val="000000"/>
          <w:kern w:val="0"/>
          <w:sz w:val="24"/>
          <w:highlight w:val="none"/>
          <w:lang w:bidi="ar"/>
        </w:rPr>
        <w:t xml:space="preserve">6.4 乙方装运的货物不准超过合同规定的数量或重量，否则，一切后果均由乙方承担。 </w:t>
      </w:r>
    </w:p>
    <w:p>
      <w:pPr>
        <w:widowControl/>
        <w:spacing w:line="360" w:lineRule="auto"/>
        <w:jc w:val="left"/>
        <w:rPr>
          <w:rFonts w:hint="eastAsia" w:asciiTheme="majorEastAsia" w:hAnsiTheme="majorEastAsia" w:eastAsiaTheme="majorEastAsia" w:cstheme="majorEastAsia"/>
          <w:highlight w:val="none"/>
        </w:rPr>
      </w:pPr>
      <w:r>
        <w:rPr>
          <w:rFonts w:hint="eastAsia" w:asciiTheme="majorEastAsia" w:hAnsiTheme="majorEastAsia" w:eastAsiaTheme="majorEastAsia" w:cstheme="majorEastAsia"/>
          <w:b/>
          <w:bCs/>
          <w:color w:val="000000"/>
          <w:kern w:val="0"/>
          <w:sz w:val="24"/>
          <w:highlight w:val="none"/>
          <w:lang w:bidi="ar"/>
        </w:rPr>
        <w:t xml:space="preserve">7. 装运通知 </w:t>
      </w:r>
    </w:p>
    <w:p>
      <w:pPr>
        <w:widowControl/>
        <w:spacing w:line="360" w:lineRule="auto"/>
        <w:ind w:firstLine="480" w:firstLineChars="200"/>
        <w:jc w:val="left"/>
        <w:rPr>
          <w:rFonts w:hint="eastAsia" w:asciiTheme="majorEastAsia" w:hAnsiTheme="majorEastAsia" w:eastAsiaTheme="majorEastAsia" w:cstheme="majorEastAsia"/>
          <w:highlight w:val="none"/>
        </w:rPr>
      </w:pPr>
      <w:r>
        <w:rPr>
          <w:rFonts w:hint="eastAsia" w:asciiTheme="majorEastAsia" w:hAnsiTheme="majorEastAsia" w:eastAsiaTheme="majorEastAsia" w:cstheme="majorEastAsia"/>
          <w:color w:val="000000"/>
          <w:kern w:val="0"/>
          <w:sz w:val="24"/>
          <w:highlight w:val="none"/>
          <w:lang w:bidi="ar"/>
        </w:rPr>
        <w:t>乙方应在货物装货后发运前 24 小时内以传真或邮件通知甲方合同号、货物名称、数量、毛重、体积（立方米）、发票金额、运输工具名称及启运日期。如果包装件重量超过20吨或尺寸达到或超过12米长、2.7米宽和3米高，乙方应将其重量或尺寸</w:t>
      </w:r>
      <w:r>
        <w:rPr>
          <w:rFonts w:hint="eastAsia" w:asciiTheme="majorEastAsia" w:hAnsiTheme="majorEastAsia" w:eastAsiaTheme="majorEastAsia" w:cstheme="majorEastAsia"/>
          <w:color w:val="000000"/>
          <w:kern w:val="0"/>
          <w:sz w:val="24"/>
          <w:highlight w:val="none"/>
          <w:lang w:val="en-US" w:eastAsia="zh-CN" w:bidi="ar"/>
        </w:rPr>
        <w:t>书面</w:t>
      </w:r>
      <w:r>
        <w:rPr>
          <w:rFonts w:hint="eastAsia" w:asciiTheme="majorEastAsia" w:hAnsiTheme="majorEastAsia" w:eastAsiaTheme="majorEastAsia" w:cstheme="majorEastAsia"/>
          <w:color w:val="000000"/>
          <w:kern w:val="0"/>
          <w:sz w:val="24"/>
          <w:highlight w:val="none"/>
          <w:lang w:bidi="ar"/>
        </w:rPr>
        <w:t>通知甲方。若货物中有易燃品或危险品，乙方也须将详细情况</w:t>
      </w:r>
      <w:r>
        <w:rPr>
          <w:rFonts w:hint="eastAsia" w:asciiTheme="majorEastAsia" w:hAnsiTheme="majorEastAsia" w:eastAsiaTheme="majorEastAsia" w:cstheme="majorEastAsia"/>
          <w:color w:val="000000"/>
          <w:kern w:val="0"/>
          <w:sz w:val="24"/>
          <w:highlight w:val="none"/>
          <w:lang w:val="en-US" w:eastAsia="zh-CN" w:bidi="ar"/>
        </w:rPr>
        <w:t>书面</w:t>
      </w:r>
      <w:r>
        <w:rPr>
          <w:rFonts w:hint="eastAsia" w:asciiTheme="majorEastAsia" w:hAnsiTheme="majorEastAsia" w:eastAsiaTheme="majorEastAsia" w:cstheme="majorEastAsia"/>
          <w:color w:val="000000"/>
          <w:kern w:val="0"/>
          <w:sz w:val="24"/>
          <w:highlight w:val="none"/>
          <w:lang w:bidi="ar"/>
        </w:rPr>
        <w:t>通知甲方。</w:t>
      </w:r>
    </w:p>
    <w:p>
      <w:pPr>
        <w:widowControl/>
        <w:spacing w:line="360" w:lineRule="auto"/>
        <w:jc w:val="left"/>
        <w:rPr>
          <w:rFonts w:hint="eastAsia" w:asciiTheme="majorEastAsia" w:hAnsiTheme="majorEastAsia" w:eastAsiaTheme="majorEastAsia" w:cstheme="majorEastAsia"/>
          <w:highlight w:val="none"/>
        </w:rPr>
      </w:pPr>
      <w:r>
        <w:rPr>
          <w:rFonts w:hint="eastAsia" w:asciiTheme="majorEastAsia" w:hAnsiTheme="majorEastAsia" w:eastAsiaTheme="majorEastAsia" w:cstheme="majorEastAsia"/>
          <w:b/>
          <w:bCs/>
          <w:color w:val="000000"/>
          <w:kern w:val="0"/>
          <w:sz w:val="24"/>
          <w:highlight w:val="none"/>
          <w:lang w:bidi="ar"/>
        </w:rPr>
        <w:t xml:space="preserve">8．知识产权 </w:t>
      </w:r>
    </w:p>
    <w:p>
      <w:pPr>
        <w:widowControl/>
        <w:spacing w:line="360" w:lineRule="auto"/>
        <w:ind w:firstLine="480" w:firstLineChars="200"/>
        <w:jc w:val="left"/>
        <w:rPr>
          <w:rFonts w:hint="eastAsia" w:asciiTheme="majorEastAsia" w:hAnsiTheme="majorEastAsia" w:eastAsiaTheme="majorEastAsia" w:cstheme="majorEastAsia"/>
          <w:highlight w:val="none"/>
        </w:rPr>
      </w:pPr>
      <w:r>
        <w:rPr>
          <w:rFonts w:hint="eastAsia" w:asciiTheme="majorEastAsia" w:hAnsiTheme="majorEastAsia" w:eastAsiaTheme="majorEastAsia" w:cstheme="majorEastAsia"/>
          <w:color w:val="000000"/>
          <w:kern w:val="0"/>
          <w:sz w:val="24"/>
          <w:highlight w:val="none"/>
          <w:lang w:bidi="ar"/>
        </w:rPr>
        <w:t xml:space="preserve">乙方所供的货物，不得有任何侵犯第三方知识产权的情形；乙方应保证，甲方使用该货物或货物的任何一部分时，免受第三方提出的侵犯其专利权、商标权、著作权或其他知识产权的起诉、索赔、追偿等情形；因第三方以知识产权侵权为由起诉甲方的，乙方负责解决；第三方因知识产权侵权起诉甲方，甲方承担责任，造成甲方经济损失的，甲方有权按照三倍的标准向乙方追偿。同时乙方应承担甲方因处理纠纷所产生的诉讼费、仲裁费、保全费及保全保险费、律师费、差旅费、鉴定费等一切费用。 </w:t>
      </w:r>
    </w:p>
    <w:p>
      <w:pPr>
        <w:widowControl/>
        <w:spacing w:line="360" w:lineRule="auto"/>
        <w:jc w:val="left"/>
        <w:rPr>
          <w:rFonts w:hint="eastAsia" w:asciiTheme="majorEastAsia" w:hAnsiTheme="majorEastAsia" w:eastAsiaTheme="majorEastAsia" w:cstheme="majorEastAsia"/>
          <w:highlight w:val="none"/>
        </w:rPr>
      </w:pPr>
      <w:r>
        <w:rPr>
          <w:rFonts w:hint="eastAsia" w:asciiTheme="majorEastAsia" w:hAnsiTheme="majorEastAsia" w:eastAsiaTheme="majorEastAsia" w:cstheme="majorEastAsia"/>
          <w:b/>
          <w:bCs/>
          <w:color w:val="000000"/>
          <w:kern w:val="0"/>
          <w:sz w:val="24"/>
          <w:highlight w:val="none"/>
          <w:lang w:bidi="ar"/>
        </w:rPr>
        <w:t xml:space="preserve">9．质量保证金 </w:t>
      </w:r>
    </w:p>
    <w:p>
      <w:pPr>
        <w:widowControl/>
        <w:spacing w:line="360" w:lineRule="auto"/>
        <w:ind w:firstLine="480" w:firstLineChars="200"/>
        <w:jc w:val="left"/>
        <w:rPr>
          <w:rFonts w:hint="eastAsia" w:asciiTheme="majorEastAsia" w:hAnsiTheme="majorEastAsia" w:eastAsiaTheme="majorEastAsia" w:cstheme="majorEastAsia"/>
          <w:highlight w:val="none"/>
        </w:rPr>
      </w:pPr>
      <w:r>
        <w:rPr>
          <w:rFonts w:hint="eastAsia" w:asciiTheme="majorEastAsia" w:hAnsiTheme="majorEastAsia" w:eastAsiaTheme="majorEastAsia" w:cstheme="majorEastAsia"/>
          <w:color w:val="000000"/>
          <w:kern w:val="0"/>
          <w:sz w:val="24"/>
          <w:highlight w:val="none"/>
          <w:lang w:bidi="ar"/>
        </w:rPr>
        <w:t>总货款的10%作为质量保证金，验收完成后，待货物正</w:t>
      </w:r>
      <w:r>
        <w:rPr>
          <w:rFonts w:hint="eastAsia" w:asciiTheme="majorEastAsia" w:hAnsiTheme="majorEastAsia" w:eastAsiaTheme="majorEastAsia" w:cstheme="majorEastAsia"/>
          <w:kern w:val="0"/>
          <w:sz w:val="24"/>
          <w:highlight w:val="none"/>
          <w:lang w:bidi="ar"/>
        </w:rPr>
        <w:t>常使用</w:t>
      </w:r>
      <w:r>
        <w:rPr>
          <w:rFonts w:hint="eastAsia" w:asciiTheme="majorEastAsia" w:hAnsiTheme="majorEastAsia" w:eastAsiaTheme="majorEastAsia" w:cstheme="majorEastAsia"/>
          <w:kern w:val="0"/>
          <w:sz w:val="24"/>
          <w:highlight w:val="none"/>
          <w:u w:val="single"/>
          <w:lang w:bidi="ar"/>
        </w:rPr>
        <w:t xml:space="preserve"> </w:t>
      </w:r>
      <w:r>
        <w:rPr>
          <w:rFonts w:hint="eastAsia" w:asciiTheme="majorEastAsia" w:hAnsiTheme="majorEastAsia" w:eastAsiaTheme="majorEastAsia" w:cstheme="majorEastAsia"/>
          <w:kern w:val="0"/>
          <w:sz w:val="24"/>
          <w:highlight w:val="none"/>
          <w:u w:val="single"/>
          <w:lang w:val="en-US" w:eastAsia="zh-CN" w:bidi="ar"/>
        </w:rPr>
        <w:t>5</w:t>
      </w:r>
      <w:r>
        <w:rPr>
          <w:rFonts w:hint="eastAsia" w:asciiTheme="majorEastAsia" w:hAnsiTheme="majorEastAsia" w:eastAsiaTheme="majorEastAsia" w:cstheme="majorEastAsia"/>
          <w:kern w:val="0"/>
          <w:sz w:val="24"/>
          <w:highlight w:val="none"/>
          <w:u w:val="single"/>
          <w:lang w:bidi="ar"/>
        </w:rPr>
        <w:t xml:space="preserve"> </w:t>
      </w:r>
      <w:r>
        <w:rPr>
          <w:rFonts w:hint="eastAsia" w:asciiTheme="majorEastAsia" w:hAnsiTheme="majorEastAsia" w:eastAsiaTheme="majorEastAsia" w:cstheme="majorEastAsia"/>
          <w:kern w:val="0"/>
          <w:sz w:val="24"/>
          <w:highlight w:val="none"/>
          <w:lang w:bidi="ar"/>
        </w:rPr>
        <w:t>年质量保证期内（</w:t>
      </w:r>
      <w:r>
        <w:rPr>
          <w:rFonts w:hint="eastAsia" w:asciiTheme="majorEastAsia" w:hAnsiTheme="majorEastAsia" w:eastAsiaTheme="majorEastAsia" w:cstheme="majorEastAsia"/>
          <w:kern w:val="0"/>
          <w:sz w:val="24"/>
          <w:highlight w:val="none"/>
          <w:u w:val="single"/>
          <w:lang w:val="en-US" w:eastAsia="zh-CN" w:bidi="ar"/>
        </w:rPr>
        <w:t>60</w:t>
      </w:r>
      <w:r>
        <w:rPr>
          <w:rFonts w:hint="eastAsia" w:asciiTheme="majorEastAsia" w:hAnsiTheme="majorEastAsia" w:eastAsiaTheme="majorEastAsia" w:cstheme="majorEastAsia"/>
          <w:kern w:val="0"/>
          <w:sz w:val="24"/>
          <w:highlight w:val="none"/>
          <w:lang w:bidi="ar"/>
        </w:rPr>
        <w:t>个月）没有任何质量问题时由甲方一次性无息支付，乙方违反质量保证责任的，质量保证金按照有关规定扣除；质量保证期内质量保证金不足总货款 10%时，乙方应当</w:t>
      </w:r>
      <w:r>
        <w:rPr>
          <w:rFonts w:hint="eastAsia" w:asciiTheme="majorEastAsia" w:hAnsiTheme="majorEastAsia" w:eastAsiaTheme="majorEastAsia" w:cstheme="majorEastAsia"/>
          <w:kern w:val="0"/>
          <w:sz w:val="24"/>
          <w:highlight w:val="none"/>
          <w:lang w:val="en-US" w:eastAsia="zh-CN" w:bidi="ar"/>
        </w:rPr>
        <w:t>无条件及时</w:t>
      </w:r>
      <w:r>
        <w:rPr>
          <w:rFonts w:hint="eastAsia" w:asciiTheme="majorEastAsia" w:hAnsiTheme="majorEastAsia" w:eastAsiaTheme="majorEastAsia" w:cstheme="majorEastAsia"/>
          <w:kern w:val="0"/>
          <w:sz w:val="24"/>
          <w:highlight w:val="none"/>
          <w:lang w:bidi="ar"/>
        </w:rPr>
        <w:t xml:space="preserve">补足。 </w:t>
      </w:r>
    </w:p>
    <w:p>
      <w:pPr>
        <w:widowControl/>
        <w:spacing w:line="360" w:lineRule="auto"/>
        <w:jc w:val="left"/>
        <w:rPr>
          <w:rFonts w:hint="eastAsia" w:asciiTheme="majorEastAsia" w:hAnsiTheme="majorEastAsia" w:eastAsiaTheme="majorEastAsia" w:cstheme="majorEastAsia"/>
          <w:highlight w:val="none"/>
        </w:rPr>
      </w:pPr>
      <w:r>
        <w:rPr>
          <w:rFonts w:hint="eastAsia" w:asciiTheme="majorEastAsia" w:hAnsiTheme="majorEastAsia" w:eastAsiaTheme="majorEastAsia" w:cstheme="majorEastAsia"/>
          <w:b/>
          <w:bCs/>
          <w:color w:val="000000"/>
          <w:kern w:val="0"/>
          <w:sz w:val="24"/>
          <w:highlight w:val="none"/>
          <w:lang w:bidi="ar"/>
        </w:rPr>
        <w:t xml:space="preserve">10．检验和验收 </w:t>
      </w:r>
    </w:p>
    <w:p>
      <w:pPr>
        <w:widowControl/>
        <w:spacing w:line="360" w:lineRule="auto"/>
        <w:ind w:firstLine="480" w:firstLineChars="200"/>
        <w:jc w:val="left"/>
        <w:rPr>
          <w:rFonts w:hint="eastAsia" w:asciiTheme="majorEastAsia" w:hAnsiTheme="majorEastAsia" w:eastAsiaTheme="majorEastAsia" w:cstheme="majorEastAsia"/>
          <w:highlight w:val="none"/>
        </w:rPr>
      </w:pPr>
      <w:r>
        <w:rPr>
          <w:rFonts w:hint="eastAsia" w:asciiTheme="majorEastAsia" w:hAnsiTheme="majorEastAsia" w:eastAsiaTheme="majorEastAsia" w:cstheme="majorEastAsia"/>
          <w:color w:val="000000"/>
          <w:kern w:val="0"/>
          <w:sz w:val="24"/>
          <w:highlight w:val="none"/>
          <w:lang w:bidi="ar"/>
        </w:rPr>
        <w:t>10.1 甲方根据需要将派人参加中间监制和出厂验收或派代表参加交货地点清点、核查。</w:t>
      </w:r>
    </w:p>
    <w:p>
      <w:pPr>
        <w:widowControl/>
        <w:spacing w:line="360" w:lineRule="auto"/>
        <w:ind w:firstLine="480" w:firstLineChars="200"/>
        <w:jc w:val="left"/>
        <w:rPr>
          <w:rFonts w:hint="eastAsia" w:asciiTheme="majorEastAsia" w:hAnsiTheme="majorEastAsia" w:eastAsiaTheme="majorEastAsia" w:cstheme="majorEastAsia"/>
          <w:color w:val="000000"/>
          <w:kern w:val="0"/>
          <w:sz w:val="24"/>
          <w:highlight w:val="none"/>
          <w:lang w:bidi="ar"/>
        </w:rPr>
      </w:pPr>
      <w:r>
        <w:rPr>
          <w:rFonts w:hint="eastAsia" w:asciiTheme="majorEastAsia" w:hAnsiTheme="majorEastAsia" w:eastAsiaTheme="majorEastAsia" w:cstheme="majorEastAsia"/>
          <w:color w:val="000000"/>
          <w:kern w:val="0"/>
          <w:sz w:val="24"/>
          <w:highlight w:val="none"/>
          <w:lang w:bidi="ar"/>
        </w:rPr>
        <w:t>10.2</w:t>
      </w:r>
      <w:r>
        <w:rPr>
          <w:rFonts w:hint="eastAsia" w:asciiTheme="majorEastAsia" w:hAnsiTheme="majorEastAsia" w:eastAsiaTheme="majorEastAsia" w:cstheme="majorEastAsia"/>
          <w:sz w:val="24"/>
          <w:highlight w:val="none"/>
        </w:rPr>
        <w:t>在交货前，制造商应对货物的质量、规格、性能、数量和重量等进行详细而全面的检验。乙方交货时必须一并提供制造商出厂的验收单、出厂标牌、合格证、保修卡等资料，否则甲方有权拒绝收货和付款。</w:t>
      </w:r>
    </w:p>
    <w:p>
      <w:pPr>
        <w:widowControl/>
        <w:spacing w:line="360" w:lineRule="auto"/>
        <w:ind w:firstLine="480" w:firstLineChars="200"/>
        <w:jc w:val="left"/>
        <w:rPr>
          <w:rFonts w:hint="eastAsia" w:asciiTheme="majorEastAsia" w:hAnsiTheme="majorEastAsia" w:eastAsiaTheme="majorEastAsia" w:cstheme="majorEastAsia"/>
          <w:highlight w:val="none"/>
        </w:rPr>
      </w:pPr>
      <w:r>
        <w:rPr>
          <w:rFonts w:hint="eastAsia" w:asciiTheme="majorEastAsia" w:hAnsiTheme="majorEastAsia" w:eastAsiaTheme="majorEastAsia" w:cstheme="majorEastAsia"/>
          <w:color w:val="000000"/>
          <w:kern w:val="0"/>
          <w:sz w:val="24"/>
          <w:highlight w:val="none"/>
          <w:lang w:bidi="ar"/>
        </w:rPr>
        <w:t xml:space="preserve">10.3 安装完成并试运行期结束后，各方进行最终验收，验收不合格的，乙方采取维修、更换零部件、重新供货等方式，直至验收合格；经三次最终验收不合格的，甲方有权退货，并解除合同，由此给甲方造成的损失及费用全部由乙方承担赔偿责任。 </w:t>
      </w:r>
    </w:p>
    <w:p>
      <w:pPr>
        <w:widowControl/>
        <w:spacing w:line="360" w:lineRule="auto"/>
        <w:ind w:firstLine="480" w:firstLineChars="200"/>
        <w:jc w:val="left"/>
        <w:rPr>
          <w:rFonts w:hint="eastAsia" w:asciiTheme="majorEastAsia" w:hAnsiTheme="majorEastAsia" w:eastAsiaTheme="majorEastAsia" w:cstheme="majorEastAsia"/>
          <w:highlight w:val="none"/>
        </w:rPr>
      </w:pPr>
      <w:r>
        <w:rPr>
          <w:rFonts w:hint="eastAsia" w:asciiTheme="majorEastAsia" w:hAnsiTheme="majorEastAsia" w:eastAsiaTheme="majorEastAsia" w:cstheme="majorEastAsia"/>
          <w:color w:val="000000"/>
          <w:kern w:val="0"/>
          <w:sz w:val="24"/>
          <w:highlight w:val="none"/>
          <w:lang w:bidi="ar"/>
        </w:rPr>
        <w:t xml:space="preserve">10.4 如果在项目实施过程中直至质量保证期内，经过商检局或市场管理监督部门检验，发现货物的质量或规格与合同规定不符，或证明货物有缺陷，包括潜在的缺陷或使用不合适的材料，甲方有权根据第 14 条规定立即向乙方提出索赔。 </w:t>
      </w:r>
    </w:p>
    <w:p>
      <w:pPr>
        <w:widowControl/>
        <w:spacing w:line="360" w:lineRule="auto"/>
        <w:ind w:firstLine="480" w:firstLineChars="200"/>
        <w:jc w:val="left"/>
        <w:rPr>
          <w:rFonts w:hint="eastAsia" w:asciiTheme="majorEastAsia" w:hAnsiTheme="majorEastAsia" w:eastAsiaTheme="majorEastAsia" w:cstheme="majorEastAsia"/>
          <w:highlight w:val="none"/>
        </w:rPr>
      </w:pPr>
      <w:r>
        <w:rPr>
          <w:rFonts w:hint="eastAsia" w:asciiTheme="majorEastAsia" w:hAnsiTheme="majorEastAsia" w:eastAsiaTheme="majorEastAsia" w:cstheme="majorEastAsia"/>
          <w:color w:val="000000"/>
          <w:kern w:val="0"/>
          <w:sz w:val="24"/>
          <w:highlight w:val="none"/>
          <w:lang w:bidi="ar"/>
        </w:rPr>
        <w:t>10.5 最终验收合格，乙方仍应承担质量责任；最终验收合格不是乙方质量免责的事由。</w:t>
      </w:r>
    </w:p>
    <w:p>
      <w:pPr>
        <w:widowControl/>
        <w:spacing w:line="360" w:lineRule="auto"/>
        <w:jc w:val="left"/>
        <w:rPr>
          <w:rFonts w:hint="eastAsia" w:asciiTheme="majorEastAsia" w:hAnsiTheme="majorEastAsia" w:eastAsiaTheme="majorEastAsia" w:cstheme="majorEastAsia"/>
          <w:highlight w:val="none"/>
        </w:rPr>
      </w:pPr>
      <w:r>
        <w:rPr>
          <w:rFonts w:hint="eastAsia" w:asciiTheme="majorEastAsia" w:hAnsiTheme="majorEastAsia" w:eastAsiaTheme="majorEastAsia" w:cstheme="majorEastAsia"/>
          <w:b/>
          <w:bCs/>
          <w:kern w:val="0"/>
          <w:sz w:val="24"/>
          <w:highlight w:val="none"/>
          <w:lang w:bidi="ar"/>
        </w:rPr>
        <w:t xml:space="preserve">11．运输和保险 </w:t>
      </w:r>
    </w:p>
    <w:p>
      <w:pPr>
        <w:widowControl/>
        <w:spacing w:line="360" w:lineRule="auto"/>
        <w:ind w:firstLine="480" w:firstLineChars="200"/>
        <w:jc w:val="left"/>
        <w:rPr>
          <w:rFonts w:hint="eastAsia" w:asciiTheme="majorEastAsia" w:hAnsiTheme="majorEastAsia" w:eastAsiaTheme="majorEastAsia" w:cstheme="majorEastAsia"/>
          <w:highlight w:val="none"/>
        </w:rPr>
      </w:pPr>
      <w:r>
        <w:rPr>
          <w:rFonts w:hint="eastAsia" w:asciiTheme="majorEastAsia" w:hAnsiTheme="majorEastAsia" w:eastAsiaTheme="majorEastAsia" w:cstheme="majorEastAsia"/>
          <w:kern w:val="0"/>
          <w:sz w:val="24"/>
          <w:highlight w:val="none"/>
          <w:lang w:bidi="ar"/>
        </w:rPr>
        <w:t xml:space="preserve">11.1 乙方负责办理将货物运抵甲方规定的交货地点的一切运输事项，相关费用应包括在合同总价中。 </w:t>
      </w:r>
    </w:p>
    <w:p>
      <w:pPr>
        <w:widowControl/>
        <w:spacing w:line="360" w:lineRule="auto"/>
        <w:ind w:firstLine="480" w:firstLineChars="200"/>
        <w:jc w:val="left"/>
        <w:rPr>
          <w:rFonts w:hint="eastAsia" w:asciiTheme="majorEastAsia" w:hAnsiTheme="majorEastAsia" w:eastAsiaTheme="majorEastAsia" w:cstheme="majorEastAsia"/>
          <w:highlight w:val="none"/>
        </w:rPr>
      </w:pPr>
      <w:r>
        <w:rPr>
          <w:rFonts w:hint="eastAsia" w:asciiTheme="majorEastAsia" w:hAnsiTheme="majorEastAsia" w:eastAsiaTheme="majorEastAsia" w:cstheme="majorEastAsia"/>
          <w:kern w:val="0"/>
          <w:sz w:val="24"/>
          <w:highlight w:val="none"/>
          <w:lang w:bidi="ar"/>
        </w:rPr>
        <w:t xml:space="preserve">11.2 乙方所供货物在运输途中毁损、灭失的风险，由乙方承担；乙方应对所供货物投保运输相关的保险，乙方自行承担保险相关费用。 </w:t>
      </w:r>
    </w:p>
    <w:p>
      <w:pPr>
        <w:widowControl/>
        <w:spacing w:line="360" w:lineRule="auto"/>
        <w:ind w:firstLine="480" w:firstLineChars="200"/>
        <w:jc w:val="left"/>
        <w:rPr>
          <w:rFonts w:hint="eastAsia" w:asciiTheme="majorEastAsia" w:hAnsiTheme="majorEastAsia" w:eastAsiaTheme="majorEastAsia" w:cstheme="majorEastAsia"/>
          <w:highlight w:val="none"/>
        </w:rPr>
      </w:pPr>
      <w:r>
        <w:rPr>
          <w:rFonts w:hint="eastAsia" w:asciiTheme="majorEastAsia" w:hAnsiTheme="majorEastAsia" w:eastAsiaTheme="majorEastAsia" w:cstheme="majorEastAsia"/>
          <w:kern w:val="0"/>
          <w:sz w:val="24"/>
          <w:highlight w:val="none"/>
          <w:lang w:bidi="ar"/>
        </w:rPr>
        <w:t xml:space="preserve">11.3 乙方应将货物交付有履约能力的承运人承运。 </w:t>
      </w:r>
    </w:p>
    <w:p>
      <w:pPr>
        <w:widowControl/>
        <w:spacing w:line="360" w:lineRule="auto"/>
        <w:jc w:val="left"/>
        <w:rPr>
          <w:rFonts w:hint="eastAsia" w:asciiTheme="majorEastAsia" w:hAnsiTheme="majorEastAsia" w:eastAsiaTheme="majorEastAsia" w:cstheme="majorEastAsia"/>
          <w:highlight w:val="none"/>
        </w:rPr>
      </w:pPr>
      <w:r>
        <w:rPr>
          <w:rFonts w:hint="eastAsia" w:asciiTheme="majorEastAsia" w:hAnsiTheme="majorEastAsia" w:eastAsiaTheme="majorEastAsia" w:cstheme="majorEastAsia"/>
          <w:b/>
          <w:bCs/>
          <w:kern w:val="0"/>
          <w:sz w:val="24"/>
          <w:highlight w:val="none"/>
          <w:lang w:bidi="ar"/>
        </w:rPr>
        <w:t xml:space="preserve">12．服务 </w:t>
      </w:r>
    </w:p>
    <w:p>
      <w:pPr>
        <w:widowControl/>
        <w:spacing w:line="360" w:lineRule="auto"/>
        <w:ind w:firstLine="480" w:firstLineChars="200"/>
        <w:jc w:val="left"/>
        <w:rPr>
          <w:rFonts w:hint="eastAsia" w:asciiTheme="majorEastAsia" w:hAnsiTheme="majorEastAsia" w:eastAsiaTheme="majorEastAsia" w:cstheme="majorEastAsia"/>
          <w:highlight w:val="none"/>
        </w:rPr>
      </w:pPr>
      <w:r>
        <w:rPr>
          <w:rFonts w:hint="eastAsia" w:asciiTheme="majorEastAsia" w:hAnsiTheme="majorEastAsia" w:eastAsiaTheme="majorEastAsia" w:cstheme="majorEastAsia"/>
          <w:kern w:val="0"/>
          <w:sz w:val="24"/>
          <w:highlight w:val="none"/>
          <w:lang w:bidi="ar"/>
        </w:rPr>
        <w:t xml:space="preserve">12.1 在乙方的设备到达现场后，由乙方负责清点、保管，费用由乙方承担。甲方可提供存放地点。 </w:t>
      </w:r>
    </w:p>
    <w:p>
      <w:pPr>
        <w:widowControl/>
        <w:spacing w:line="360" w:lineRule="auto"/>
        <w:ind w:firstLine="480" w:firstLineChars="200"/>
        <w:jc w:val="left"/>
        <w:rPr>
          <w:rFonts w:hint="eastAsia" w:asciiTheme="majorEastAsia" w:hAnsiTheme="majorEastAsia" w:eastAsiaTheme="majorEastAsia" w:cstheme="majorEastAsia"/>
          <w:highlight w:val="none"/>
        </w:rPr>
      </w:pPr>
      <w:r>
        <w:rPr>
          <w:rFonts w:hint="eastAsia" w:asciiTheme="majorEastAsia" w:hAnsiTheme="majorEastAsia" w:eastAsiaTheme="majorEastAsia" w:cstheme="majorEastAsia"/>
          <w:kern w:val="0"/>
          <w:sz w:val="24"/>
          <w:highlight w:val="none"/>
          <w:lang w:bidi="ar"/>
        </w:rPr>
        <w:t>12.2 根据项目的进度情况，乙方应及时派技术人员到现场负责安装、培训及调试等工作。</w:t>
      </w:r>
    </w:p>
    <w:p>
      <w:pPr>
        <w:widowControl/>
        <w:spacing w:line="360" w:lineRule="auto"/>
        <w:jc w:val="left"/>
        <w:rPr>
          <w:rFonts w:hint="eastAsia" w:asciiTheme="majorEastAsia" w:hAnsiTheme="majorEastAsia" w:eastAsiaTheme="majorEastAsia" w:cstheme="majorEastAsia"/>
          <w:highlight w:val="none"/>
        </w:rPr>
      </w:pPr>
      <w:r>
        <w:rPr>
          <w:rFonts w:hint="eastAsia" w:asciiTheme="majorEastAsia" w:hAnsiTheme="majorEastAsia" w:eastAsiaTheme="majorEastAsia" w:cstheme="majorEastAsia"/>
          <w:b/>
          <w:bCs/>
          <w:kern w:val="0"/>
          <w:sz w:val="24"/>
          <w:highlight w:val="none"/>
          <w:lang w:bidi="ar"/>
        </w:rPr>
        <w:t xml:space="preserve">13．保证 </w:t>
      </w:r>
    </w:p>
    <w:p>
      <w:pPr>
        <w:widowControl/>
        <w:spacing w:line="360" w:lineRule="auto"/>
        <w:ind w:firstLine="480" w:firstLineChars="200"/>
        <w:jc w:val="left"/>
        <w:rPr>
          <w:rFonts w:hint="eastAsia" w:asciiTheme="majorEastAsia" w:hAnsiTheme="majorEastAsia" w:eastAsiaTheme="majorEastAsia" w:cstheme="majorEastAsia"/>
          <w:highlight w:val="none"/>
        </w:rPr>
      </w:pPr>
      <w:r>
        <w:rPr>
          <w:rFonts w:hint="eastAsia" w:asciiTheme="majorEastAsia" w:hAnsiTheme="majorEastAsia" w:eastAsiaTheme="majorEastAsia" w:cstheme="majorEastAsia"/>
          <w:kern w:val="0"/>
          <w:sz w:val="24"/>
          <w:highlight w:val="none"/>
          <w:lang w:bidi="ar"/>
        </w:rPr>
        <w:t xml:space="preserve">13.1 乙方应保证所供货物是全新的、未使用过、按照国家标准生产的，并完全符合合同规定的质量、规格和性能要求，不存在以次充好、以假充真的情形，不存在翻新、返修的情形，任何主、次零部件及配件、随机耗材不存在回收利用的情形。乙方应保证其设备在正确安装、正常运转和保养条件下，在其使用期内应具有高于正常开机率的性能。在质量保证期内、外乙方均应对由于设计、工艺或材料的任何瑕疵、缺陷而发生的任何质量问题或故障负责，其费用由乙方承担。 </w:t>
      </w:r>
    </w:p>
    <w:p>
      <w:pPr>
        <w:widowControl/>
        <w:spacing w:line="360" w:lineRule="auto"/>
        <w:ind w:firstLine="480" w:firstLineChars="200"/>
        <w:jc w:val="left"/>
        <w:rPr>
          <w:rFonts w:hint="eastAsia" w:asciiTheme="majorEastAsia" w:hAnsiTheme="majorEastAsia" w:eastAsiaTheme="majorEastAsia" w:cstheme="majorEastAsia"/>
          <w:highlight w:val="none"/>
        </w:rPr>
      </w:pPr>
      <w:r>
        <w:rPr>
          <w:rFonts w:hint="eastAsia" w:asciiTheme="majorEastAsia" w:hAnsiTheme="majorEastAsia" w:eastAsiaTheme="majorEastAsia" w:cstheme="majorEastAsia"/>
          <w:kern w:val="0"/>
          <w:sz w:val="24"/>
          <w:highlight w:val="none"/>
          <w:lang w:bidi="ar"/>
        </w:rPr>
        <w:t xml:space="preserve">13.2 根据有关部门的检验结果，在项目实施过程中直至质量保证期内，如果设备的数量、质量、规格、型号、参数、性能、功能与合同不符，或证实设备是有瑕疵、缺陷的，包括潜在的缺陷或使用了不符合要求的材料、零部件、配件等，甲方均有权按本合同相关保证和索赔条款的约定、以书面形式或其他形式向乙方提出各项索赔。 </w:t>
      </w:r>
    </w:p>
    <w:p>
      <w:pPr>
        <w:widowControl/>
        <w:spacing w:line="360" w:lineRule="auto"/>
        <w:ind w:firstLine="480" w:firstLineChars="200"/>
        <w:jc w:val="left"/>
        <w:rPr>
          <w:rFonts w:hint="eastAsia" w:asciiTheme="majorEastAsia" w:hAnsiTheme="majorEastAsia" w:eastAsiaTheme="majorEastAsia" w:cstheme="majorEastAsia"/>
          <w:highlight w:val="none"/>
        </w:rPr>
      </w:pPr>
      <w:r>
        <w:rPr>
          <w:rFonts w:hint="eastAsia" w:asciiTheme="majorEastAsia" w:hAnsiTheme="majorEastAsia" w:eastAsiaTheme="majorEastAsia" w:cstheme="majorEastAsia"/>
          <w:kern w:val="0"/>
          <w:sz w:val="24"/>
          <w:highlight w:val="none"/>
          <w:lang w:bidi="ar"/>
        </w:rPr>
        <w:t xml:space="preserve">13.3 乙方在收到通知后三天内应免费维修或更换有瑕疵、缺陷的货物或部件，十五天内支付索赔款项；对索赔有异议的，应在收到通知后的三天内提出，否则视为无异议。甲方向乙方本合同约定任一通讯地址或方式发出通知，均视为正当、合法、合理地履行了通知义务；发出通知后超过三天，乙方未做任何响应的，视为乙方收到通知并全部同意和接受甲方通知的内容。 </w:t>
      </w:r>
    </w:p>
    <w:p>
      <w:pPr>
        <w:widowControl/>
        <w:spacing w:line="360" w:lineRule="auto"/>
        <w:ind w:firstLine="480" w:firstLineChars="200"/>
        <w:jc w:val="left"/>
        <w:rPr>
          <w:rFonts w:hint="eastAsia" w:asciiTheme="majorEastAsia" w:hAnsiTheme="majorEastAsia" w:eastAsiaTheme="majorEastAsia" w:cstheme="majorEastAsia"/>
          <w:highlight w:val="none"/>
        </w:rPr>
      </w:pPr>
      <w:r>
        <w:rPr>
          <w:rFonts w:hint="eastAsia" w:asciiTheme="majorEastAsia" w:hAnsiTheme="majorEastAsia" w:eastAsiaTheme="majorEastAsia" w:cstheme="majorEastAsia"/>
          <w:kern w:val="0"/>
          <w:sz w:val="24"/>
          <w:highlight w:val="none"/>
          <w:lang w:bidi="ar"/>
        </w:rPr>
        <w:t xml:space="preserve">13.4 如果乙方在收到通知后三天内没有维修、弥补瑕疵或缺陷，甲方可采取必要的补救措施，包括聘请第三方，但其风险和费用将由乙方承担。甲方根据合同规定对乙方行使的其他权利不受影响。 </w:t>
      </w:r>
    </w:p>
    <w:p>
      <w:pPr>
        <w:widowControl/>
        <w:spacing w:line="360" w:lineRule="auto"/>
        <w:jc w:val="left"/>
        <w:rPr>
          <w:rFonts w:hint="eastAsia" w:asciiTheme="majorEastAsia" w:hAnsiTheme="majorEastAsia" w:eastAsiaTheme="majorEastAsia" w:cstheme="majorEastAsia"/>
          <w:highlight w:val="none"/>
        </w:rPr>
      </w:pPr>
      <w:r>
        <w:rPr>
          <w:rFonts w:hint="eastAsia" w:asciiTheme="majorEastAsia" w:hAnsiTheme="majorEastAsia" w:eastAsiaTheme="majorEastAsia" w:cstheme="majorEastAsia"/>
          <w:b/>
          <w:bCs/>
          <w:kern w:val="0"/>
          <w:sz w:val="24"/>
          <w:highlight w:val="none"/>
          <w:lang w:bidi="ar"/>
        </w:rPr>
        <w:t xml:space="preserve">14. 索赔 </w:t>
      </w:r>
    </w:p>
    <w:p>
      <w:pPr>
        <w:widowControl/>
        <w:spacing w:line="360" w:lineRule="auto"/>
        <w:ind w:firstLine="480" w:firstLineChars="200"/>
        <w:jc w:val="left"/>
        <w:rPr>
          <w:rFonts w:hint="eastAsia" w:asciiTheme="majorEastAsia" w:hAnsiTheme="majorEastAsia" w:eastAsiaTheme="majorEastAsia" w:cstheme="majorEastAsia"/>
          <w:highlight w:val="none"/>
        </w:rPr>
      </w:pPr>
      <w:r>
        <w:rPr>
          <w:rFonts w:hint="eastAsia" w:asciiTheme="majorEastAsia" w:hAnsiTheme="majorEastAsia" w:eastAsiaTheme="majorEastAsia" w:cstheme="majorEastAsia"/>
          <w:kern w:val="0"/>
          <w:sz w:val="24"/>
          <w:highlight w:val="none"/>
          <w:lang w:bidi="ar"/>
        </w:rPr>
        <w:t>14．1 甲方有权根据本地市场监督部门或有关部门出具的质检证书向供货方提出索赔、追偿，如责任由保险公司、承运人或其他第三方承担的，乙方应提供保险公司、承运人、第三方的一切信息，乙方不提供的，甲方有权向乙方索赔、追偿。</w:t>
      </w:r>
    </w:p>
    <w:p>
      <w:pPr>
        <w:widowControl/>
        <w:spacing w:line="360" w:lineRule="auto"/>
        <w:ind w:firstLine="480" w:firstLineChars="200"/>
        <w:jc w:val="left"/>
        <w:rPr>
          <w:rFonts w:hint="eastAsia" w:asciiTheme="majorEastAsia" w:hAnsiTheme="majorEastAsia" w:eastAsiaTheme="majorEastAsia" w:cstheme="majorEastAsia"/>
          <w:highlight w:val="none"/>
        </w:rPr>
      </w:pPr>
      <w:r>
        <w:rPr>
          <w:rFonts w:hint="eastAsia" w:asciiTheme="majorEastAsia" w:hAnsiTheme="majorEastAsia" w:eastAsiaTheme="majorEastAsia" w:cstheme="majorEastAsia"/>
          <w:kern w:val="0"/>
          <w:sz w:val="24"/>
          <w:highlight w:val="none"/>
          <w:lang w:bidi="ar"/>
        </w:rPr>
        <w:t>14．2 在合同规定的检验期和质量保证期内，如果乙方对甲方提出的追偿、索赔负有责任，乙方应按照甲方同意的下列一种或多种方式解决追偿、</w:t>
      </w:r>
      <w:r>
        <w:rPr>
          <w:rFonts w:hint="eastAsia" w:asciiTheme="majorEastAsia" w:hAnsiTheme="majorEastAsia" w:eastAsiaTheme="majorEastAsia" w:cstheme="majorEastAsia"/>
          <w:kern w:val="0"/>
          <w:sz w:val="24"/>
          <w:highlight w:val="none"/>
          <w:lang w:val="en-US" w:eastAsia="zh-CN" w:bidi="ar"/>
        </w:rPr>
        <w:t>解</w:t>
      </w:r>
      <w:r>
        <w:rPr>
          <w:rFonts w:hint="eastAsia" w:asciiTheme="majorEastAsia" w:hAnsiTheme="majorEastAsia" w:eastAsiaTheme="majorEastAsia" w:cstheme="majorEastAsia"/>
          <w:kern w:val="0"/>
          <w:sz w:val="24"/>
          <w:highlight w:val="none"/>
          <w:lang w:bidi="ar"/>
        </w:rPr>
        <w:t xml:space="preserve">决索赔事宜。 </w:t>
      </w:r>
    </w:p>
    <w:p>
      <w:pPr>
        <w:widowControl/>
        <w:spacing w:line="360" w:lineRule="auto"/>
        <w:ind w:firstLine="480" w:firstLineChars="200"/>
        <w:jc w:val="left"/>
        <w:rPr>
          <w:rFonts w:hint="eastAsia" w:asciiTheme="majorEastAsia" w:hAnsiTheme="majorEastAsia" w:eastAsiaTheme="majorEastAsia" w:cstheme="majorEastAsia"/>
          <w:highlight w:val="none"/>
        </w:rPr>
      </w:pPr>
      <w:r>
        <w:rPr>
          <w:rFonts w:hint="eastAsia" w:asciiTheme="majorEastAsia" w:hAnsiTheme="majorEastAsia" w:eastAsiaTheme="majorEastAsia" w:cstheme="majorEastAsia"/>
          <w:kern w:val="0"/>
          <w:sz w:val="24"/>
          <w:highlight w:val="none"/>
          <w:lang w:bidi="ar"/>
        </w:rPr>
        <w:t xml:space="preserve">1）乙方同意甲方拒收货物并退货，并将甲方已支付的货款原路退还给甲方，并承担由此发生的一切损失和费用，包括利息、银行手续费、运费、保险费、检验费、仓储费、装卸费以及为保护拒收货物产生的其他必要费用。 </w:t>
      </w:r>
    </w:p>
    <w:p>
      <w:pPr>
        <w:widowControl/>
        <w:spacing w:line="360" w:lineRule="auto"/>
        <w:ind w:firstLine="480" w:firstLineChars="200"/>
        <w:jc w:val="left"/>
        <w:rPr>
          <w:rFonts w:hint="eastAsia" w:asciiTheme="majorEastAsia" w:hAnsiTheme="majorEastAsia" w:eastAsiaTheme="majorEastAsia" w:cstheme="majorEastAsia"/>
          <w:highlight w:val="none"/>
        </w:rPr>
      </w:pPr>
      <w:r>
        <w:rPr>
          <w:rFonts w:hint="eastAsia" w:asciiTheme="majorEastAsia" w:hAnsiTheme="majorEastAsia" w:eastAsiaTheme="majorEastAsia" w:cstheme="majorEastAsia"/>
          <w:kern w:val="0"/>
          <w:sz w:val="24"/>
          <w:highlight w:val="none"/>
          <w:lang w:bidi="ar"/>
        </w:rPr>
        <w:t>2）用符合规定要求的货物整体或者部分更换有瑕疵、缺陷的部分，乙方应承担—切风险并负担甲方所遭受的全部直接损失</w:t>
      </w:r>
      <w:r>
        <w:rPr>
          <w:rFonts w:hint="eastAsia" w:asciiTheme="majorEastAsia" w:hAnsiTheme="majorEastAsia" w:eastAsiaTheme="majorEastAsia" w:cstheme="majorEastAsia"/>
          <w:kern w:val="0"/>
          <w:sz w:val="24"/>
          <w:highlight w:val="none"/>
          <w:lang w:val="en-US" w:eastAsia="zh-CN" w:bidi="ar"/>
        </w:rPr>
        <w:t>及</w:t>
      </w:r>
      <w:r>
        <w:rPr>
          <w:rFonts w:hint="eastAsia" w:asciiTheme="majorEastAsia" w:hAnsiTheme="majorEastAsia" w:eastAsiaTheme="majorEastAsia" w:cstheme="majorEastAsia"/>
          <w:kern w:val="0"/>
          <w:sz w:val="24"/>
          <w:highlight w:val="none"/>
          <w:lang w:bidi="ar"/>
        </w:rPr>
        <w:t xml:space="preserve">费用。 </w:t>
      </w:r>
    </w:p>
    <w:p>
      <w:pPr>
        <w:widowControl/>
        <w:spacing w:line="360" w:lineRule="auto"/>
        <w:ind w:firstLine="480" w:firstLineChars="200"/>
        <w:jc w:val="left"/>
        <w:rPr>
          <w:rFonts w:hint="eastAsia" w:asciiTheme="majorEastAsia" w:hAnsiTheme="majorEastAsia" w:eastAsiaTheme="majorEastAsia" w:cstheme="majorEastAsia"/>
          <w:kern w:val="0"/>
          <w:sz w:val="24"/>
          <w:highlight w:val="none"/>
          <w:lang w:bidi="ar"/>
        </w:rPr>
      </w:pPr>
      <w:r>
        <w:rPr>
          <w:rFonts w:hint="eastAsia" w:asciiTheme="majorEastAsia" w:hAnsiTheme="majorEastAsia" w:eastAsiaTheme="majorEastAsia" w:cstheme="majorEastAsia"/>
          <w:kern w:val="0"/>
          <w:sz w:val="24"/>
          <w:highlight w:val="none"/>
          <w:lang w:bidi="ar"/>
        </w:rPr>
        <w:t>14.3 如果在甲方发出索赔通知后3天内，乙方未做答复，上述索赔应视为已被乙方接受。如乙方未能在采购方提出索赔通知后 3 天内或甲方同意的延长时间内，按照本合同第14.2条规定的任何—种方式解决索赔事宜，甲方将从供货方质量保证金中扣回索赔金额，保证金数额不足的，乙方应补足，导致甲方通过诉讼方式实现权利的，应向甲方所在地有管辖权的人民法院提起诉讼。乙方应承担甲方因处理本协议项下纠纷所产生的诉讼费、仲裁费、保全费及保全保险费、律师费、差旅费、鉴定费等一切费用。</w:t>
      </w:r>
    </w:p>
    <w:p>
      <w:pPr>
        <w:widowControl/>
        <w:spacing w:line="360" w:lineRule="auto"/>
        <w:ind w:firstLine="480" w:firstLineChars="200"/>
        <w:jc w:val="left"/>
        <w:rPr>
          <w:rFonts w:hint="eastAsia" w:asciiTheme="majorEastAsia" w:hAnsiTheme="majorEastAsia" w:eastAsiaTheme="majorEastAsia" w:cstheme="majorEastAsia"/>
          <w:highlight w:val="none"/>
        </w:rPr>
      </w:pPr>
      <w:r>
        <w:rPr>
          <w:rFonts w:hint="eastAsia" w:asciiTheme="majorEastAsia" w:hAnsiTheme="majorEastAsia" w:eastAsiaTheme="majorEastAsia" w:cstheme="majorEastAsia"/>
          <w:kern w:val="0"/>
          <w:sz w:val="24"/>
          <w:highlight w:val="none"/>
          <w:lang w:bidi="ar"/>
        </w:rPr>
        <w:t xml:space="preserve"> 14.4 因乙方故意或重大过失造成甲方财产损失或因乙方原因造成人员伤亡事件时，由此产生的责任全部有乙方承担并赔偿甲方全部损失。 </w:t>
      </w:r>
    </w:p>
    <w:p>
      <w:pPr>
        <w:widowControl/>
        <w:spacing w:line="360" w:lineRule="auto"/>
        <w:jc w:val="left"/>
        <w:rPr>
          <w:rFonts w:hint="eastAsia" w:asciiTheme="majorEastAsia" w:hAnsiTheme="majorEastAsia" w:eastAsiaTheme="majorEastAsia" w:cstheme="majorEastAsia"/>
          <w:highlight w:val="none"/>
        </w:rPr>
      </w:pPr>
      <w:r>
        <w:rPr>
          <w:rFonts w:hint="eastAsia" w:asciiTheme="majorEastAsia" w:hAnsiTheme="majorEastAsia" w:eastAsiaTheme="majorEastAsia" w:cstheme="majorEastAsia"/>
          <w:b/>
          <w:bCs/>
          <w:kern w:val="0"/>
          <w:sz w:val="24"/>
          <w:highlight w:val="none"/>
          <w:lang w:bidi="ar"/>
        </w:rPr>
        <w:t xml:space="preserve">15．付款 </w:t>
      </w:r>
    </w:p>
    <w:p>
      <w:pPr>
        <w:widowControl/>
        <w:spacing w:line="360" w:lineRule="auto"/>
        <w:jc w:val="left"/>
        <w:rPr>
          <w:rFonts w:hint="eastAsia" w:asciiTheme="majorEastAsia" w:hAnsiTheme="majorEastAsia" w:eastAsiaTheme="majorEastAsia" w:cstheme="majorEastAsia"/>
          <w:highlight w:val="none"/>
        </w:rPr>
      </w:pPr>
      <w:r>
        <w:rPr>
          <w:rFonts w:hint="eastAsia" w:asciiTheme="majorEastAsia" w:hAnsiTheme="majorEastAsia" w:eastAsiaTheme="majorEastAsia" w:cstheme="majorEastAsia"/>
          <w:kern w:val="0"/>
          <w:sz w:val="24"/>
          <w:highlight w:val="none"/>
          <w:lang w:bidi="ar"/>
        </w:rPr>
        <w:t xml:space="preserve">本合同项下的付款方法和条件在“合同专用条款”中有规定。 </w:t>
      </w:r>
    </w:p>
    <w:p>
      <w:pPr>
        <w:widowControl/>
        <w:spacing w:line="360" w:lineRule="auto"/>
        <w:jc w:val="left"/>
        <w:rPr>
          <w:rFonts w:hint="eastAsia" w:asciiTheme="majorEastAsia" w:hAnsiTheme="majorEastAsia" w:eastAsiaTheme="majorEastAsia" w:cstheme="majorEastAsia"/>
          <w:highlight w:val="none"/>
        </w:rPr>
      </w:pPr>
      <w:r>
        <w:rPr>
          <w:rFonts w:hint="eastAsia" w:asciiTheme="majorEastAsia" w:hAnsiTheme="majorEastAsia" w:eastAsiaTheme="majorEastAsia" w:cstheme="majorEastAsia"/>
          <w:b/>
          <w:bCs/>
          <w:kern w:val="0"/>
          <w:sz w:val="24"/>
          <w:highlight w:val="none"/>
          <w:lang w:bidi="ar"/>
        </w:rPr>
        <w:t xml:space="preserve">16．交货 </w:t>
      </w:r>
    </w:p>
    <w:p>
      <w:pPr>
        <w:widowControl/>
        <w:spacing w:line="360" w:lineRule="auto"/>
        <w:jc w:val="left"/>
        <w:rPr>
          <w:rFonts w:hint="eastAsia" w:asciiTheme="majorEastAsia" w:hAnsiTheme="majorEastAsia" w:eastAsiaTheme="majorEastAsia" w:cstheme="majorEastAsia"/>
          <w:highlight w:val="none"/>
        </w:rPr>
      </w:pPr>
      <w:r>
        <w:rPr>
          <w:rFonts w:hint="eastAsia" w:asciiTheme="majorEastAsia" w:hAnsiTheme="majorEastAsia" w:eastAsiaTheme="majorEastAsia" w:cstheme="majorEastAsia"/>
          <w:kern w:val="0"/>
          <w:sz w:val="24"/>
          <w:highlight w:val="none"/>
          <w:lang w:bidi="ar"/>
        </w:rPr>
        <w:t xml:space="preserve">乙方在按照本合同约定向甲方提交货物和履行服务。 </w:t>
      </w:r>
    </w:p>
    <w:p>
      <w:pPr>
        <w:widowControl/>
        <w:spacing w:line="360" w:lineRule="auto"/>
        <w:jc w:val="left"/>
        <w:rPr>
          <w:rFonts w:hint="eastAsia" w:asciiTheme="majorEastAsia" w:hAnsiTheme="majorEastAsia" w:eastAsiaTheme="majorEastAsia" w:cstheme="majorEastAsia"/>
          <w:highlight w:val="none"/>
        </w:rPr>
      </w:pPr>
      <w:r>
        <w:rPr>
          <w:rFonts w:hint="eastAsia" w:asciiTheme="majorEastAsia" w:hAnsiTheme="majorEastAsia" w:eastAsiaTheme="majorEastAsia" w:cstheme="majorEastAsia"/>
          <w:b/>
          <w:bCs/>
          <w:kern w:val="0"/>
          <w:sz w:val="24"/>
          <w:highlight w:val="none"/>
          <w:lang w:bidi="ar"/>
        </w:rPr>
        <w:t xml:space="preserve">17．变更指令 </w:t>
      </w:r>
    </w:p>
    <w:p>
      <w:pPr>
        <w:widowControl/>
        <w:spacing w:line="360" w:lineRule="auto"/>
        <w:ind w:firstLine="480" w:firstLineChars="200"/>
        <w:jc w:val="left"/>
        <w:rPr>
          <w:rFonts w:hint="eastAsia" w:asciiTheme="majorEastAsia" w:hAnsiTheme="majorEastAsia" w:eastAsiaTheme="majorEastAsia" w:cstheme="majorEastAsia"/>
          <w:highlight w:val="none"/>
        </w:rPr>
      </w:pPr>
      <w:r>
        <w:rPr>
          <w:rFonts w:hint="eastAsia" w:asciiTheme="majorEastAsia" w:hAnsiTheme="majorEastAsia" w:eastAsiaTheme="majorEastAsia" w:cstheme="majorEastAsia"/>
          <w:kern w:val="0"/>
          <w:sz w:val="24"/>
          <w:highlight w:val="none"/>
          <w:lang w:bidi="ar"/>
        </w:rPr>
        <w:t>17.1 甲方可以在任何时候书面向乙方发出指令，在本合同的一般范围内变更下述一项或几项：</w:t>
      </w:r>
    </w:p>
    <w:p>
      <w:pPr>
        <w:widowControl/>
        <w:spacing w:line="360" w:lineRule="auto"/>
        <w:jc w:val="left"/>
        <w:rPr>
          <w:rFonts w:hint="eastAsia" w:asciiTheme="majorEastAsia" w:hAnsiTheme="majorEastAsia" w:eastAsiaTheme="majorEastAsia" w:cstheme="majorEastAsia"/>
          <w:highlight w:val="none"/>
        </w:rPr>
      </w:pPr>
      <w:r>
        <w:rPr>
          <w:rFonts w:hint="eastAsia" w:asciiTheme="majorEastAsia" w:hAnsiTheme="majorEastAsia" w:eastAsiaTheme="majorEastAsia" w:cstheme="majorEastAsia"/>
          <w:kern w:val="0"/>
          <w:sz w:val="24"/>
          <w:highlight w:val="none"/>
          <w:lang w:bidi="ar"/>
        </w:rPr>
        <w:t xml:space="preserve">1）运输或包装的方法； </w:t>
      </w:r>
    </w:p>
    <w:p>
      <w:pPr>
        <w:widowControl/>
        <w:spacing w:line="360" w:lineRule="auto"/>
        <w:jc w:val="left"/>
        <w:rPr>
          <w:rFonts w:hint="eastAsia" w:asciiTheme="majorEastAsia" w:hAnsiTheme="majorEastAsia" w:eastAsiaTheme="majorEastAsia" w:cstheme="majorEastAsia"/>
          <w:highlight w:val="none"/>
        </w:rPr>
      </w:pPr>
      <w:r>
        <w:rPr>
          <w:rFonts w:hint="eastAsia" w:asciiTheme="majorEastAsia" w:hAnsiTheme="majorEastAsia" w:eastAsiaTheme="majorEastAsia" w:cstheme="majorEastAsia"/>
          <w:kern w:val="0"/>
          <w:sz w:val="24"/>
          <w:highlight w:val="none"/>
          <w:lang w:bidi="ar"/>
        </w:rPr>
        <w:t xml:space="preserve">2）交货地点； </w:t>
      </w:r>
    </w:p>
    <w:p>
      <w:pPr>
        <w:widowControl/>
        <w:spacing w:line="360" w:lineRule="auto"/>
        <w:jc w:val="left"/>
        <w:rPr>
          <w:rFonts w:hint="eastAsia" w:asciiTheme="majorEastAsia" w:hAnsiTheme="majorEastAsia" w:eastAsiaTheme="majorEastAsia" w:cstheme="majorEastAsia"/>
          <w:highlight w:val="none"/>
        </w:rPr>
      </w:pPr>
      <w:r>
        <w:rPr>
          <w:rFonts w:hint="eastAsia" w:asciiTheme="majorEastAsia" w:hAnsiTheme="majorEastAsia" w:eastAsiaTheme="majorEastAsia" w:cstheme="majorEastAsia"/>
          <w:kern w:val="0"/>
          <w:sz w:val="24"/>
          <w:highlight w:val="none"/>
          <w:lang w:bidi="ar"/>
        </w:rPr>
        <w:t xml:space="preserve">3）乙方提供的服务。 </w:t>
      </w:r>
    </w:p>
    <w:p>
      <w:pPr>
        <w:widowControl/>
        <w:spacing w:line="360" w:lineRule="auto"/>
        <w:ind w:firstLine="480" w:firstLineChars="200"/>
        <w:jc w:val="left"/>
        <w:rPr>
          <w:rFonts w:hint="eastAsia" w:asciiTheme="majorEastAsia" w:hAnsiTheme="majorEastAsia" w:eastAsiaTheme="majorEastAsia" w:cstheme="majorEastAsia"/>
          <w:highlight w:val="none"/>
        </w:rPr>
      </w:pPr>
      <w:r>
        <w:rPr>
          <w:rFonts w:hint="eastAsia" w:asciiTheme="majorEastAsia" w:hAnsiTheme="majorEastAsia" w:eastAsiaTheme="majorEastAsia" w:cstheme="majorEastAsia"/>
          <w:kern w:val="0"/>
          <w:sz w:val="24"/>
          <w:highlight w:val="none"/>
          <w:lang w:bidi="ar"/>
        </w:rPr>
        <w:t xml:space="preserve">17.2 如果上述变更使乙方履行合同义务的费用或时间增加或减少，将对合同价或交货时间或两者进行公平的调整，同时相应修改合同。 </w:t>
      </w:r>
    </w:p>
    <w:p>
      <w:pPr>
        <w:widowControl/>
        <w:spacing w:line="360" w:lineRule="auto"/>
        <w:jc w:val="left"/>
        <w:rPr>
          <w:rFonts w:hint="eastAsia" w:asciiTheme="majorEastAsia" w:hAnsiTheme="majorEastAsia" w:eastAsiaTheme="majorEastAsia" w:cstheme="majorEastAsia"/>
          <w:highlight w:val="none"/>
        </w:rPr>
      </w:pPr>
      <w:r>
        <w:rPr>
          <w:rFonts w:hint="eastAsia" w:asciiTheme="majorEastAsia" w:hAnsiTheme="majorEastAsia" w:eastAsiaTheme="majorEastAsia" w:cstheme="majorEastAsia"/>
          <w:b/>
          <w:bCs/>
          <w:kern w:val="0"/>
          <w:sz w:val="24"/>
          <w:highlight w:val="none"/>
          <w:lang w:bidi="ar"/>
        </w:rPr>
        <w:t xml:space="preserve">18．合同修改 </w:t>
      </w:r>
    </w:p>
    <w:p>
      <w:pPr>
        <w:widowControl/>
        <w:spacing w:line="360" w:lineRule="auto"/>
        <w:ind w:firstLine="480" w:firstLineChars="200"/>
        <w:jc w:val="left"/>
        <w:rPr>
          <w:rFonts w:hint="eastAsia" w:asciiTheme="majorEastAsia" w:hAnsiTheme="majorEastAsia" w:eastAsiaTheme="majorEastAsia" w:cstheme="majorEastAsia"/>
          <w:highlight w:val="none"/>
        </w:rPr>
      </w:pPr>
      <w:r>
        <w:rPr>
          <w:rFonts w:hint="eastAsia" w:asciiTheme="majorEastAsia" w:hAnsiTheme="majorEastAsia" w:eastAsiaTheme="majorEastAsia" w:cstheme="majorEastAsia"/>
          <w:kern w:val="0"/>
          <w:sz w:val="24"/>
          <w:highlight w:val="none"/>
          <w:lang w:bidi="ar"/>
        </w:rPr>
        <w:t xml:space="preserve">本合同签订后，任何一方不应对合同条款单方进行任何变更或修改，除非甲乙双方同意并签订书面的合同修改协议。 </w:t>
      </w:r>
    </w:p>
    <w:p>
      <w:pPr>
        <w:widowControl/>
        <w:spacing w:line="360" w:lineRule="auto"/>
        <w:jc w:val="left"/>
        <w:rPr>
          <w:rFonts w:hint="eastAsia" w:asciiTheme="majorEastAsia" w:hAnsiTheme="majorEastAsia" w:eastAsiaTheme="majorEastAsia" w:cstheme="majorEastAsia"/>
          <w:highlight w:val="none"/>
        </w:rPr>
      </w:pPr>
      <w:r>
        <w:rPr>
          <w:rFonts w:hint="eastAsia" w:asciiTheme="majorEastAsia" w:hAnsiTheme="majorEastAsia" w:eastAsiaTheme="majorEastAsia" w:cstheme="majorEastAsia"/>
          <w:b/>
          <w:bCs/>
          <w:kern w:val="0"/>
          <w:sz w:val="24"/>
          <w:highlight w:val="none"/>
          <w:lang w:bidi="ar"/>
        </w:rPr>
        <w:t xml:space="preserve">19．使用合同文件和资料 </w:t>
      </w:r>
    </w:p>
    <w:p>
      <w:pPr>
        <w:widowControl/>
        <w:spacing w:line="360" w:lineRule="auto"/>
        <w:ind w:firstLine="480" w:firstLineChars="200"/>
        <w:jc w:val="left"/>
        <w:rPr>
          <w:rFonts w:hint="eastAsia" w:asciiTheme="majorEastAsia" w:hAnsiTheme="majorEastAsia" w:eastAsiaTheme="majorEastAsia" w:cstheme="majorEastAsia"/>
          <w:highlight w:val="none"/>
        </w:rPr>
      </w:pPr>
      <w:r>
        <w:rPr>
          <w:rFonts w:hint="eastAsia" w:asciiTheme="majorEastAsia" w:hAnsiTheme="majorEastAsia" w:eastAsiaTheme="majorEastAsia" w:cstheme="majorEastAsia"/>
          <w:kern w:val="0"/>
          <w:sz w:val="24"/>
          <w:highlight w:val="none"/>
          <w:lang w:bidi="ar"/>
        </w:rPr>
        <w:t>19.1 没有甲方事先书面同意，乙方不得将由甲方或代表甲方提供的有关合同或任何合同条文、规格、计划、图纸、模型、样品或资料提供</w:t>
      </w:r>
      <w:r>
        <w:rPr>
          <w:rFonts w:hint="eastAsia" w:asciiTheme="majorEastAsia" w:hAnsiTheme="majorEastAsia" w:eastAsiaTheme="majorEastAsia" w:cstheme="majorEastAsia"/>
          <w:kern w:val="0"/>
          <w:sz w:val="24"/>
          <w:highlight w:val="none"/>
          <w:lang w:eastAsia="zh-CN" w:bidi="ar"/>
        </w:rPr>
        <w:t>给予</w:t>
      </w:r>
      <w:r>
        <w:rPr>
          <w:rFonts w:hint="eastAsia" w:asciiTheme="majorEastAsia" w:hAnsiTheme="majorEastAsia" w:eastAsiaTheme="majorEastAsia" w:cstheme="majorEastAsia"/>
          <w:kern w:val="0"/>
          <w:sz w:val="24"/>
          <w:highlight w:val="none"/>
          <w:lang w:bidi="ar"/>
        </w:rPr>
        <w:t xml:space="preserve">履行本合同无关的任何其他人。即使向与履行本合同有关的人员提供，也应注意保密并限于履行合同必需的范围。 </w:t>
      </w:r>
    </w:p>
    <w:p>
      <w:pPr>
        <w:widowControl/>
        <w:spacing w:line="360" w:lineRule="auto"/>
        <w:ind w:firstLine="480" w:firstLineChars="200"/>
        <w:jc w:val="left"/>
        <w:rPr>
          <w:rFonts w:hint="eastAsia" w:asciiTheme="majorEastAsia" w:hAnsiTheme="majorEastAsia" w:eastAsiaTheme="majorEastAsia" w:cstheme="majorEastAsia"/>
          <w:highlight w:val="none"/>
        </w:rPr>
      </w:pPr>
      <w:r>
        <w:rPr>
          <w:rFonts w:hint="eastAsia" w:asciiTheme="majorEastAsia" w:hAnsiTheme="majorEastAsia" w:eastAsiaTheme="majorEastAsia" w:cstheme="majorEastAsia"/>
          <w:kern w:val="0"/>
          <w:sz w:val="24"/>
          <w:highlight w:val="none"/>
          <w:lang w:bidi="ar"/>
        </w:rPr>
        <w:t xml:space="preserve">19.2 没有甲方事先书面同意，除了履行本合同外，乙方不应使用与本合同有关的任何文件和资料。 </w:t>
      </w:r>
    </w:p>
    <w:p>
      <w:pPr>
        <w:widowControl/>
        <w:spacing w:line="360" w:lineRule="auto"/>
        <w:jc w:val="left"/>
        <w:rPr>
          <w:rFonts w:hint="eastAsia" w:asciiTheme="majorEastAsia" w:hAnsiTheme="majorEastAsia" w:eastAsiaTheme="majorEastAsia" w:cstheme="majorEastAsia"/>
          <w:highlight w:val="none"/>
        </w:rPr>
      </w:pPr>
      <w:r>
        <w:rPr>
          <w:rFonts w:hint="eastAsia" w:asciiTheme="majorEastAsia" w:hAnsiTheme="majorEastAsia" w:eastAsiaTheme="majorEastAsia" w:cstheme="majorEastAsia"/>
          <w:kern w:val="0"/>
          <w:sz w:val="24"/>
          <w:highlight w:val="none"/>
          <w:lang w:bidi="ar"/>
        </w:rPr>
        <w:t xml:space="preserve">19.3 除与本合同有关的任何文件、资料均是甲方的财产。如果甲方有要求，乙方在完成合同后应将这些文件及全部复制件返还甲方，不能返还的应予以销毁，不得留存。 </w:t>
      </w:r>
    </w:p>
    <w:p>
      <w:pPr>
        <w:widowControl/>
        <w:spacing w:line="360" w:lineRule="auto"/>
        <w:jc w:val="left"/>
        <w:rPr>
          <w:rFonts w:hint="eastAsia" w:asciiTheme="majorEastAsia" w:hAnsiTheme="majorEastAsia" w:eastAsiaTheme="majorEastAsia" w:cstheme="majorEastAsia"/>
          <w:highlight w:val="none"/>
        </w:rPr>
      </w:pPr>
      <w:r>
        <w:rPr>
          <w:rFonts w:hint="eastAsia" w:asciiTheme="majorEastAsia" w:hAnsiTheme="majorEastAsia" w:eastAsiaTheme="majorEastAsia" w:cstheme="majorEastAsia"/>
          <w:b/>
          <w:bCs/>
          <w:kern w:val="0"/>
          <w:sz w:val="24"/>
          <w:highlight w:val="none"/>
          <w:lang w:bidi="ar"/>
        </w:rPr>
        <w:t xml:space="preserve">20．乙方履约延误 </w:t>
      </w:r>
    </w:p>
    <w:p>
      <w:pPr>
        <w:widowControl/>
        <w:spacing w:line="360" w:lineRule="auto"/>
        <w:ind w:firstLine="480" w:firstLineChars="200"/>
        <w:jc w:val="left"/>
        <w:rPr>
          <w:rFonts w:hint="eastAsia" w:asciiTheme="majorEastAsia" w:hAnsiTheme="majorEastAsia" w:eastAsiaTheme="majorEastAsia" w:cstheme="majorEastAsia"/>
          <w:highlight w:val="none"/>
        </w:rPr>
      </w:pPr>
      <w:r>
        <w:rPr>
          <w:rFonts w:hint="eastAsia" w:asciiTheme="majorEastAsia" w:hAnsiTheme="majorEastAsia" w:eastAsiaTheme="majorEastAsia" w:cstheme="majorEastAsia"/>
          <w:kern w:val="0"/>
          <w:sz w:val="24"/>
          <w:highlight w:val="none"/>
          <w:lang w:bidi="ar"/>
        </w:rPr>
        <w:t xml:space="preserve">20.1 乙方应按照招标文件中规定的时间交货和提供服务。 </w:t>
      </w:r>
    </w:p>
    <w:p>
      <w:pPr>
        <w:widowControl/>
        <w:spacing w:line="360" w:lineRule="auto"/>
        <w:ind w:firstLine="480" w:firstLineChars="200"/>
        <w:jc w:val="left"/>
        <w:rPr>
          <w:rFonts w:hint="eastAsia" w:asciiTheme="majorEastAsia" w:hAnsiTheme="majorEastAsia" w:eastAsiaTheme="majorEastAsia" w:cstheme="majorEastAsia"/>
          <w:highlight w:val="none"/>
        </w:rPr>
      </w:pPr>
      <w:r>
        <w:rPr>
          <w:rFonts w:hint="eastAsia" w:asciiTheme="majorEastAsia" w:hAnsiTheme="majorEastAsia" w:eastAsiaTheme="majorEastAsia" w:cstheme="majorEastAsia"/>
          <w:kern w:val="0"/>
          <w:sz w:val="24"/>
          <w:highlight w:val="none"/>
          <w:lang w:bidi="ar"/>
        </w:rPr>
        <w:t xml:space="preserve">20.2 在履行合同过程中，如果乙方遇到妨碍按时交货和提供服务的情况时，应及时将拖延的事实、可能拖延的时间和原因通知甲方。甲方在收到乙方通知后，应尽快对情况进行评价，并确定是否同意延长交货时间以及是否收取误期赔偿费。延期应通过修改合同的方式由甲乙双方认可。 </w:t>
      </w:r>
    </w:p>
    <w:p>
      <w:pPr>
        <w:widowControl/>
        <w:spacing w:line="360" w:lineRule="auto"/>
        <w:jc w:val="left"/>
        <w:rPr>
          <w:rFonts w:hint="eastAsia" w:asciiTheme="majorEastAsia" w:hAnsiTheme="majorEastAsia" w:eastAsiaTheme="majorEastAsia" w:cstheme="majorEastAsia"/>
          <w:highlight w:val="none"/>
        </w:rPr>
      </w:pPr>
      <w:r>
        <w:rPr>
          <w:rFonts w:hint="eastAsia" w:asciiTheme="majorEastAsia" w:hAnsiTheme="majorEastAsia" w:eastAsiaTheme="majorEastAsia" w:cstheme="majorEastAsia"/>
          <w:b/>
          <w:bCs/>
          <w:kern w:val="0"/>
          <w:sz w:val="24"/>
          <w:highlight w:val="none"/>
          <w:lang w:bidi="ar"/>
        </w:rPr>
        <w:t xml:space="preserve">21．误期赔偿费 </w:t>
      </w:r>
    </w:p>
    <w:p>
      <w:pPr>
        <w:widowControl/>
        <w:spacing w:line="360" w:lineRule="auto"/>
        <w:ind w:firstLine="480" w:firstLineChars="200"/>
        <w:jc w:val="left"/>
        <w:rPr>
          <w:rFonts w:hint="eastAsia" w:asciiTheme="majorEastAsia" w:hAnsiTheme="majorEastAsia" w:eastAsiaTheme="majorEastAsia" w:cstheme="majorEastAsia"/>
          <w:highlight w:val="none"/>
        </w:rPr>
      </w:pPr>
      <w:r>
        <w:rPr>
          <w:rFonts w:hint="eastAsia" w:asciiTheme="majorEastAsia" w:hAnsiTheme="majorEastAsia" w:eastAsiaTheme="majorEastAsia" w:cstheme="majorEastAsia"/>
          <w:kern w:val="0"/>
          <w:sz w:val="24"/>
          <w:highlight w:val="none"/>
          <w:lang w:bidi="ar"/>
        </w:rPr>
        <w:t xml:space="preserve">乙方迟延交付货物或者提供服务的，甲方应从货款中扣除误期赔偿费而不影响合同项下的其他补救方法，赔偿费（违约金）按合同总价款每天5‰计收，迟延超过30日历天内的，甲方有权解除合同。 </w:t>
      </w:r>
    </w:p>
    <w:p>
      <w:pPr>
        <w:widowControl/>
        <w:spacing w:line="360" w:lineRule="auto"/>
        <w:jc w:val="left"/>
        <w:rPr>
          <w:rFonts w:hint="eastAsia" w:asciiTheme="majorEastAsia" w:hAnsiTheme="majorEastAsia" w:eastAsiaTheme="majorEastAsia" w:cstheme="majorEastAsia"/>
          <w:highlight w:val="none"/>
        </w:rPr>
      </w:pPr>
      <w:r>
        <w:rPr>
          <w:rFonts w:hint="eastAsia" w:asciiTheme="majorEastAsia" w:hAnsiTheme="majorEastAsia" w:eastAsiaTheme="majorEastAsia" w:cstheme="majorEastAsia"/>
          <w:b/>
          <w:bCs/>
          <w:kern w:val="0"/>
          <w:sz w:val="24"/>
          <w:highlight w:val="none"/>
          <w:lang w:bidi="ar"/>
        </w:rPr>
        <w:t xml:space="preserve">22．违约终止合同 </w:t>
      </w:r>
    </w:p>
    <w:p>
      <w:pPr>
        <w:widowControl/>
        <w:spacing w:line="360" w:lineRule="auto"/>
        <w:ind w:firstLine="480" w:firstLineChars="200"/>
        <w:jc w:val="left"/>
        <w:rPr>
          <w:rFonts w:hint="eastAsia" w:asciiTheme="majorEastAsia" w:hAnsiTheme="majorEastAsia" w:eastAsiaTheme="majorEastAsia" w:cstheme="majorEastAsia"/>
          <w:highlight w:val="none"/>
        </w:rPr>
      </w:pPr>
      <w:r>
        <w:rPr>
          <w:rFonts w:hint="eastAsia" w:asciiTheme="majorEastAsia" w:hAnsiTheme="majorEastAsia" w:eastAsiaTheme="majorEastAsia" w:cstheme="majorEastAsia"/>
          <w:kern w:val="0"/>
          <w:sz w:val="24"/>
          <w:highlight w:val="none"/>
          <w:lang w:bidi="ar"/>
        </w:rPr>
        <w:t xml:space="preserve">22.1 在甲方对乙方违约而采取的任何补救措施不受影响的情况下，甲方可向乙方发出书面违约通知书，提出终止部分或全部合同： </w:t>
      </w:r>
    </w:p>
    <w:p>
      <w:pPr>
        <w:widowControl/>
        <w:spacing w:line="360" w:lineRule="auto"/>
        <w:ind w:firstLine="480" w:firstLineChars="200"/>
        <w:jc w:val="left"/>
        <w:rPr>
          <w:rFonts w:hint="eastAsia" w:asciiTheme="majorEastAsia" w:hAnsiTheme="majorEastAsia" w:eastAsiaTheme="majorEastAsia" w:cstheme="majorEastAsia"/>
          <w:highlight w:val="none"/>
        </w:rPr>
      </w:pPr>
      <w:r>
        <w:rPr>
          <w:rFonts w:hint="eastAsia" w:asciiTheme="majorEastAsia" w:hAnsiTheme="majorEastAsia" w:eastAsiaTheme="majorEastAsia" w:cstheme="majorEastAsia"/>
          <w:kern w:val="0"/>
          <w:sz w:val="24"/>
          <w:highlight w:val="none"/>
          <w:lang w:bidi="ar"/>
        </w:rPr>
        <w:t xml:space="preserve">1）如果乙方未能在合同规定的期限内或甲方根据合同条款的规定同意延长的期限内提供全部或部分货物； </w:t>
      </w:r>
    </w:p>
    <w:p>
      <w:pPr>
        <w:widowControl/>
        <w:spacing w:line="360" w:lineRule="auto"/>
        <w:ind w:firstLine="480" w:firstLineChars="200"/>
        <w:jc w:val="left"/>
        <w:rPr>
          <w:rFonts w:hint="eastAsia" w:asciiTheme="majorEastAsia" w:hAnsiTheme="majorEastAsia" w:eastAsiaTheme="majorEastAsia" w:cstheme="majorEastAsia"/>
          <w:highlight w:val="none"/>
        </w:rPr>
      </w:pPr>
      <w:r>
        <w:rPr>
          <w:rFonts w:hint="eastAsia" w:asciiTheme="majorEastAsia" w:hAnsiTheme="majorEastAsia" w:eastAsiaTheme="majorEastAsia" w:cstheme="majorEastAsia"/>
          <w:kern w:val="0"/>
          <w:sz w:val="24"/>
          <w:highlight w:val="none"/>
          <w:lang w:bidi="ar"/>
        </w:rPr>
        <w:t xml:space="preserve">2）如果乙方未能履行合同规定的其他任何义务。 </w:t>
      </w:r>
    </w:p>
    <w:p>
      <w:pPr>
        <w:widowControl/>
        <w:spacing w:line="360" w:lineRule="auto"/>
        <w:ind w:firstLine="480" w:firstLineChars="200"/>
        <w:jc w:val="left"/>
        <w:rPr>
          <w:rFonts w:hint="eastAsia" w:asciiTheme="majorEastAsia" w:hAnsiTheme="majorEastAsia" w:eastAsiaTheme="majorEastAsia" w:cstheme="majorEastAsia"/>
          <w:highlight w:val="none"/>
        </w:rPr>
      </w:pPr>
      <w:r>
        <w:rPr>
          <w:rFonts w:hint="eastAsia" w:asciiTheme="majorEastAsia" w:hAnsiTheme="majorEastAsia" w:eastAsiaTheme="majorEastAsia" w:cstheme="majorEastAsia"/>
          <w:kern w:val="0"/>
          <w:sz w:val="24"/>
          <w:highlight w:val="none"/>
          <w:lang w:bidi="ar"/>
        </w:rPr>
        <w:t xml:space="preserve">3）如果甲方认为乙方在本合同的竞争和实施过程中有腐败和欺诈行为。为此目的，定义下述条件： </w:t>
      </w:r>
    </w:p>
    <w:p>
      <w:pPr>
        <w:widowControl/>
        <w:spacing w:line="360" w:lineRule="auto"/>
        <w:ind w:firstLine="480" w:firstLineChars="200"/>
        <w:jc w:val="left"/>
        <w:rPr>
          <w:rFonts w:hint="eastAsia" w:asciiTheme="majorEastAsia" w:hAnsiTheme="majorEastAsia" w:eastAsiaTheme="majorEastAsia" w:cstheme="majorEastAsia"/>
          <w:highlight w:val="none"/>
        </w:rPr>
      </w:pPr>
      <w:r>
        <w:rPr>
          <w:rFonts w:hint="eastAsia" w:asciiTheme="majorEastAsia" w:hAnsiTheme="majorEastAsia" w:eastAsiaTheme="majorEastAsia" w:cstheme="majorEastAsia"/>
          <w:kern w:val="0"/>
          <w:sz w:val="24"/>
          <w:highlight w:val="none"/>
          <w:lang w:bidi="ar"/>
        </w:rPr>
        <w:t xml:space="preserve">a)“腐败行为”是指提供、给予、接受或索取任何有价值的物品来影响甲方在采购过程或合同实施过程中的行为。 </w:t>
      </w:r>
    </w:p>
    <w:p>
      <w:pPr>
        <w:widowControl/>
        <w:spacing w:line="360" w:lineRule="auto"/>
        <w:ind w:firstLine="480" w:firstLineChars="200"/>
        <w:jc w:val="left"/>
        <w:rPr>
          <w:rFonts w:hint="eastAsia" w:asciiTheme="majorEastAsia" w:hAnsiTheme="majorEastAsia" w:eastAsiaTheme="majorEastAsia" w:cstheme="majorEastAsia"/>
          <w:highlight w:val="none"/>
        </w:rPr>
      </w:pPr>
      <w:r>
        <w:rPr>
          <w:rFonts w:hint="eastAsia" w:asciiTheme="majorEastAsia" w:hAnsiTheme="majorEastAsia" w:eastAsiaTheme="majorEastAsia" w:cstheme="majorEastAsia"/>
          <w:kern w:val="0"/>
          <w:sz w:val="24"/>
          <w:highlight w:val="none"/>
          <w:lang w:bidi="ar"/>
        </w:rPr>
        <w:t xml:space="preserve">b)“欺诈行为”是指为了影响采购过程或合同实施过程而谎报或隐瞒事实，损害甲方利益的行为。 </w:t>
      </w:r>
    </w:p>
    <w:p>
      <w:pPr>
        <w:widowControl/>
        <w:spacing w:line="360" w:lineRule="auto"/>
        <w:ind w:firstLine="480" w:firstLineChars="200"/>
        <w:jc w:val="left"/>
        <w:rPr>
          <w:rFonts w:hint="eastAsia" w:asciiTheme="majorEastAsia" w:hAnsiTheme="majorEastAsia" w:eastAsiaTheme="majorEastAsia" w:cstheme="majorEastAsia"/>
          <w:highlight w:val="none"/>
        </w:rPr>
      </w:pPr>
      <w:r>
        <w:rPr>
          <w:rFonts w:hint="eastAsia" w:asciiTheme="majorEastAsia" w:hAnsiTheme="majorEastAsia" w:eastAsiaTheme="majorEastAsia" w:cstheme="majorEastAsia"/>
          <w:kern w:val="0"/>
          <w:sz w:val="24"/>
          <w:highlight w:val="none"/>
          <w:lang w:bidi="ar"/>
        </w:rPr>
        <w:t xml:space="preserve">22.2 如果甲方根据上述第 21.1 条的规定，终止了全部或部分合同，甲方可以依其认为适当的条件和方法购买与未交货物类似的货物或服务，乙方应承担甲方因购买类似货物或服务而产生的额外支出。但是，乙方应继续执行合同中未终止的部分。 </w:t>
      </w:r>
    </w:p>
    <w:p>
      <w:pPr>
        <w:widowControl/>
        <w:spacing w:line="360" w:lineRule="auto"/>
        <w:jc w:val="left"/>
        <w:rPr>
          <w:rFonts w:hint="eastAsia" w:asciiTheme="majorEastAsia" w:hAnsiTheme="majorEastAsia" w:eastAsiaTheme="majorEastAsia" w:cstheme="majorEastAsia"/>
          <w:highlight w:val="none"/>
        </w:rPr>
      </w:pPr>
      <w:r>
        <w:rPr>
          <w:rFonts w:hint="eastAsia" w:asciiTheme="majorEastAsia" w:hAnsiTheme="majorEastAsia" w:eastAsiaTheme="majorEastAsia" w:cstheme="majorEastAsia"/>
          <w:b/>
          <w:bCs/>
          <w:kern w:val="0"/>
          <w:sz w:val="24"/>
          <w:highlight w:val="none"/>
          <w:lang w:bidi="ar"/>
        </w:rPr>
        <w:t xml:space="preserve">23．不可抗力 </w:t>
      </w:r>
    </w:p>
    <w:p>
      <w:pPr>
        <w:widowControl/>
        <w:spacing w:line="360" w:lineRule="auto"/>
        <w:ind w:firstLine="480" w:firstLineChars="200"/>
        <w:jc w:val="left"/>
        <w:rPr>
          <w:rFonts w:hint="eastAsia" w:asciiTheme="majorEastAsia" w:hAnsiTheme="majorEastAsia" w:eastAsiaTheme="majorEastAsia" w:cstheme="majorEastAsia"/>
          <w:highlight w:val="none"/>
        </w:rPr>
      </w:pPr>
      <w:r>
        <w:rPr>
          <w:rFonts w:hint="eastAsia" w:asciiTheme="majorEastAsia" w:hAnsiTheme="majorEastAsia" w:eastAsiaTheme="majorEastAsia" w:cstheme="majorEastAsia"/>
          <w:kern w:val="0"/>
          <w:sz w:val="24"/>
          <w:highlight w:val="none"/>
          <w:lang w:bidi="ar"/>
        </w:rPr>
        <w:t xml:space="preserve">23.1 签约甲乙双方任何一方由于不可抗力事件的影响而不能执行合同时，履行合同的期限应予延长，其延长的期限应相当事件所影响的时间。不可抗力事件系指甲乙双方在缔结合同时所不能预见的，并且它的发生及其后果是无法避免和无法克服的事件，诸如战争、严重火灾、洪水、台风、地震等，甲乙双方应通过友好协商在合理的时间内达成进一步履行合同的协议。 </w:t>
      </w:r>
    </w:p>
    <w:p>
      <w:pPr>
        <w:widowControl/>
        <w:spacing w:line="360" w:lineRule="auto"/>
        <w:ind w:firstLine="480" w:firstLineChars="200"/>
        <w:jc w:val="left"/>
        <w:rPr>
          <w:rFonts w:hint="eastAsia" w:asciiTheme="majorEastAsia" w:hAnsiTheme="majorEastAsia" w:eastAsiaTheme="majorEastAsia" w:cstheme="majorEastAsia"/>
          <w:highlight w:val="none"/>
        </w:rPr>
      </w:pPr>
      <w:r>
        <w:rPr>
          <w:rFonts w:hint="eastAsia" w:asciiTheme="majorEastAsia" w:hAnsiTheme="majorEastAsia" w:eastAsiaTheme="majorEastAsia" w:cstheme="majorEastAsia"/>
          <w:kern w:val="0"/>
          <w:sz w:val="24"/>
          <w:highlight w:val="none"/>
          <w:lang w:bidi="ar"/>
        </w:rPr>
        <w:t xml:space="preserve">23.2 因合同一方迟延履行合同后发生不可抗力的，不能免除迟延履行方的相应责任。 </w:t>
      </w:r>
    </w:p>
    <w:p>
      <w:pPr>
        <w:widowControl/>
        <w:spacing w:line="360" w:lineRule="auto"/>
        <w:jc w:val="left"/>
        <w:rPr>
          <w:rFonts w:hint="eastAsia" w:asciiTheme="majorEastAsia" w:hAnsiTheme="majorEastAsia" w:eastAsiaTheme="majorEastAsia" w:cstheme="majorEastAsia"/>
          <w:highlight w:val="none"/>
        </w:rPr>
      </w:pPr>
      <w:r>
        <w:rPr>
          <w:rFonts w:hint="eastAsia" w:asciiTheme="majorEastAsia" w:hAnsiTheme="majorEastAsia" w:eastAsiaTheme="majorEastAsia" w:cstheme="majorEastAsia"/>
          <w:b/>
          <w:bCs/>
          <w:kern w:val="0"/>
          <w:sz w:val="24"/>
          <w:highlight w:val="none"/>
          <w:lang w:bidi="ar"/>
        </w:rPr>
        <w:t xml:space="preserve">24．因破产而终止合同 </w:t>
      </w:r>
    </w:p>
    <w:p>
      <w:pPr>
        <w:widowControl/>
        <w:spacing w:line="360" w:lineRule="auto"/>
        <w:ind w:firstLine="480" w:firstLineChars="200"/>
        <w:jc w:val="left"/>
        <w:rPr>
          <w:rFonts w:hint="eastAsia" w:asciiTheme="majorEastAsia" w:hAnsiTheme="majorEastAsia" w:eastAsiaTheme="majorEastAsia" w:cstheme="majorEastAsia"/>
          <w:highlight w:val="none"/>
        </w:rPr>
      </w:pPr>
      <w:r>
        <w:rPr>
          <w:rFonts w:hint="eastAsia" w:asciiTheme="majorEastAsia" w:hAnsiTheme="majorEastAsia" w:eastAsiaTheme="majorEastAsia" w:cstheme="majorEastAsia"/>
          <w:kern w:val="0"/>
          <w:sz w:val="24"/>
          <w:highlight w:val="none"/>
          <w:lang w:bidi="ar"/>
        </w:rPr>
        <w:t xml:space="preserve">如果乙方破产或无清偿能力，甲方可在任何时候以书面形式通知乙方，提出终止合同而不给乙方补偿。该合同的终止将不损害或影响甲方已经采取或将要采取的任何行动或补救措施的权利。 </w:t>
      </w:r>
    </w:p>
    <w:p>
      <w:pPr>
        <w:widowControl/>
        <w:spacing w:line="360" w:lineRule="auto"/>
        <w:jc w:val="left"/>
        <w:rPr>
          <w:rFonts w:hint="eastAsia" w:asciiTheme="majorEastAsia" w:hAnsiTheme="majorEastAsia" w:eastAsiaTheme="majorEastAsia" w:cstheme="majorEastAsia"/>
          <w:highlight w:val="none"/>
        </w:rPr>
      </w:pPr>
      <w:r>
        <w:rPr>
          <w:rFonts w:hint="eastAsia" w:asciiTheme="majorEastAsia" w:hAnsiTheme="majorEastAsia" w:eastAsiaTheme="majorEastAsia" w:cstheme="majorEastAsia"/>
          <w:b/>
          <w:bCs/>
          <w:kern w:val="0"/>
          <w:sz w:val="24"/>
          <w:highlight w:val="none"/>
          <w:lang w:bidi="ar"/>
        </w:rPr>
        <w:t xml:space="preserve">25．争议的解决 </w:t>
      </w:r>
    </w:p>
    <w:p>
      <w:pPr>
        <w:widowControl/>
        <w:spacing w:line="360" w:lineRule="auto"/>
        <w:ind w:firstLine="480" w:firstLineChars="200"/>
        <w:jc w:val="left"/>
        <w:rPr>
          <w:rFonts w:hint="eastAsia" w:asciiTheme="majorEastAsia" w:hAnsiTheme="majorEastAsia" w:eastAsiaTheme="majorEastAsia" w:cstheme="majorEastAsia"/>
          <w:highlight w:val="none"/>
        </w:rPr>
      </w:pPr>
      <w:r>
        <w:rPr>
          <w:rFonts w:hint="eastAsia" w:asciiTheme="majorEastAsia" w:hAnsiTheme="majorEastAsia" w:eastAsiaTheme="majorEastAsia" w:cstheme="majorEastAsia"/>
          <w:kern w:val="0"/>
          <w:sz w:val="24"/>
          <w:highlight w:val="none"/>
          <w:lang w:bidi="ar"/>
        </w:rPr>
        <w:t xml:space="preserve">25.1 因执行本合同所发生的或与本合同有关的一切争议，甲乙双方应通过友好协商解决。如果协商开始后十五天还不能解决，任何一方均可按中华人民共和国有关法律的规定向甲方所在地有管辖权的人民法院提起诉讼。 </w:t>
      </w:r>
    </w:p>
    <w:p>
      <w:pPr>
        <w:widowControl/>
        <w:spacing w:line="360" w:lineRule="auto"/>
        <w:ind w:firstLine="480" w:firstLineChars="200"/>
        <w:jc w:val="left"/>
        <w:rPr>
          <w:rFonts w:hint="eastAsia" w:asciiTheme="majorEastAsia" w:hAnsiTheme="majorEastAsia" w:eastAsiaTheme="majorEastAsia" w:cstheme="majorEastAsia"/>
          <w:highlight w:val="none"/>
        </w:rPr>
      </w:pPr>
      <w:r>
        <w:rPr>
          <w:rFonts w:hint="eastAsia" w:asciiTheme="majorEastAsia" w:hAnsiTheme="majorEastAsia" w:eastAsiaTheme="majorEastAsia" w:cstheme="majorEastAsia"/>
          <w:kern w:val="0"/>
          <w:sz w:val="24"/>
          <w:highlight w:val="none"/>
          <w:lang w:bidi="ar"/>
        </w:rPr>
        <w:t xml:space="preserve">25.2 甲方因基于本合同维权产生的诉讼费、保全费及保全担保费、律师费、差旅费、鉴定费等一切费用，均应由乙方负担。 </w:t>
      </w:r>
    </w:p>
    <w:p>
      <w:pPr>
        <w:widowControl/>
        <w:spacing w:line="360" w:lineRule="auto"/>
        <w:ind w:firstLine="480" w:firstLineChars="200"/>
        <w:jc w:val="left"/>
        <w:rPr>
          <w:rFonts w:hint="eastAsia" w:asciiTheme="majorEastAsia" w:hAnsiTheme="majorEastAsia" w:eastAsiaTheme="majorEastAsia" w:cstheme="majorEastAsia"/>
          <w:highlight w:val="none"/>
        </w:rPr>
      </w:pPr>
      <w:r>
        <w:rPr>
          <w:rFonts w:hint="eastAsia" w:asciiTheme="majorEastAsia" w:hAnsiTheme="majorEastAsia" w:eastAsiaTheme="majorEastAsia" w:cstheme="majorEastAsia"/>
          <w:kern w:val="0"/>
          <w:sz w:val="24"/>
          <w:highlight w:val="none"/>
          <w:lang w:bidi="ar"/>
        </w:rPr>
        <w:t xml:space="preserve">25.3 在诉讼期间，除正在进行诉讼的部分外，本合同其他部分应继续执行。 </w:t>
      </w:r>
    </w:p>
    <w:p>
      <w:pPr>
        <w:widowControl/>
        <w:spacing w:line="360" w:lineRule="auto"/>
        <w:jc w:val="left"/>
        <w:rPr>
          <w:rFonts w:hint="eastAsia" w:asciiTheme="majorEastAsia" w:hAnsiTheme="majorEastAsia" w:eastAsiaTheme="majorEastAsia" w:cstheme="majorEastAsia"/>
          <w:highlight w:val="none"/>
        </w:rPr>
      </w:pPr>
      <w:r>
        <w:rPr>
          <w:rFonts w:hint="eastAsia" w:asciiTheme="majorEastAsia" w:hAnsiTheme="majorEastAsia" w:eastAsiaTheme="majorEastAsia" w:cstheme="majorEastAsia"/>
          <w:b/>
          <w:bCs/>
          <w:kern w:val="0"/>
          <w:sz w:val="24"/>
          <w:highlight w:val="none"/>
          <w:lang w:bidi="ar"/>
        </w:rPr>
        <w:t xml:space="preserve">26．合同语言 </w:t>
      </w:r>
    </w:p>
    <w:p>
      <w:pPr>
        <w:widowControl/>
        <w:spacing w:line="360" w:lineRule="auto"/>
        <w:jc w:val="left"/>
        <w:rPr>
          <w:rFonts w:hint="eastAsia" w:asciiTheme="majorEastAsia" w:hAnsiTheme="majorEastAsia" w:eastAsiaTheme="majorEastAsia" w:cstheme="majorEastAsia"/>
          <w:highlight w:val="none"/>
        </w:rPr>
      </w:pPr>
      <w:r>
        <w:rPr>
          <w:rFonts w:hint="eastAsia" w:asciiTheme="majorEastAsia" w:hAnsiTheme="majorEastAsia" w:eastAsiaTheme="majorEastAsia" w:cstheme="majorEastAsia"/>
          <w:kern w:val="0"/>
          <w:sz w:val="24"/>
          <w:highlight w:val="none"/>
          <w:lang w:bidi="ar"/>
        </w:rPr>
        <w:t xml:space="preserve">本合同语言为中文。甲乙双方交换的与合同有关的信函均用中文书写。 </w:t>
      </w:r>
    </w:p>
    <w:p>
      <w:pPr>
        <w:widowControl/>
        <w:spacing w:line="360" w:lineRule="auto"/>
        <w:jc w:val="left"/>
        <w:rPr>
          <w:rFonts w:hint="eastAsia" w:asciiTheme="majorEastAsia" w:hAnsiTheme="majorEastAsia" w:eastAsiaTheme="majorEastAsia" w:cstheme="majorEastAsia"/>
          <w:highlight w:val="none"/>
        </w:rPr>
      </w:pPr>
      <w:r>
        <w:rPr>
          <w:rFonts w:hint="eastAsia" w:asciiTheme="majorEastAsia" w:hAnsiTheme="majorEastAsia" w:eastAsiaTheme="majorEastAsia" w:cstheme="majorEastAsia"/>
          <w:b/>
          <w:bCs/>
          <w:kern w:val="0"/>
          <w:sz w:val="24"/>
          <w:highlight w:val="none"/>
          <w:lang w:bidi="ar"/>
        </w:rPr>
        <w:t xml:space="preserve">27．适用法律 </w:t>
      </w:r>
    </w:p>
    <w:p>
      <w:pPr>
        <w:widowControl/>
        <w:spacing w:line="360" w:lineRule="auto"/>
        <w:jc w:val="left"/>
        <w:rPr>
          <w:rFonts w:hint="eastAsia" w:asciiTheme="majorEastAsia" w:hAnsiTheme="majorEastAsia" w:eastAsiaTheme="majorEastAsia" w:cstheme="majorEastAsia"/>
          <w:highlight w:val="none"/>
        </w:rPr>
      </w:pPr>
      <w:r>
        <w:rPr>
          <w:rFonts w:hint="eastAsia" w:asciiTheme="majorEastAsia" w:hAnsiTheme="majorEastAsia" w:eastAsiaTheme="majorEastAsia" w:cstheme="majorEastAsia"/>
          <w:kern w:val="0"/>
          <w:sz w:val="24"/>
          <w:highlight w:val="none"/>
          <w:lang w:bidi="ar"/>
        </w:rPr>
        <w:t xml:space="preserve">本合同应按照中华人民共和国的法律进行解释。 </w:t>
      </w:r>
    </w:p>
    <w:p>
      <w:pPr>
        <w:widowControl/>
        <w:spacing w:line="360" w:lineRule="auto"/>
        <w:jc w:val="left"/>
        <w:rPr>
          <w:rFonts w:hint="eastAsia" w:asciiTheme="majorEastAsia" w:hAnsiTheme="majorEastAsia" w:eastAsiaTheme="majorEastAsia" w:cstheme="majorEastAsia"/>
          <w:highlight w:val="none"/>
        </w:rPr>
      </w:pPr>
      <w:r>
        <w:rPr>
          <w:rFonts w:hint="eastAsia" w:asciiTheme="majorEastAsia" w:hAnsiTheme="majorEastAsia" w:eastAsiaTheme="majorEastAsia" w:cstheme="majorEastAsia"/>
          <w:b/>
          <w:bCs/>
          <w:kern w:val="0"/>
          <w:sz w:val="24"/>
          <w:highlight w:val="none"/>
          <w:lang w:bidi="ar"/>
        </w:rPr>
        <w:t xml:space="preserve">28．通知与送达 </w:t>
      </w:r>
    </w:p>
    <w:p>
      <w:pPr>
        <w:widowControl/>
        <w:spacing w:line="360" w:lineRule="auto"/>
        <w:ind w:firstLine="480" w:firstLineChars="200"/>
        <w:jc w:val="left"/>
        <w:rPr>
          <w:rFonts w:hint="eastAsia" w:asciiTheme="majorEastAsia" w:hAnsiTheme="majorEastAsia" w:eastAsiaTheme="majorEastAsia" w:cstheme="majorEastAsia"/>
          <w:highlight w:val="none"/>
        </w:rPr>
      </w:pPr>
      <w:r>
        <w:rPr>
          <w:rFonts w:hint="eastAsia" w:asciiTheme="majorEastAsia" w:hAnsiTheme="majorEastAsia" w:eastAsiaTheme="majorEastAsia" w:cstheme="majorEastAsia"/>
          <w:sz w:val="24"/>
          <w:highlight w:val="none"/>
        </w:rPr>
        <w:t>甲乙双方因履行本合同或与本合同有关的一切通知或附件或往来材料等，以及因履行本合同产生诉讼后法院邮寄法律文件的有效送达地址，都必须按照本合同签署页中约定的通讯地址、电子邮箱，以书面信函形式或双方确认的传真或类似法院邮寄送达的通讯方式进行。采用信函形式的应使用EMS、挂号信或者具有良好信誉的快递送达。如使用传真、电子邮箱或类似的通讯方式，通知日期即为通讯发出日期，如使用挂号信件或快递，通知日期即为邮件寄出日期并以邮戳或快递日期为准。双方更新联系人或经办人应及时书面通知，否则因此致使本合同相关文件无法正确送达，未通知方承当相应责任，通知方按本合同签署页中约定的地址送达仍视为产生正常送达的法律效果。</w:t>
      </w:r>
    </w:p>
    <w:p>
      <w:pPr>
        <w:widowControl/>
        <w:spacing w:line="360" w:lineRule="auto"/>
        <w:jc w:val="left"/>
        <w:rPr>
          <w:rFonts w:hint="eastAsia" w:asciiTheme="majorEastAsia" w:hAnsiTheme="majorEastAsia" w:eastAsiaTheme="majorEastAsia" w:cstheme="majorEastAsia"/>
          <w:highlight w:val="none"/>
        </w:rPr>
      </w:pPr>
      <w:r>
        <w:rPr>
          <w:rFonts w:hint="eastAsia" w:asciiTheme="majorEastAsia" w:hAnsiTheme="majorEastAsia" w:eastAsiaTheme="majorEastAsia" w:cstheme="majorEastAsia"/>
          <w:b/>
          <w:bCs/>
          <w:kern w:val="0"/>
          <w:sz w:val="24"/>
          <w:highlight w:val="none"/>
          <w:lang w:bidi="ar"/>
        </w:rPr>
        <w:t xml:space="preserve">29．税款 </w:t>
      </w:r>
    </w:p>
    <w:p>
      <w:pPr>
        <w:widowControl/>
        <w:spacing w:line="360" w:lineRule="auto"/>
        <w:ind w:firstLine="480" w:firstLineChars="200"/>
        <w:jc w:val="left"/>
        <w:rPr>
          <w:rFonts w:hint="eastAsia" w:asciiTheme="majorEastAsia" w:hAnsiTheme="majorEastAsia" w:eastAsiaTheme="majorEastAsia" w:cstheme="majorEastAsia"/>
          <w:highlight w:val="none"/>
        </w:rPr>
      </w:pPr>
      <w:r>
        <w:rPr>
          <w:rFonts w:hint="eastAsia" w:asciiTheme="majorEastAsia" w:hAnsiTheme="majorEastAsia" w:eastAsiaTheme="majorEastAsia" w:cstheme="majorEastAsia"/>
          <w:kern w:val="0"/>
          <w:sz w:val="24"/>
          <w:highlight w:val="none"/>
          <w:lang w:bidi="ar"/>
        </w:rPr>
        <w:t>按照中华人民共和国税法和有关部门的规定，与本合同有关的一切税费均应由乙方负担。</w:t>
      </w:r>
    </w:p>
    <w:p>
      <w:pPr>
        <w:widowControl/>
        <w:spacing w:line="360" w:lineRule="auto"/>
        <w:jc w:val="left"/>
        <w:rPr>
          <w:rFonts w:hint="eastAsia" w:asciiTheme="majorEastAsia" w:hAnsiTheme="majorEastAsia" w:eastAsiaTheme="majorEastAsia" w:cstheme="majorEastAsia"/>
          <w:highlight w:val="none"/>
        </w:rPr>
      </w:pPr>
      <w:r>
        <w:rPr>
          <w:rFonts w:hint="eastAsia" w:asciiTheme="majorEastAsia" w:hAnsiTheme="majorEastAsia" w:eastAsiaTheme="majorEastAsia" w:cstheme="majorEastAsia"/>
          <w:b/>
          <w:bCs/>
          <w:kern w:val="0"/>
          <w:sz w:val="24"/>
          <w:highlight w:val="none"/>
          <w:lang w:bidi="ar"/>
        </w:rPr>
        <w:t xml:space="preserve">30．合同文本及组成部分 </w:t>
      </w:r>
    </w:p>
    <w:p>
      <w:pPr>
        <w:widowControl/>
        <w:spacing w:line="360" w:lineRule="auto"/>
        <w:ind w:firstLine="480" w:firstLineChars="200"/>
        <w:jc w:val="left"/>
        <w:rPr>
          <w:rFonts w:hint="eastAsia" w:asciiTheme="majorEastAsia" w:hAnsiTheme="majorEastAsia" w:eastAsiaTheme="majorEastAsia" w:cstheme="majorEastAsia"/>
          <w:highlight w:val="none"/>
        </w:rPr>
      </w:pPr>
      <w:r>
        <w:rPr>
          <w:rFonts w:hint="eastAsia" w:asciiTheme="majorEastAsia" w:hAnsiTheme="majorEastAsia" w:eastAsiaTheme="majorEastAsia" w:cstheme="majorEastAsia"/>
          <w:kern w:val="0"/>
          <w:sz w:val="24"/>
          <w:highlight w:val="none"/>
          <w:lang w:bidi="ar"/>
        </w:rPr>
        <w:t xml:space="preserve">招标文件、投标文件、招标答疑以及合同的其他条款共同构成合同的有效组成部分，具体包括但不限于以下文件： </w:t>
      </w:r>
    </w:p>
    <w:p>
      <w:pPr>
        <w:widowControl/>
        <w:spacing w:line="360" w:lineRule="auto"/>
        <w:ind w:firstLine="480" w:firstLineChars="200"/>
        <w:jc w:val="left"/>
        <w:rPr>
          <w:rFonts w:hint="eastAsia" w:asciiTheme="majorEastAsia" w:hAnsiTheme="majorEastAsia" w:eastAsiaTheme="majorEastAsia" w:cstheme="majorEastAsia"/>
          <w:highlight w:val="none"/>
        </w:rPr>
      </w:pPr>
      <w:r>
        <w:rPr>
          <w:rFonts w:hint="eastAsia" w:asciiTheme="majorEastAsia" w:hAnsiTheme="majorEastAsia" w:eastAsiaTheme="majorEastAsia" w:cstheme="majorEastAsia"/>
          <w:kern w:val="0"/>
          <w:sz w:val="24"/>
          <w:highlight w:val="none"/>
          <w:lang w:bidi="ar"/>
        </w:rPr>
        <w:t xml:space="preserve">1.1 合同文本 </w:t>
      </w:r>
    </w:p>
    <w:p>
      <w:pPr>
        <w:widowControl/>
        <w:spacing w:line="360" w:lineRule="auto"/>
        <w:ind w:firstLine="480" w:firstLineChars="200"/>
        <w:jc w:val="left"/>
        <w:rPr>
          <w:rFonts w:hint="eastAsia" w:asciiTheme="majorEastAsia" w:hAnsiTheme="majorEastAsia" w:eastAsiaTheme="majorEastAsia" w:cstheme="majorEastAsia"/>
          <w:highlight w:val="none"/>
        </w:rPr>
      </w:pPr>
      <w:r>
        <w:rPr>
          <w:rFonts w:hint="eastAsia" w:asciiTheme="majorEastAsia" w:hAnsiTheme="majorEastAsia" w:eastAsiaTheme="majorEastAsia" w:cstheme="majorEastAsia"/>
          <w:kern w:val="0"/>
          <w:sz w:val="24"/>
          <w:highlight w:val="none"/>
          <w:lang w:bidi="ar"/>
        </w:rPr>
        <w:t xml:space="preserve">1.2 投标明细表 </w:t>
      </w:r>
    </w:p>
    <w:p>
      <w:pPr>
        <w:widowControl/>
        <w:spacing w:line="360" w:lineRule="auto"/>
        <w:ind w:firstLine="480" w:firstLineChars="200"/>
        <w:jc w:val="left"/>
        <w:rPr>
          <w:rFonts w:hint="eastAsia" w:asciiTheme="majorEastAsia" w:hAnsiTheme="majorEastAsia" w:eastAsiaTheme="majorEastAsia" w:cstheme="majorEastAsia"/>
          <w:highlight w:val="none"/>
        </w:rPr>
      </w:pPr>
      <w:r>
        <w:rPr>
          <w:rFonts w:hint="eastAsia" w:asciiTheme="majorEastAsia" w:hAnsiTheme="majorEastAsia" w:eastAsiaTheme="majorEastAsia" w:cstheme="majorEastAsia"/>
          <w:kern w:val="0"/>
          <w:sz w:val="24"/>
          <w:highlight w:val="none"/>
          <w:lang w:bidi="ar"/>
        </w:rPr>
        <w:t xml:space="preserve">1.3 技术响应表 </w:t>
      </w:r>
    </w:p>
    <w:p>
      <w:pPr>
        <w:widowControl/>
        <w:spacing w:line="360" w:lineRule="auto"/>
        <w:ind w:firstLine="480" w:firstLineChars="200"/>
        <w:jc w:val="left"/>
        <w:rPr>
          <w:rFonts w:hint="eastAsia" w:asciiTheme="majorEastAsia" w:hAnsiTheme="majorEastAsia" w:eastAsiaTheme="majorEastAsia" w:cstheme="majorEastAsia"/>
          <w:highlight w:val="none"/>
        </w:rPr>
      </w:pPr>
      <w:r>
        <w:rPr>
          <w:rFonts w:hint="eastAsia" w:asciiTheme="majorEastAsia" w:hAnsiTheme="majorEastAsia" w:eastAsiaTheme="majorEastAsia" w:cstheme="majorEastAsia"/>
          <w:kern w:val="0"/>
          <w:sz w:val="24"/>
          <w:highlight w:val="none"/>
          <w:lang w:bidi="ar"/>
        </w:rPr>
        <w:t xml:space="preserve">1.4 开标一览表 </w:t>
      </w:r>
    </w:p>
    <w:p>
      <w:pPr>
        <w:widowControl/>
        <w:spacing w:line="360" w:lineRule="auto"/>
        <w:ind w:firstLine="480" w:firstLineChars="200"/>
        <w:jc w:val="left"/>
        <w:rPr>
          <w:rFonts w:hint="eastAsia" w:asciiTheme="majorEastAsia" w:hAnsiTheme="majorEastAsia" w:eastAsiaTheme="majorEastAsia" w:cstheme="majorEastAsia"/>
          <w:highlight w:val="none"/>
        </w:rPr>
      </w:pPr>
      <w:r>
        <w:rPr>
          <w:rFonts w:hint="eastAsia" w:asciiTheme="majorEastAsia" w:hAnsiTheme="majorEastAsia" w:eastAsiaTheme="majorEastAsia" w:cstheme="majorEastAsia"/>
          <w:kern w:val="0"/>
          <w:sz w:val="24"/>
          <w:highlight w:val="none"/>
          <w:lang w:bidi="ar"/>
        </w:rPr>
        <w:t xml:space="preserve">1.5 中标通知书 </w:t>
      </w:r>
    </w:p>
    <w:p>
      <w:pPr>
        <w:widowControl/>
        <w:spacing w:line="360" w:lineRule="auto"/>
        <w:ind w:firstLine="480" w:firstLineChars="200"/>
        <w:jc w:val="left"/>
        <w:rPr>
          <w:rFonts w:hint="eastAsia" w:asciiTheme="majorEastAsia" w:hAnsiTheme="majorEastAsia" w:eastAsiaTheme="majorEastAsia" w:cstheme="majorEastAsia"/>
          <w:highlight w:val="none"/>
        </w:rPr>
      </w:pPr>
      <w:r>
        <w:rPr>
          <w:rFonts w:hint="eastAsia" w:asciiTheme="majorEastAsia" w:hAnsiTheme="majorEastAsia" w:eastAsiaTheme="majorEastAsia" w:cstheme="majorEastAsia"/>
          <w:kern w:val="0"/>
          <w:sz w:val="24"/>
          <w:highlight w:val="none"/>
          <w:lang w:bidi="ar"/>
        </w:rPr>
        <w:t xml:space="preserve">1.6 按期交货承诺书、售后服务承诺、培训方案、质量保证期等 </w:t>
      </w:r>
    </w:p>
    <w:p>
      <w:pPr>
        <w:widowControl/>
        <w:spacing w:line="360" w:lineRule="auto"/>
        <w:ind w:firstLine="480" w:firstLineChars="200"/>
        <w:jc w:val="left"/>
        <w:rPr>
          <w:rFonts w:hint="eastAsia" w:asciiTheme="majorEastAsia" w:hAnsiTheme="majorEastAsia" w:eastAsiaTheme="majorEastAsia" w:cstheme="majorEastAsia"/>
          <w:highlight w:val="none"/>
        </w:rPr>
      </w:pPr>
      <w:r>
        <w:rPr>
          <w:rFonts w:hint="eastAsia" w:asciiTheme="majorEastAsia" w:hAnsiTheme="majorEastAsia" w:eastAsiaTheme="majorEastAsia" w:cstheme="majorEastAsia"/>
          <w:kern w:val="0"/>
          <w:sz w:val="24"/>
          <w:highlight w:val="none"/>
          <w:lang w:bidi="ar"/>
        </w:rPr>
        <w:t xml:space="preserve">1.7 招标文件及澄清文件 </w:t>
      </w:r>
    </w:p>
    <w:p>
      <w:pPr>
        <w:widowControl/>
        <w:spacing w:line="360" w:lineRule="auto"/>
        <w:ind w:firstLine="480" w:firstLineChars="200"/>
        <w:jc w:val="left"/>
        <w:rPr>
          <w:rFonts w:hint="eastAsia" w:asciiTheme="majorEastAsia" w:hAnsiTheme="majorEastAsia" w:eastAsiaTheme="majorEastAsia" w:cstheme="majorEastAsia"/>
          <w:kern w:val="0"/>
          <w:sz w:val="24"/>
          <w:highlight w:val="none"/>
          <w:lang w:bidi="ar"/>
        </w:rPr>
      </w:pPr>
      <w:r>
        <w:rPr>
          <w:rFonts w:hint="eastAsia" w:asciiTheme="majorEastAsia" w:hAnsiTheme="majorEastAsia" w:eastAsiaTheme="majorEastAsia" w:cstheme="majorEastAsia"/>
          <w:kern w:val="0"/>
          <w:sz w:val="24"/>
          <w:highlight w:val="none"/>
          <w:lang w:bidi="ar"/>
        </w:rPr>
        <w:t>1.8 投标文件及乙方在招投标阶段作出的其他承诺、说明、声明、保证。</w:t>
      </w:r>
    </w:p>
    <w:p>
      <w:pPr>
        <w:widowControl/>
        <w:spacing w:line="360" w:lineRule="auto"/>
        <w:ind w:firstLine="480" w:firstLineChars="200"/>
        <w:jc w:val="left"/>
        <w:rPr>
          <w:rFonts w:hint="eastAsia" w:asciiTheme="majorEastAsia" w:hAnsiTheme="majorEastAsia" w:eastAsiaTheme="majorEastAsia" w:cstheme="majorEastAsia"/>
          <w:kern w:val="0"/>
          <w:sz w:val="24"/>
          <w:highlight w:val="none"/>
          <w:lang w:bidi="ar"/>
        </w:rPr>
      </w:pPr>
      <w:r>
        <w:rPr>
          <w:rFonts w:hint="eastAsia" w:asciiTheme="majorEastAsia" w:hAnsiTheme="majorEastAsia" w:eastAsiaTheme="majorEastAsia" w:cstheme="majorEastAsia"/>
          <w:kern w:val="0"/>
          <w:sz w:val="24"/>
          <w:highlight w:val="none"/>
          <w:lang w:bidi="ar"/>
        </w:rPr>
        <w:t>1.9 按期交货承诺书</w:t>
      </w:r>
    </w:p>
    <w:p>
      <w:pPr>
        <w:widowControl/>
        <w:spacing w:line="360" w:lineRule="auto"/>
        <w:ind w:firstLine="480" w:firstLineChars="200"/>
        <w:jc w:val="left"/>
        <w:rPr>
          <w:rFonts w:hint="eastAsia" w:asciiTheme="majorEastAsia" w:hAnsiTheme="majorEastAsia" w:eastAsiaTheme="majorEastAsia" w:cstheme="majorEastAsia"/>
          <w:kern w:val="0"/>
          <w:sz w:val="24"/>
          <w:highlight w:val="none"/>
          <w:lang w:bidi="ar"/>
        </w:rPr>
      </w:pPr>
      <w:r>
        <w:rPr>
          <w:rFonts w:hint="eastAsia" w:asciiTheme="majorEastAsia" w:hAnsiTheme="majorEastAsia" w:eastAsiaTheme="majorEastAsia" w:cstheme="majorEastAsia"/>
          <w:kern w:val="0"/>
          <w:sz w:val="24"/>
          <w:highlight w:val="none"/>
          <w:lang w:bidi="ar"/>
        </w:rPr>
        <w:t>上述文件按照时间在后优先的原则解释和适用，但涉及质量和服务的内容时，按照最有利于保证质量、最有利于保证服务提供的原则解释和适用。</w:t>
      </w:r>
    </w:p>
    <w:p>
      <w:pPr>
        <w:widowControl/>
        <w:spacing w:line="360" w:lineRule="auto"/>
        <w:ind w:firstLine="480" w:firstLineChars="200"/>
        <w:jc w:val="left"/>
        <w:rPr>
          <w:rFonts w:hint="eastAsia" w:asciiTheme="majorEastAsia" w:hAnsiTheme="majorEastAsia" w:eastAsiaTheme="majorEastAsia" w:cstheme="majorEastAsia"/>
          <w:highlight w:val="none"/>
        </w:rPr>
      </w:pPr>
      <w:r>
        <w:rPr>
          <w:rFonts w:hint="eastAsia" w:asciiTheme="majorEastAsia" w:hAnsiTheme="majorEastAsia" w:eastAsiaTheme="majorEastAsia" w:cstheme="majorEastAsia"/>
          <w:kern w:val="0"/>
          <w:sz w:val="24"/>
          <w:highlight w:val="none"/>
          <w:lang w:bidi="ar"/>
        </w:rPr>
        <w:t xml:space="preserve">合同及协议性文件经双方签字盖章后生效，乙方单方作出的承诺、说明、声明、申明、保证等乙方一经作出即生效（作出的方式包括乙方盖章、乙方法定代表人或授权代表签字、乙方签字并盖章、电子邮件、口头等），须经招标单位签字、盖章后生效的文件，经招标单位签字、盖章后生效。 </w:t>
      </w:r>
    </w:p>
    <w:p>
      <w:pPr>
        <w:widowControl/>
        <w:spacing w:line="360" w:lineRule="auto"/>
        <w:ind w:firstLine="480" w:firstLineChars="200"/>
        <w:jc w:val="left"/>
        <w:rPr>
          <w:rFonts w:hint="eastAsia" w:asciiTheme="majorEastAsia" w:hAnsiTheme="majorEastAsia" w:eastAsiaTheme="majorEastAsia" w:cstheme="majorEastAsia"/>
          <w:highlight w:val="none"/>
        </w:rPr>
      </w:pPr>
      <w:r>
        <w:rPr>
          <w:rFonts w:hint="eastAsia" w:asciiTheme="majorEastAsia" w:hAnsiTheme="majorEastAsia" w:eastAsiaTheme="majorEastAsia" w:cstheme="majorEastAsia"/>
          <w:kern w:val="0"/>
          <w:sz w:val="24"/>
          <w:highlight w:val="none"/>
          <w:lang w:bidi="ar"/>
        </w:rPr>
        <w:t>30.1 本合同经甲乙双方</w:t>
      </w:r>
      <w:r>
        <w:rPr>
          <w:rFonts w:hint="eastAsia" w:asciiTheme="majorEastAsia" w:hAnsiTheme="majorEastAsia" w:eastAsiaTheme="majorEastAsia" w:cstheme="majorEastAsia"/>
          <w:kern w:val="0"/>
          <w:sz w:val="24"/>
          <w:highlight w:val="none"/>
          <w:lang w:val="en-US" w:eastAsia="zh-CN" w:bidi="ar"/>
        </w:rPr>
        <w:t>法定代表人或授权代表</w:t>
      </w:r>
      <w:r>
        <w:rPr>
          <w:rFonts w:hint="eastAsia" w:asciiTheme="majorEastAsia" w:hAnsiTheme="majorEastAsia" w:eastAsiaTheme="majorEastAsia" w:cstheme="majorEastAsia"/>
          <w:kern w:val="0"/>
          <w:sz w:val="24"/>
          <w:highlight w:val="none"/>
          <w:lang w:bidi="ar"/>
        </w:rPr>
        <w:t>签字</w:t>
      </w:r>
      <w:r>
        <w:rPr>
          <w:rFonts w:hint="eastAsia" w:asciiTheme="majorEastAsia" w:hAnsiTheme="majorEastAsia" w:eastAsiaTheme="majorEastAsia" w:cstheme="majorEastAsia"/>
          <w:kern w:val="0"/>
          <w:sz w:val="24"/>
          <w:highlight w:val="none"/>
          <w:lang w:val="en-US" w:eastAsia="zh-CN" w:bidi="ar"/>
        </w:rPr>
        <w:t>并加盖各自公</w:t>
      </w:r>
      <w:r>
        <w:rPr>
          <w:rFonts w:hint="eastAsia" w:asciiTheme="majorEastAsia" w:hAnsiTheme="majorEastAsia" w:eastAsiaTheme="majorEastAsia" w:cstheme="majorEastAsia"/>
          <w:kern w:val="0"/>
          <w:sz w:val="24"/>
          <w:highlight w:val="none"/>
          <w:lang w:bidi="ar"/>
        </w:rPr>
        <w:t xml:space="preserve">章后生效。 </w:t>
      </w:r>
    </w:p>
    <w:p>
      <w:pPr>
        <w:widowControl/>
        <w:spacing w:line="360" w:lineRule="auto"/>
        <w:jc w:val="left"/>
        <w:rPr>
          <w:rFonts w:hint="eastAsia" w:asciiTheme="majorEastAsia" w:hAnsiTheme="majorEastAsia" w:eastAsiaTheme="majorEastAsia" w:cstheme="majorEastAsia"/>
          <w:highlight w:val="none"/>
        </w:rPr>
      </w:pPr>
      <w:r>
        <w:rPr>
          <w:rFonts w:hint="eastAsia" w:asciiTheme="majorEastAsia" w:hAnsiTheme="majorEastAsia" w:eastAsiaTheme="majorEastAsia" w:cstheme="majorEastAsia"/>
          <w:kern w:val="0"/>
          <w:sz w:val="24"/>
          <w:highlight w:val="none"/>
          <w:lang w:bidi="ar"/>
        </w:rPr>
        <w:t xml:space="preserve">30.2 如需修改合同内容，甲乙双方应签署书面修改或补充协议，该修改或补充协议作为本合同不可分割的组成部分。 </w:t>
      </w:r>
    </w:p>
    <w:p>
      <w:pPr>
        <w:widowControl/>
        <w:spacing w:line="360" w:lineRule="auto"/>
        <w:ind w:firstLine="480" w:firstLineChars="200"/>
        <w:jc w:val="left"/>
        <w:rPr>
          <w:rFonts w:hint="eastAsia" w:asciiTheme="majorEastAsia" w:hAnsiTheme="majorEastAsia" w:eastAsiaTheme="majorEastAsia" w:cstheme="majorEastAsia"/>
          <w:highlight w:val="none"/>
        </w:rPr>
      </w:pPr>
      <w:r>
        <w:rPr>
          <w:rFonts w:hint="eastAsia" w:asciiTheme="majorEastAsia" w:hAnsiTheme="majorEastAsia" w:eastAsiaTheme="majorEastAsia" w:cstheme="majorEastAsia"/>
          <w:kern w:val="0"/>
          <w:sz w:val="24"/>
          <w:highlight w:val="none"/>
          <w:lang w:bidi="ar"/>
        </w:rPr>
        <w:t xml:space="preserve">30.3 本合同具有法律效力，受国家法律保护。 </w:t>
      </w:r>
    </w:p>
    <w:p>
      <w:pPr>
        <w:widowControl/>
        <w:spacing w:line="360" w:lineRule="auto"/>
        <w:ind w:firstLine="480" w:firstLineChars="200"/>
        <w:jc w:val="left"/>
        <w:rPr>
          <w:rFonts w:hint="eastAsia" w:asciiTheme="majorEastAsia" w:hAnsiTheme="majorEastAsia" w:eastAsiaTheme="majorEastAsia" w:cstheme="majorEastAsia"/>
          <w:highlight w:val="none"/>
        </w:rPr>
      </w:pPr>
      <w:r>
        <w:rPr>
          <w:rFonts w:hint="eastAsia" w:asciiTheme="majorEastAsia" w:hAnsiTheme="majorEastAsia" w:eastAsiaTheme="majorEastAsia" w:cstheme="majorEastAsia"/>
          <w:kern w:val="0"/>
          <w:sz w:val="24"/>
          <w:highlight w:val="none"/>
          <w:lang w:bidi="ar"/>
        </w:rPr>
        <w:t xml:space="preserve">30.4 因乙方不具备签订、履行本合同的能力、资质、资格等的，造成本合同无效、撤销、解除的，乙方承担全部过错责任。 </w:t>
      </w:r>
    </w:p>
    <w:p>
      <w:pPr>
        <w:widowControl/>
        <w:spacing w:line="360" w:lineRule="auto"/>
        <w:ind w:firstLine="420" w:firstLineChars="175"/>
        <w:jc w:val="left"/>
        <w:rPr>
          <w:rFonts w:hint="eastAsia" w:asciiTheme="majorEastAsia" w:hAnsiTheme="majorEastAsia" w:eastAsiaTheme="majorEastAsia" w:cstheme="majorEastAsia"/>
          <w:kern w:val="0"/>
          <w:sz w:val="24"/>
          <w:highlight w:val="none"/>
          <w:lang w:bidi="ar"/>
        </w:rPr>
      </w:pPr>
      <w:r>
        <w:rPr>
          <w:rFonts w:hint="eastAsia" w:asciiTheme="majorEastAsia" w:hAnsiTheme="majorEastAsia" w:eastAsiaTheme="majorEastAsia" w:cstheme="majorEastAsia"/>
          <w:kern w:val="0"/>
          <w:sz w:val="24"/>
          <w:highlight w:val="none"/>
          <w:lang w:bidi="ar"/>
        </w:rPr>
        <w:t>30.5 本合同一式</w:t>
      </w:r>
      <w:r>
        <w:rPr>
          <w:rFonts w:hint="eastAsia" w:asciiTheme="majorEastAsia" w:hAnsiTheme="majorEastAsia" w:eastAsiaTheme="majorEastAsia" w:cstheme="majorEastAsia"/>
          <w:kern w:val="0"/>
          <w:sz w:val="24"/>
          <w:highlight w:val="none"/>
          <w:lang w:val="en-US" w:eastAsia="zh-CN" w:bidi="ar"/>
        </w:rPr>
        <w:t>五</w:t>
      </w:r>
      <w:r>
        <w:rPr>
          <w:rFonts w:hint="eastAsia" w:asciiTheme="majorEastAsia" w:hAnsiTheme="majorEastAsia" w:eastAsiaTheme="majorEastAsia" w:cstheme="majorEastAsia"/>
          <w:kern w:val="0"/>
          <w:sz w:val="24"/>
          <w:highlight w:val="none"/>
          <w:lang w:bidi="ar"/>
        </w:rPr>
        <w:t>份，采购方三份，中标方两份。</w:t>
      </w:r>
    </w:p>
    <w:p>
      <w:pPr>
        <w:widowControl/>
        <w:spacing w:line="360" w:lineRule="auto"/>
        <w:ind w:firstLine="420" w:firstLineChars="175"/>
        <w:jc w:val="left"/>
        <w:rPr>
          <w:rFonts w:hint="eastAsia" w:asciiTheme="majorEastAsia" w:hAnsiTheme="majorEastAsia" w:eastAsiaTheme="majorEastAsia" w:cstheme="majorEastAsia"/>
          <w:color w:val="000000"/>
          <w:kern w:val="0"/>
          <w:sz w:val="24"/>
          <w:highlight w:val="none"/>
          <w:lang w:bidi="ar"/>
        </w:rPr>
      </w:pPr>
    </w:p>
    <w:p>
      <w:pPr>
        <w:widowControl/>
        <w:jc w:val="center"/>
        <w:rPr>
          <w:rFonts w:hint="eastAsia" w:asciiTheme="majorEastAsia" w:hAnsiTheme="majorEastAsia" w:eastAsiaTheme="majorEastAsia" w:cstheme="majorEastAsia"/>
          <w:b/>
          <w:bCs/>
          <w:color w:val="000000"/>
          <w:kern w:val="0"/>
          <w:sz w:val="43"/>
          <w:szCs w:val="43"/>
          <w:highlight w:val="none"/>
          <w:lang w:bidi="ar"/>
        </w:rPr>
      </w:pPr>
    </w:p>
    <w:p>
      <w:pPr>
        <w:widowControl/>
        <w:jc w:val="center"/>
        <w:rPr>
          <w:rFonts w:hint="eastAsia" w:asciiTheme="majorEastAsia" w:hAnsiTheme="majorEastAsia" w:eastAsiaTheme="majorEastAsia" w:cstheme="majorEastAsia"/>
          <w:b/>
          <w:bCs/>
          <w:color w:val="000000"/>
          <w:kern w:val="0"/>
          <w:sz w:val="43"/>
          <w:szCs w:val="43"/>
          <w:highlight w:val="none"/>
          <w:lang w:bidi="ar"/>
        </w:rPr>
      </w:pPr>
    </w:p>
    <w:p>
      <w:pPr>
        <w:widowControl/>
        <w:jc w:val="center"/>
        <w:rPr>
          <w:rFonts w:hint="eastAsia" w:asciiTheme="majorEastAsia" w:hAnsiTheme="majorEastAsia" w:eastAsiaTheme="majorEastAsia" w:cstheme="majorEastAsia"/>
          <w:b/>
          <w:bCs/>
          <w:color w:val="000000"/>
          <w:kern w:val="0"/>
          <w:sz w:val="43"/>
          <w:szCs w:val="43"/>
          <w:highlight w:val="none"/>
          <w:lang w:bidi="ar"/>
        </w:rPr>
      </w:pPr>
    </w:p>
    <w:p>
      <w:pPr>
        <w:widowControl/>
        <w:jc w:val="center"/>
        <w:rPr>
          <w:rFonts w:hint="eastAsia" w:asciiTheme="majorEastAsia" w:hAnsiTheme="majorEastAsia" w:eastAsiaTheme="majorEastAsia" w:cstheme="majorEastAsia"/>
          <w:b/>
          <w:bCs/>
          <w:color w:val="000000"/>
          <w:kern w:val="0"/>
          <w:sz w:val="43"/>
          <w:szCs w:val="43"/>
          <w:highlight w:val="none"/>
          <w:lang w:bidi="ar"/>
        </w:rPr>
      </w:pPr>
    </w:p>
    <w:p>
      <w:pPr>
        <w:pStyle w:val="2"/>
        <w:rPr>
          <w:rFonts w:hint="eastAsia" w:asciiTheme="majorEastAsia" w:hAnsiTheme="majorEastAsia" w:eastAsiaTheme="majorEastAsia" w:cstheme="majorEastAsia"/>
          <w:b/>
          <w:bCs/>
          <w:color w:val="000000"/>
          <w:kern w:val="0"/>
          <w:sz w:val="43"/>
          <w:szCs w:val="43"/>
          <w:highlight w:val="none"/>
          <w:lang w:bidi="ar"/>
        </w:rPr>
      </w:pPr>
    </w:p>
    <w:p>
      <w:pPr>
        <w:pStyle w:val="2"/>
        <w:rPr>
          <w:rFonts w:hint="eastAsia" w:asciiTheme="majorEastAsia" w:hAnsiTheme="majorEastAsia" w:eastAsiaTheme="majorEastAsia" w:cstheme="majorEastAsia"/>
          <w:b/>
          <w:bCs/>
          <w:color w:val="000000"/>
          <w:kern w:val="0"/>
          <w:sz w:val="43"/>
          <w:szCs w:val="43"/>
          <w:highlight w:val="none"/>
          <w:lang w:bidi="ar"/>
        </w:rPr>
      </w:pPr>
    </w:p>
    <w:p>
      <w:pPr>
        <w:pStyle w:val="2"/>
        <w:ind w:left="0" w:leftChars="0" w:firstLine="0" w:firstLineChars="0"/>
        <w:rPr>
          <w:rFonts w:hint="eastAsia" w:asciiTheme="majorEastAsia" w:hAnsiTheme="majorEastAsia" w:eastAsiaTheme="majorEastAsia" w:cstheme="majorEastAsia"/>
          <w:b/>
          <w:bCs/>
          <w:color w:val="000000"/>
          <w:kern w:val="0"/>
          <w:sz w:val="43"/>
          <w:szCs w:val="43"/>
          <w:highlight w:val="none"/>
          <w:lang w:bidi="ar"/>
        </w:rPr>
      </w:pPr>
    </w:p>
    <w:p>
      <w:pPr>
        <w:widowControl/>
        <w:jc w:val="both"/>
        <w:rPr>
          <w:rFonts w:hint="eastAsia" w:asciiTheme="majorEastAsia" w:hAnsiTheme="majorEastAsia" w:eastAsiaTheme="majorEastAsia" w:cstheme="majorEastAsia"/>
          <w:b/>
          <w:bCs/>
          <w:color w:val="000000"/>
          <w:kern w:val="0"/>
          <w:sz w:val="43"/>
          <w:szCs w:val="43"/>
          <w:highlight w:val="none"/>
          <w:lang w:bidi="ar"/>
        </w:rPr>
      </w:pPr>
    </w:p>
    <w:p>
      <w:pPr>
        <w:widowControl/>
        <w:ind w:firstLine="2590" w:firstLineChars="600"/>
        <w:jc w:val="both"/>
        <w:rPr>
          <w:rFonts w:hint="eastAsia" w:asciiTheme="majorEastAsia" w:hAnsiTheme="majorEastAsia" w:eastAsiaTheme="majorEastAsia" w:cstheme="majorEastAsia"/>
          <w:highlight w:val="none"/>
        </w:rPr>
      </w:pPr>
      <w:r>
        <w:rPr>
          <w:rFonts w:hint="eastAsia" w:asciiTheme="majorEastAsia" w:hAnsiTheme="majorEastAsia" w:eastAsiaTheme="majorEastAsia" w:cstheme="majorEastAsia"/>
          <w:b/>
          <w:bCs/>
          <w:color w:val="000000"/>
          <w:kern w:val="0"/>
          <w:sz w:val="43"/>
          <w:szCs w:val="43"/>
          <w:highlight w:val="none"/>
          <w:lang w:bidi="ar"/>
        </w:rPr>
        <w:t>三、合同专用条款</w:t>
      </w:r>
    </w:p>
    <w:p>
      <w:pPr>
        <w:widowControl/>
        <w:spacing w:line="360" w:lineRule="auto"/>
        <w:ind w:firstLine="480" w:firstLineChars="200"/>
        <w:jc w:val="left"/>
        <w:rPr>
          <w:rFonts w:hint="eastAsia" w:asciiTheme="majorEastAsia" w:hAnsiTheme="majorEastAsia" w:eastAsiaTheme="majorEastAsia" w:cstheme="majorEastAsia"/>
          <w:highlight w:val="none"/>
        </w:rPr>
      </w:pPr>
      <w:r>
        <w:rPr>
          <w:rFonts w:hint="eastAsia" w:asciiTheme="majorEastAsia" w:hAnsiTheme="majorEastAsia" w:eastAsiaTheme="majorEastAsia" w:cstheme="majorEastAsia"/>
          <w:color w:val="000000"/>
          <w:kern w:val="0"/>
          <w:sz w:val="24"/>
          <w:highlight w:val="none"/>
          <w:lang w:bidi="ar"/>
        </w:rPr>
        <w:t xml:space="preserve">本表关于招标货物的具体要求是对本合同条款的具体补充和修改，如有矛盾， 应以 </w:t>
      </w:r>
    </w:p>
    <w:p>
      <w:pPr>
        <w:widowControl/>
        <w:spacing w:line="360" w:lineRule="auto"/>
        <w:jc w:val="left"/>
        <w:rPr>
          <w:rFonts w:hint="eastAsia" w:asciiTheme="majorEastAsia" w:hAnsiTheme="majorEastAsia" w:eastAsiaTheme="majorEastAsia" w:cstheme="majorEastAsia"/>
          <w:highlight w:val="none"/>
        </w:rPr>
      </w:pPr>
      <w:r>
        <w:rPr>
          <w:rFonts w:hint="eastAsia" w:asciiTheme="majorEastAsia" w:hAnsiTheme="majorEastAsia" w:eastAsiaTheme="majorEastAsia" w:cstheme="majorEastAsia"/>
          <w:color w:val="000000"/>
          <w:kern w:val="0"/>
          <w:sz w:val="24"/>
          <w:highlight w:val="none"/>
          <w:lang w:bidi="ar"/>
        </w:rPr>
        <w:t>本条款为准。</w:t>
      </w:r>
    </w:p>
    <w:tbl>
      <w:tblPr>
        <w:tblStyle w:val="37"/>
        <w:tblW w:w="9687" w:type="dxa"/>
        <w:tblInd w:w="93" w:type="dxa"/>
        <w:tblLayout w:type="autofit"/>
        <w:tblCellMar>
          <w:top w:w="0" w:type="dxa"/>
          <w:left w:w="108" w:type="dxa"/>
          <w:bottom w:w="0" w:type="dxa"/>
          <w:right w:w="108" w:type="dxa"/>
        </w:tblCellMar>
      </w:tblPr>
      <w:tblGrid>
        <w:gridCol w:w="1080"/>
        <w:gridCol w:w="8607"/>
      </w:tblGrid>
      <w:tr>
        <w:tblPrEx>
          <w:tblCellMar>
            <w:top w:w="0" w:type="dxa"/>
            <w:left w:w="108" w:type="dxa"/>
            <w:bottom w:w="0" w:type="dxa"/>
            <w:right w:w="108" w:type="dxa"/>
          </w:tblCellMar>
        </w:tblPrEx>
        <w:trPr>
          <w:trHeight w:val="48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60" w:lineRule="auto"/>
              <w:jc w:val="center"/>
              <w:textAlignment w:val="center"/>
              <w:rPr>
                <w:rFonts w:hint="eastAsia" w:asciiTheme="majorEastAsia" w:hAnsiTheme="majorEastAsia" w:eastAsiaTheme="majorEastAsia" w:cstheme="majorEastAsia"/>
                <w:color w:val="000000"/>
                <w:sz w:val="24"/>
                <w:szCs w:val="24"/>
                <w:highlight w:val="none"/>
              </w:rPr>
            </w:pPr>
            <w:r>
              <w:rPr>
                <w:rFonts w:hint="eastAsia" w:asciiTheme="majorEastAsia" w:hAnsiTheme="majorEastAsia" w:eastAsiaTheme="majorEastAsia" w:cstheme="majorEastAsia"/>
                <w:color w:val="000000"/>
                <w:kern w:val="0"/>
                <w:sz w:val="24"/>
                <w:szCs w:val="24"/>
                <w:highlight w:val="none"/>
                <w:lang w:bidi="ar"/>
              </w:rPr>
              <w:t>序号</w:t>
            </w:r>
          </w:p>
        </w:tc>
        <w:tc>
          <w:tcPr>
            <w:tcW w:w="86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60" w:lineRule="auto"/>
              <w:jc w:val="center"/>
              <w:textAlignment w:val="center"/>
              <w:rPr>
                <w:rFonts w:hint="eastAsia" w:asciiTheme="majorEastAsia" w:hAnsiTheme="majorEastAsia" w:eastAsiaTheme="majorEastAsia" w:cstheme="majorEastAsia"/>
                <w:color w:val="000000"/>
                <w:sz w:val="24"/>
                <w:szCs w:val="24"/>
                <w:highlight w:val="none"/>
              </w:rPr>
            </w:pPr>
            <w:r>
              <w:rPr>
                <w:rFonts w:hint="eastAsia" w:asciiTheme="majorEastAsia" w:hAnsiTheme="majorEastAsia" w:eastAsiaTheme="majorEastAsia" w:cstheme="majorEastAsia"/>
                <w:color w:val="000000"/>
                <w:kern w:val="0"/>
                <w:sz w:val="24"/>
                <w:szCs w:val="24"/>
                <w:highlight w:val="none"/>
                <w:lang w:bidi="ar"/>
              </w:rPr>
              <w:t>内容</w:t>
            </w:r>
          </w:p>
        </w:tc>
      </w:tr>
      <w:tr>
        <w:tblPrEx>
          <w:tblCellMar>
            <w:top w:w="0" w:type="dxa"/>
            <w:left w:w="108" w:type="dxa"/>
            <w:bottom w:w="0" w:type="dxa"/>
            <w:right w:w="108" w:type="dxa"/>
          </w:tblCellMar>
        </w:tblPrEx>
        <w:trPr>
          <w:trHeight w:val="5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60" w:lineRule="auto"/>
              <w:jc w:val="center"/>
              <w:textAlignment w:val="center"/>
              <w:rPr>
                <w:rFonts w:hint="eastAsia" w:asciiTheme="majorEastAsia" w:hAnsiTheme="majorEastAsia" w:eastAsiaTheme="majorEastAsia" w:cstheme="majorEastAsia"/>
                <w:color w:val="000000"/>
                <w:sz w:val="24"/>
                <w:szCs w:val="24"/>
                <w:highlight w:val="none"/>
              </w:rPr>
            </w:pPr>
            <w:r>
              <w:rPr>
                <w:rFonts w:hint="eastAsia" w:asciiTheme="majorEastAsia" w:hAnsiTheme="majorEastAsia" w:eastAsiaTheme="majorEastAsia" w:cstheme="majorEastAsia"/>
                <w:color w:val="000000"/>
                <w:kern w:val="0"/>
                <w:sz w:val="24"/>
                <w:szCs w:val="24"/>
                <w:highlight w:val="none"/>
                <w:lang w:bidi="ar"/>
              </w:rPr>
              <w:t>1</w:t>
            </w:r>
          </w:p>
        </w:tc>
        <w:tc>
          <w:tcPr>
            <w:tcW w:w="860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auto"/>
              <w:jc w:val="left"/>
              <w:textAlignment w:val="center"/>
              <w:rPr>
                <w:rFonts w:hint="eastAsia" w:asciiTheme="majorEastAsia" w:hAnsiTheme="majorEastAsia" w:eastAsiaTheme="majorEastAsia" w:cstheme="majorEastAsia"/>
                <w:color w:val="000000"/>
                <w:sz w:val="24"/>
                <w:szCs w:val="24"/>
                <w:highlight w:val="none"/>
              </w:rPr>
            </w:pPr>
            <w:r>
              <w:rPr>
                <w:rFonts w:hint="eastAsia" w:asciiTheme="majorEastAsia" w:hAnsiTheme="majorEastAsia" w:eastAsiaTheme="majorEastAsia" w:cstheme="majorEastAsia"/>
                <w:color w:val="000000"/>
                <w:kern w:val="0"/>
                <w:sz w:val="24"/>
                <w:szCs w:val="24"/>
                <w:highlight w:val="none"/>
                <w:lang w:bidi="ar"/>
              </w:rPr>
              <w:t>甲方（采购方）名称：甘肃省第二人民医院                                        甲方（采购方）地址：兰州市城关区和政西街 1 号</w:t>
            </w:r>
          </w:p>
        </w:tc>
      </w:tr>
      <w:tr>
        <w:tblPrEx>
          <w:tblCellMar>
            <w:top w:w="0" w:type="dxa"/>
            <w:left w:w="108" w:type="dxa"/>
            <w:bottom w:w="0" w:type="dxa"/>
            <w:right w:w="108" w:type="dxa"/>
          </w:tblCellMar>
        </w:tblPrEx>
        <w:trPr>
          <w:trHeight w:val="5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60" w:lineRule="auto"/>
              <w:jc w:val="center"/>
              <w:textAlignment w:val="center"/>
              <w:rPr>
                <w:rFonts w:hint="eastAsia" w:asciiTheme="majorEastAsia" w:hAnsiTheme="majorEastAsia" w:eastAsiaTheme="majorEastAsia" w:cstheme="majorEastAsia"/>
                <w:color w:val="000000"/>
                <w:sz w:val="24"/>
                <w:szCs w:val="24"/>
                <w:highlight w:val="none"/>
              </w:rPr>
            </w:pPr>
            <w:r>
              <w:rPr>
                <w:rFonts w:hint="eastAsia" w:asciiTheme="majorEastAsia" w:hAnsiTheme="majorEastAsia" w:eastAsiaTheme="majorEastAsia" w:cstheme="majorEastAsia"/>
                <w:color w:val="000000"/>
                <w:kern w:val="0"/>
                <w:sz w:val="24"/>
                <w:szCs w:val="24"/>
                <w:highlight w:val="none"/>
                <w:lang w:bidi="ar"/>
              </w:rPr>
              <w:t>2</w:t>
            </w:r>
          </w:p>
        </w:tc>
        <w:tc>
          <w:tcPr>
            <w:tcW w:w="860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auto"/>
              <w:jc w:val="left"/>
              <w:textAlignment w:val="center"/>
              <w:rPr>
                <w:rFonts w:hint="eastAsia" w:asciiTheme="majorEastAsia" w:hAnsiTheme="majorEastAsia" w:eastAsiaTheme="majorEastAsia" w:cstheme="majorEastAsia"/>
                <w:sz w:val="24"/>
                <w:szCs w:val="24"/>
                <w:highlight w:val="none"/>
                <w:lang w:val="en-US" w:eastAsia="zh-CN"/>
              </w:rPr>
            </w:pPr>
            <w:r>
              <w:rPr>
                <w:rFonts w:hint="eastAsia" w:asciiTheme="majorEastAsia" w:hAnsiTheme="majorEastAsia" w:eastAsiaTheme="majorEastAsia" w:cstheme="majorEastAsia"/>
                <w:kern w:val="0"/>
                <w:sz w:val="24"/>
                <w:szCs w:val="24"/>
                <w:highlight w:val="none"/>
                <w:lang w:bidi="ar"/>
              </w:rPr>
              <w:t>乙方（中标人）名称：</w:t>
            </w:r>
            <w:r>
              <w:rPr>
                <w:rFonts w:hint="eastAsia" w:asciiTheme="majorEastAsia" w:hAnsiTheme="majorEastAsia" w:eastAsiaTheme="majorEastAsia" w:cstheme="majorEastAsia"/>
                <w:kern w:val="0"/>
                <w:sz w:val="24"/>
                <w:szCs w:val="24"/>
                <w:highlight w:val="none"/>
                <w:lang w:val="en-US" w:eastAsia="zh-CN" w:bidi="ar"/>
              </w:rPr>
              <w:t>*************</w:t>
            </w:r>
            <w:r>
              <w:rPr>
                <w:rFonts w:hint="eastAsia" w:asciiTheme="majorEastAsia" w:hAnsiTheme="majorEastAsia" w:eastAsiaTheme="majorEastAsia" w:cstheme="majorEastAsia"/>
                <w:kern w:val="0"/>
                <w:sz w:val="24"/>
                <w:szCs w:val="24"/>
                <w:highlight w:val="none"/>
                <w:lang w:bidi="ar"/>
              </w:rPr>
              <w:t xml:space="preserve">                                                   乙方（中标人）地址：</w:t>
            </w:r>
            <w:r>
              <w:rPr>
                <w:rFonts w:hint="eastAsia" w:asciiTheme="majorEastAsia" w:hAnsiTheme="majorEastAsia" w:eastAsiaTheme="majorEastAsia" w:cstheme="majorEastAsia"/>
                <w:kern w:val="0"/>
                <w:sz w:val="24"/>
                <w:szCs w:val="24"/>
                <w:highlight w:val="none"/>
                <w:lang w:val="en-US" w:eastAsia="zh-CN" w:bidi="ar"/>
              </w:rPr>
              <w:t>*************</w:t>
            </w:r>
          </w:p>
        </w:tc>
      </w:tr>
      <w:tr>
        <w:tblPrEx>
          <w:tblCellMar>
            <w:top w:w="0" w:type="dxa"/>
            <w:left w:w="108" w:type="dxa"/>
            <w:bottom w:w="0" w:type="dxa"/>
            <w:right w:w="108" w:type="dxa"/>
          </w:tblCellMar>
        </w:tblPrEx>
        <w:trPr>
          <w:trHeight w:val="20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60" w:lineRule="auto"/>
              <w:jc w:val="center"/>
              <w:textAlignment w:val="center"/>
              <w:rPr>
                <w:rFonts w:hint="eastAsia" w:asciiTheme="majorEastAsia" w:hAnsiTheme="majorEastAsia" w:eastAsiaTheme="majorEastAsia" w:cstheme="majorEastAsia"/>
                <w:color w:val="000000"/>
                <w:sz w:val="24"/>
                <w:szCs w:val="24"/>
                <w:highlight w:val="none"/>
              </w:rPr>
            </w:pPr>
            <w:r>
              <w:rPr>
                <w:rFonts w:hint="eastAsia" w:asciiTheme="majorEastAsia" w:hAnsiTheme="majorEastAsia" w:eastAsiaTheme="majorEastAsia" w:cstheme="majorEastAsia"/>
                <w:color w:val="000000"/>
                <w:kern w:val="0"/>
                <w:sz w:val="24"/>
                <w:szCs w:val="24"/>
                <w:highlight w:val="none"/>
                <w:lang w:bidi="ar"/>
              </w:rPr>
              <w:t>3</w:t>
            </w:r>
          </w:p>
        </w:tc>
        <w:tc>
          <w:tcPr>
            <w:tcW w:w="860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auto"/>
              <w:jc w:val="left"/>
              <w:textAlignment w:val="center"/>
              <w:rPr>
                <w:rFonts w:hint="eastAsia" w:asciiTheme="majorEastAsia" w:hAnsiTheme="majorEastAsia" w:eastAsiaTheme="majorEastAsia" w:cstheme="majorEastAsia"/>
                <w:sz w:val="24"/>
                <w:szCs w:val="24"/>
                <w:highlight w:val="none"/>
                <w:lang w:eastAsia="zh-CN"/>
              </w:rPr>
            </w:pPr>
            <w:r>
              <w:rPr>
                <w:rFonts w:hint="eastAsia" w:asciiTheme="majorEastAsia" w:hAnsiTheme="majorEastAsia" w:eastAsiaTheme="majorEastAsia" w:cstheme="majorEastAsia"/>
                <w:sz w:val="24"/>
                <w:szCs w:val="24"/>
                <w:highlight w:val="none"/>
                <w:lang w:val="zh-CN" w:eastAsia="zh-CN"/>
              </w:rPr>
              <w:t>合同签订后，乙方向甲方缴纳中标金额的 20%作为质量保证金，供货验收合格后，乙方开具全额发票，甲方支付 100%全额货款，质保期进行到一半时，如无质量问题，甲方无息退还乙方 10%的质保金，质保期结束后，如无质量问题，甲方无息退还乙方剩余的 10%质保金。质量保证期内乙方违反质量保证责任，迟延、拖延履行质量保证责任的甲方有权扣除乙方的质量保证金，质量保证期相应顺延；乙方拒绝履行质量保证责任的，甲方可以聘请第三方进行维保，产生的维保费甲方有权向乙方主张，并扣除的全部质保金。</w:t>
            </w:r>
          </w:p>
        </w:tc>
      </w:tr>
      <w:tr>
        <w:tblPrEx>
          <w:tblCellMar>
            <w:top w:w="0" w:type="dxa"/>
            <w:left w:w="108" w:type="dxa"/>
            <w:bottom w:w="0" w:type="dxa"/>
            <w:right w:w="108" w:type="dxa"/>
          </w:tblCellMar>
        </w:tblPrEx>
        <w:trPr>
          <w:trHeight w:val="5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60" w:lineRule="auto"/>
              <w:jc w:val="center"/>
              <w:textAlignment w:val="center"/>
              <w:rPr>
                <w:rFonts w:hint="eastAsia" w:asciiTheme="majorEastAsia" w:hAnsiTheme="majorEastAsia" w:eastAsiaTheme="majorEastAsia" w:cstheme="majorEastAsia"/>
                <w:color w:val="000000"/>
                <w:sz w:val="24"/>
                <w:szCs w:val="24"/>
                <w:highlight w:val="none"/>
              </w:rPr>
            </w:pPr>
            <w:r>
              <w:rPr>
                <w:rFonts w:hint="eastAsia" w:asciiTheme="majorEastAsia" w:hAnsiTheme="majorEastAsia" w:eastAsiaTheme="majorEastAsia" w:cstheme="majorEastAsia"/>
                <w:color w:val="000000"/>
                <w:kern w:val="0"/>
                <w:sz w:val="24"/>
                <w:szCs w:val="24"/>
                <w:highlight w:val="none"/>
                <w:lang w:bidi="ar"/>
              </w:rPr>
              <w:t>4</w:t>
            </w:r>
          </w:p>
        </w:tc>
        <w:tc>
          <w:tcPr>
            <w:tcW w:w="860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auto"/>
              <w:jc w:val="left"/>
              <w:textAlignment w:val="center"/>
              <w:rPr>
                <w:rFonts w:hint="eastAsia" w:asciiTheme="majorEastAsia" w:hAnsiTheme="majorEastAsia" w:eastAsiaTheme="majorEastAsia" w:cstheme="majorEastAsia"/>
                <w:sz w:val="24"/>
                <w:szCs w:val="24"/>
                <w:highlight w:val="none"/>
              </w:rPr>
            </w:pPr>
            <w:r>
              <w:rPr>
                <w:rFonts w:hint="eastAsia" w:asciiTheme="majorEastAsia" w:hAnsiTheme="majorEastAsia" w:eastAsiaTheme="majorEastAsia" w:cstheme="majorEastAsia"/>
                <w:kern w:val="0"/>
                <w:sz w:val="24"/>
                <w:szCs w:val="24"/>
                <w:highlight w:val="none"/>
                <w:lang w:bidi="ar"/>
              </w:rPr>
              <w:t>中标金额（大写）：</w:t>
            </w:r>
            <w:r>
              <w:rPr>
                <w:rFonts w:hint="eastAsia" w:asciiTheme="majorEastAsia" w:hAnsiTheme="majorEastAsia" w:eastAsiaTheme="majorEastAsia" w:cstheme="majorEastAsia"/>
                <w:kern w:val="0"/>
                <w:sz w:val="24"/>
                <w:szCs w:val="24"/>
                <w:highlight w:val="none"/>
                <w:lang w:val="en-US" w:eastAsia="zh-CN" w:bidi="ar"/>
              </w:rPr>
              <w:t>*****************</w:t>
            </w:r>
            <w:r>
              <w:rPr>
                <w:rFonts w:hint="eastAsia" w:asciiTheme="majorEastAsia" w:hAnsiTheme="majorEastAsia" w:eastAsiaTheme="majorEastAsia" w:cstheme="majorEastAsia"/>
                <w:kern w:val="0"/>
                <w:sz w:val="24"/>
                <w:szCs w:val="24"/>
                <w:highlight w:val="none"/>
                <w:lang w:bidi="ar"/>
              </w:rPr>
              <w:t>小写：</w:t>
            </w:r>
            <w:r>
              <w:rPr>
                <w:rFonts w:hint="eastAsia" w:asciiTheme="majorEastAsia" w:hAnsiTheme="majorEastAsia" w:eastAsiaTheme="majorEastAsia" w:cstheme="majorEastAsia"/>
                <w:kern w:val="0"/>
                <w:sz w:val="24"/>
                <w:szCs w:val="24"/>
                <w:highlight w:val="none"/>
                <w:lang w:val="en-US" w:eastAsia="zh-CN" w:bidi="ar"/>
              </w:rPr>
              <w:t>*********</w:t>
            </w:r>
          </w:p>
        </w:tc>
      </w:tr>
      <w:tr>
        <w:tblPrEx>
          <w:tblCellMar>
            <w:top w:w="0" w:type="dxa"/>
            <w:left w:w="108" w:type="dxa"/>
            <w:bottom w:w="0" w:type="dxa"/>
            <w:right w:w="108" w:type="dxa"/>
          </w:tblCellMar>
        </w:tblPrEx>
        <w:trPr>
          <w:trHeight w:val="89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60" w:lineRule="auto"/>
              <w:jc w:val="center"/>
              <w:textAlignment w:val="center"/>
              <w:rPr>
                <w:rFonts w:hint="eastAsia" w:asciiTheme="majorEastAsia" w:hAnsiTheme="majorEastAsia" w:eastAsiaTheme="majorEastAsia" w:cstheme="majorEastAsia"/>
                <w:color w:val="000000"/>
                <w:sz w:val="24"/>
                <w:szCs w:val="24"/>
                <w:highlight w:val="none"/>
              </w:rPr>
            </w:pPr>
            <w:r>
              <w:rPr>
                <w:rFonts w:hint="eastAsia" w:asciiTheme="majorEastAsia" w:hAnsiTheme="majorEastAsia" w:eastAsiaTheme="majorEastAsia" w:cstheme="majorEastAsia"/>
                <w:color w:val="000000"/>
                <w:kern w:val="0"/>
                <w:sz w:val="24"/>
                <w:szCs w:val="24"/>
                <w:highlight w:val="none"/>
                <w:lang w:bidi="ar"/>
              </w:rPr>
              <w:t>5</w:t>
            </w:r>
          </w:p>
        </w:tc>
        <w:tc>
          <w:tcPr>
            <w:tcW w:w="860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auto"/>
              <w:jc w:val="left"/>
              <w:textAlignment w:val="center"/>
              <w:rPr>
                <w:rFonts w:hint="eastAsia" w:asciiTheme="majorEastAsia" w:hAnsiTheme="majorEastAsia" w:eastAsiaTheme="majorEastAsia" w:cstheme="majorEastAsia"/>
                <w:color w:val="000000"/>
                <w:sz w:val="24"/>
                <w:szCs w:val="24"/>
                <w:highlight w:val="none"/>
              </w:rPr>
            </w:pPr>
            <w:r>
              <w:rPr>
                <w:rFonts w:hint="eastAsia" w:asciiTheme="majorEastAsia" w:hAnsiTheme="majorEastAsia" w:eastAsiaTheme="majorEastAsia" w:cstheme="majorEastAsia"/>
                <w:color w:val="000000"/>
                <w:kern w:val="0"/>
                <w:sz w:val="24"/>
                <w:szCs w:val="24"/>
                <w:highlight w:val="none"/>
                <w:lang w:bidi="ar"/>
              </w:rPr>
              <w:t>质量保证期：整机（含配套附件、附属设备等）质</w:t>
            </w:r>
            <w:r>
              <w:rPr>
                <w:rFonts w:hint="eastAsia" w:asciiTheme="majorEastAsia" w:hAnsiTheme="majorEastAsia" w:eastAsiaTheme="majorEastAsia" w:cstheme="majorEastAsia"/>
                <w:kern w:val="0"/>
                <w:sz w:val="24"/>
                <w:szCs w:val="24"/>
                <w:highlight w:val="none"/>
                <w:lang w:bidi="ar"/>
              </w:rPr>
              <w:t>保</w:t>
            </w:r>
            <w:r>
              <w:rPr>
                <w:rFonts w:hint="eastAsia" w:asciiTheme="majorEastAsia" w:hAnsiTheme="majorEastAsia" w:eastAsiaTheme="majorEastAsia" w:cstheme="majorEastAsia"/>
                <w:kern w:val="0"/>
                <w:sz w:val="24"/>
                <w:szCs w:val="24"/>
                <w:highlight w:val="none"/>
                <w:lang w:val="en-US" w:eastAsia="zh-CN" w:bidi="ar"/>
              </w:rPr>
              <w:t>3</w:t>
            </w:r>
            <w:r>
              <w:rPr>
                <w:rFonts w:hint="eastAsia" w:asciiTheme="majorEastAsia" w:hAnsiTheme="majorEastAsia" w:eastAsiaTheme="majorEastAsia" w:cstheme="majorEastAsia"/>
                <w:color w:val="000000"/>
                <w:kern w:val="0"/>
                <w:sz w:val="24"/>
                <w:szCs w:val="24"/>
                <w:highlight w:val="none"/>
                <w:lang w:bidi="ar"/>
              </w:rPr>
              <w:t>年，在质保期内进行售后服务不得收取任何费用，验收合格后质保期内每年（按365天计算）设备正常开机率≥95%，若达不到，不足的开机天数按照1：3相应延长质保期。</w:t>
            </w:r>
          </w:p>
        </w:tc>
      </w:tr>
      <w:tr>
        <w:tblPrEx>
          <w:tblCellMar>
            <w:top w:w="0" w:type="dxa"/>
            <w:left w:w="108" w:type="dxa"/>
            <w:bottom w:w="0" w:type="dxa"/>
            <w:right w:w="108" w:type="dxa"/>
          </w:tblCellMar>
        </w:tblPrEx>
        <w:trPr>
          <w:trHeight w:val="195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60" w:lineRule="auto"/>
              <w:jc w:val="center"/>
              <w:textAlignment w:val="center"/>
              <w:rPr>
                <w:rFonts w:hint="eastAsia" w:asciiTheme="majorEastAsia" w:hAnsiTheme="majorEastAsia" w:eastAsiaTheme="majorEastAsia" w:cstheme="majorEastAsia"/>
                <w:color w:val="000000"/>
                <w:sz w:val="24"/>
                <w:szCs w:val="24"/>
                <w:highlight w:val="none"/>
              </w:rPr>
            </w:pPr>
            <w:r>
              <w:rPr>
                <w:rFonts w:hint="eastAsia" w:asciiTheme="majorEastAsia" w:hAnsiTheme="majorEastAsia" w:eastAsiaTheme="majorEastAsia" w:cstheme="majorEastAsia"/>
                <w:color w:val="000000"/>
                <w:kern w:val="0"/>
                <w:sz w:val="24"/>
                <w:szCs w:val="24"/>
                <w:highlight w:val="none"/>
                <w:lang w:bidi="ar"/>
              </w:rPr>
              <w:t>6</w:t>
            </w:r>
          </w:p>
        </w:tc>
        <w:tc>
          <w:tcPr>
            <w:tcW w:w="860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auto"/>
              <w:jc w:val="left"/>
              <w:textAlignment w:val="center"/>
              <w:rPr>
                <w:rFonts w:hint="eastAsia" w:asciiTheme="majorEastAsia" w:hAnsiTheme="majorEastAsia" w:eastAsiaTheme="majorEastAsia" w:cstheme="majorEastAsia"/>
                <w:color w:val="000000"/>
                <w:sz w:val="24"/>
                <w:szCs w:val="24"/>
                <w:highlight w:val="none"/>
              </w:rPr>
            </w:pPr>
            <w:r>
              <w:rPr>
                <w:rFonts w:hint="eastAsia" w:asciiTheme="majorEastAsia" w:hAnsiTheme="majorEastAsia" w:eastAsiaTheme="majorEastAsia" w:cstheme="majorEastAsia"/>
                <w:color w:val="000000"/>
                <w:kern w:val="0"/>
                <w:sz w:val="24"/>
                <w:szCs w:val="24"/>
                <w:highlight w:val="none"/>
                <w:lang w:bidi="ar"/>
              </w:rPr>
              <w:t>如设备的主要技术性能指标达不到招投标文件中规定的指标要求，采购人有权 不再向乙方支付剩余合同价款，还将保留继续向中标人进一步索赔有关直接和 间接经济损失的权利，并承担甲方因处理本协议项下纠纷所产生的诉讼费、仲 裁费、保全费及保全担保费、律师费、差旅费、鉴定费等一切费用。甲方有权 向政府招投标、</w:t>
            </w:r>
            <w:r>
              <w:rPr>
                <w:rFonts w:hint="eastAsia" w:asciiTheme="majorEastAsia" w:hAnsiTheme="majorEastAsia" w:eastAsiaTheme="majorEastAsia" w:cstheme="majorEastAsia"/>
                <w:color w:val="000000"/>
                <w:kern w:val="0"/>
                <w:sz w:val="24"/>
                <w:szCs w:val="24"/>
                <w:highlight w:val="none"/>
                <w:lang w:eastAsia="zh-CN" w:bidi="ar"/>
              </w:rPr>
              <w:t>采购</w:t>
            </w:r>
            <w:r>
              <w:rPr>
                <w:rFonts w:hint="eastAsia" w:asciiTheme="majorEastAsia" w:hAnsiTheme="majorEastAsia" w:eastAsiaTheme="majorEastAsia" w:cstheme="majorEastAsia"/>
                <w:color w:val="000000"/>
                <w:kern w:val="0"/>
                <w:sz w:val="24"/>
                <w:szCs w:val="24"/>
                <w:highlight w:val="none"/>
                <w:lang w:bidi="ar"/>
              </w:rPr>
              <w:t>、行业主张机构申报、报告，将中标人列 入有关不良行为记录名单，并永久性不得参加甲方通过任何形式进行的采购。</w:t>
            </w:r>
          </w:p>
        </w:tc>
      </w:tr>
      <w:tr>
        <w:tblPrEx>
          <w:tblCellMar>
            <w:top w:w="0" w:type="dxa"/>
            <w:left w:w="108" w:type="dxa"/>
            <w:bottom w:w="0" w:type="dxa"/>
            <w:right w:w="108" w:type="dxa"/>
          </w:tblCellMar>
        </w:tblPrEx>
        <w:trPr>
          <w:trHeight w:val="108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60" w:lineRule="auto"/>
              <w:jc w:val="center"/>
              <w:textAlignment w:val="center"/>
              <w:rPr>
                <w:rFonts w:hint="eastAsia" w:asciiTheme="majorEastAsia" w:hAnsiTheme="majorEastAsia" w:eastAsiaTheme="majorEastAsia" w:cstheme="majorEastAsia"/>
                <w:color w:val="000000"/>
                <w:sz w:val="24"/>
                <w:szCs w:val="24"/>
                <w:highlight w:val="none"/>
              </w:rPr>
            </w:pPr>
            <w:r>
              <w:rPr>
                <w:rFonts w:hint="eastAsia" w:asciiTheme="majorEastAsia" w:hAnsiTheme="majorEastAsia" w:eastAsiaTheme="majorEastAsia" w:cstheme="majorEastAsia"/>
                <w:color w:val="000000"/>
                <w:kern w:val="0"/>
                <w:sz w:val="24"/>
                <w:szCs w:val="24"/>
                <w:highlight w:val="none"/>
                <w:lang w:bidi="ar"/>
              </w:rPr>
              <w:t>7</w:t>
            </w:r>
          </w:p>
        </w:tc>
        <w:tc>
          <w:tcPr>
            <w:tcW w:w="860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auto"/>
              <w:jc w:val="left"/>
              <w:textAlignment w:val="center"/>
              <w:rPr>
                <w:rFonts w:hint="eastAsia" w:asciiTheme="majorEastAsia" w:hAnsiTheme="majorEastAsia" w:eastAsiaTheme="majorEastAsia" w:cstheme="majorEastAsia"/>
                <w:color w:val="000000"/>
                <w:sz w:val="24"/>
                <w:szCs w:val="24"/>
                <w:highlight w:val="none"/>
              </w:rPr>
            </w:pPr>
            <w:r>
              <w:rPr>
                <w:rFonts w:hint="eastAsia" w:asciiTheme="majorEastAsia" w:hAnsiTheme="majorEastAsia" w:eastAsiaTheme="majorEastAsia" w:cstheme="majorEastAsia"/>
                <w:color w:val="000000"/>
                <w:kern w:val="0"/>
                <w:sz w:val="24"/>
                <w:szCs w:val="24"/>
                <w:highlight w:val="none"/>
                <w:lang w:bidi="ar"/>
              </w:rPr>
              <w:t>质量验收标准：质量要求须达到国家强制标准的合格等级以上，并符合甲方招 标文件技术参数及甲方其他质量要求；如果没有提及使用标准或者无国家强制 标准的，按照行业标准执行；无行业标准的参照国际标准，国际标准文件由乙 方提供，并承担相关费用。</w:t>
            </w:r>
          </w:p>
        </w:tc>
      </w:tr>
      <w:tr>
        <w:tblPrEx>
          <w:tblCellMar>
            <w:top w:w="0" w:type="dxa"/>
            <w:left w:w="108" w:type="dxa"/>
            <w:bottom w:w="0" w:type="dxa"/>
            <w:right w:w="108" w:type="dxa"/>
          </w:tblCellMar>
        </w:tblPrEx>
        <w:trPr>
          <w:trHeight w:val="487"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60" w:lineRule="auto"/>
              <w:jc w:val="center"/>
              <w:textAlignment w:val="center"/>
              <w:rPr>
                <w:rFonts w:hint="eastAsia" w:asciiTheme="majorEastAsia" w:hAnsiTheme="majorEastAsia" w:eastAsiaTheme="majorEastAsia" w:cstheme="majorEastAsia"/>
                <w:color w:val="000000"/>
                <w:sz w:val="24"/>
                <w:szCs w:val="24"/>
                <w:highlight w:val="none"/>
              </w:rPr>
            </w:pPr>
            <w:r>
              <w:rPr>
                <w:rFonts w:hint="eastAsia" w:asciiTheme="majorEastAsia" w:hAnsiTheme="majorEastAsia" w:eastAsiaTheme="majorEastAsia" w:cstheme="majorEastAsia"/>
                <w:color w:val="000000"/>
                <w:kern w:val="0"/>
                <w:sz w:val="24"/>
                <w:szCs w:val="24"/>
                <w:highlight w:val="none"/>
                <w:lang w:bidi="ar"/>
              </w:rPr>
              <w:t>8</w:t>
            </w:r>
          </w:p>
        </w:tc>
        <w:tc>
          <w:tcPr>
            <w:tcW w:w="86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60" w:lineRule="auto"/>
              <w:jc w:val="left"/>
              <w:textAlignment w:val="center"/>
              <w:rPr>
                <w:rFonts w:hint="eastAsia" w:asciiTheme="majorEastAsia" w:hAnsiTheme="majorEastAsia" w:eastAsiaTheme="majorEastAsia" w:cstheme="majorEastAsia"/>
                <w:color w:val="000000"/>
                <w:sz w:val="24"/>
                <w:szCs w:val="24"/>
                <w:highlight w:val="none"/>
              </w:rPr>
            </w:pPr>
            <w:r>
              <w:rPr>
                <w:rFonts w:hint="eastAsia" w:asciiTheme="majorEastAsia" w:hAnsiTheme="majorEastAsia" w:eastAsiaTheme="majorEastAsia" w:cstheme="majorEastAsia"/>
                <w:color w:val="000000"/>
                <w:kern w:val="0"/>
                <w:sz w:val="24"/>
                <w:szCs w:val="24"/>
                <w:highlight w:val="none"/>
                <w:lang w:bidi="ar"/>
              </w:rPr>
              <w:t>交货期：合同签订</w:t>
            </w:r>
            <w:r>
              <w:rPr>
                <w:rFonts w:hint="eastAsia" w:asciiTheme="majorEastAsia" w:hAnsiTheme="majorEastAsia" w:eastAsiaTheme="majorEastAsia" w:cstheme="majorEastAsia"/>
                <w:kern w:val="0"/>
                <w:sz w:val="24"/>
                <w:szCs w:val="24"/>
                <w:highlight w:val="none"/>
                <w:lang w:bidi="ar"/>
              </w:rPr>
              <w:t>后30日历天内.</w:t>
            </w:r>
          </w:p>
        </w:tc>
      </w:tr>
      <w:tr>
        <w:tblPrEx>
          <w:tblCellMar>
            <w:top w:w="0" w:type="dxa"/>
            <w:left w:w="108" w:type="dxa"/>
            <w:bottom w:w="0" w:type="dxa"/>
            <w:right w:w="108" w:type="dxa"/>
          </w:tblCellMar>
        </w:tblPrEx>
        <w:trPr>
          <w:trHeight w:val="51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60" w:lineRule="auto"/>
              <w:jc w:val="center"/>
              <w:textAlignment w:val="center"/>
              <w:rPr>
                <w:rFonts w:hint="eastAsia" w:asciiTheme="majorEastAsia" w:hAnsiTheme="majorEastAsia" w:eastAsiaTheme="majorEastAsia" w:cstheme="majorEastAsia"/>
                <w:color w:val="000000"/>
                <w:sz w:val="24"/>
                <w:szCs w:val="24"/>
                <w:highlight w:val="none"/>
              </w:rPr>
            </w:pPr>
            <w:r>
              <w:rPr>
                <w:rFonts w:hint="eastAsia" w:asciiTheme="majorEastAsia" w:hAnsiTheme="majorEastAsia" w:eastAsiaTheme="majorEastAsia" w:cstheme="majorEastAsia"/>
                <w:color w:val="000000"/>
                <w:kern w:val="0"/>
                <w:sz w:val="24"/>
                <w:szCs w:val="24"/>
                <w:highlight w:val="none"/>
                <w:lang w:bidi="ar"/>
              </w:rPr>
              <w:t>9</w:t>
            </w:r>
          </w:p>
        </w:tc>
        <w:tc>
          <w:tcPr>
            <w:tcW w:w="86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60" w:lineRule="auto"/>
              <w:jc w:val="left"/>
              <w:textAlignment w:val="center"/>
              <w:rPr>
                <w:rFonts w:hint="eastAsia" w:asciiTheme="majorEastAsia" w:hAnsiTheme="majorEastAsia" w:eastAsiaTheme="majorEastAsia" w:cstheme="majorEastAsia"/>
                <w:color w:val="000000"/>
                <w:sz w:val="24"/>
                <w:szCs w:val="24"/>
                <w:highlight w:val="none"/>
              </w:rPr>
            </w:pPr>
            <w:r>
              <w:rPr>
                <w:rFonts w:hint="eastAsia" w:asciiTheme="majorEastAsia" w:hAnsiTheme="majorEastAsia" w:eastAsiaTheme="majorEastAsia" w:cstheme="majorEastAsia"/>
                <w:color w:val="000000"/>
                <w:kern w:val="0"/>
                <w:sz w:val="24"/>
                <w:szCs w:val="24"/>
                <w:highlight w:val="none"/>
                <w:lang w:bidi="ar"/>
              </w:rPr>
              <w:t>交货地点：采购方指定地点。</w:t>
            </w:r>
          </w:p>
        </w:tc>
      </w:tr>
      <w:tr>
        <w:tblPrEx>
          <w:tblCellMar>
            <w:top w:w="0" w:type="dxa"/>
            <w:left w:w="108" w:type="dxa"/>
            <w:bottom w:w="0" w:type="dxa"/>
            <w:right w:w="108" w:type="dxa"/>
          </w:tblCellMar>
        </w:tblPrEx>
        <w:trPr>
          <w:trHeight w:val="37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60" w:lineRule="auto"/>
              <w:jc w:val="center"/>
              <w:textAlignment w:val="center"/>
              <w:rPr>
                <w:rFonts w:hint="eastAsia" w:asciiTheme="majorEastAsia" w:hAnsiTheme="majorEastAsia" w:eastAsiaTheme="majorEastAsia" w:cstheme="majorEastAsia"/>
                <w:color w:val="000000"/>
                <w:sz w:val="24"/>
                <w:szCs w:val="24"/>
                <w:highlight w:val="none"/>
              </w:rPr>
            </w:pPr>
            <w:r>
              <w:rPr>
                <w:rFonts w:hint="eastAsia" w:asciiTheme="majorEastAsia" w:hAnsiTheme="majorEastAsia" w:eastAsiaTheme="majorEastAsia" w:cstheme="majorEastAsia"/>
                <w:color w:val="000000"/>
                <w:kern w:val="0"/>
                <w:sz w:val="24"/>
                <w:szCs w:val="24"/>
                <w:highlight w:val="none"/>
                <w:lang w:bidi="ar"/>
              </w:rPr>
              <w:t>10</w:t>
            </w:r>
          </w:p>
        </w:tc>
        <w:tc>
          <w:tcPr>
            <w:tcW w:w="860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abs>
                <w:tab w:val="left" w:pos="1260"/>
                <w:tab w:val="right" w:leader="dot" w:pos="9000"/>
              </w:tabs>
              <w:spacing w:line="360" w:lineRule="auto"/>
              <w:jc w:val="left"/>
              <w:textAlignment w:val="auto"/>
              <w:rPr>
                <w:rFonts w:hint="eastAsia" w:asciiTheme="majorEastAsia" w:hAnsiTheme="majorEastAsia" w:eastAsiaTheme="majorEastAsia" w:cstheme="majorEastAsia"/>
                <w:color w:val="000000"/>
                <w:sz w:val="24"/>
                <w:szCs w:val="24"/>
                <w:highlight w:val="none"/>
              </w:rPr>
            </w:pPr>
            <w:r>
              <w:rPr>
                <w:rFonts w:hint="eastAsia" w:asciiTheme="majorEastAsia" w:hAnsiTheme="majorEastAsia" w:eastAsiaTheme="majorEastAsia" w:cstheme="majorEastAsia"/>
                <w:color w:val="000000"/>
                <w:kern w:val="0"/>
                <w:sz w:val="24"/>
                <w:szCs w:val="24"/>
                <w:highlight w:val="none"/>
                <w:lang w:bidi="ar"/>
              </w:rPr>
              <w:t>违约责任：乙方迟延交付货物的，按照合同金额每日 5‰的标准承担迟延交货违约 金，超过30日历天内的，甲方有权解除合同。乙方交付货物质量、提供服务不符合约定，致使甲方有权拒收或退回乙方提供的全部或部分货物并解除合同，乙方应承担拒收或退回货物价款30%的违约金；甲方也可选择通知乙方负责包退、包换，退、换后的货物仍不符合合同要求时，甲方可按前述</w:t>
            </w:r>
            <w:r>
              <w:rPr>
                <w:rFonts w:hint="eastAsia" w:asciiTheme="majorEastAsia" w:hAnsiTheme="majorEastAsia" w:eastAsiaTheme="majorEastAsia" w:cstheme="majorEastAsia"/>
                <w:color w:val="auto"/>
                <w:kern w:val="0"/>
                <w:sz w:val="24"/>
                <w:szCs w:val="24"/>
                <w:highlight w:val="none"/>
                <w:lang w:bidi="ar"/>
              </w:rPr>
              <w:t>规定行使权利。乙方所供货物、提供的服务存在质量缺陷的，乙方承担合同金额30%的违约金，如造成损害后果的并承担赔偿全部经济损失，如损失无法计算的按照三倍合同金额计算。质量保证期内，乙方违反质量保证责任，按照质量保证期、质量保证金的相关条款执行。其他违约情形按照《中华人民共和国民法典》及有关司法解释的规定执行。</w:t>
            </w:r>
            <w:r>
              <w:rPr>
                <w:rFonts w:hint="eastAsia" w:asciiTheme="majorEastAsia" w:hAnsiTheme="majorEastAsia" w:eastAsiaTheme="majorEastAsia" w:cstheme="majorEastAsia"/>
                <w:color w:val="auto"/>
                <w:sz w:val="24"/>
                <w:szCs w:val="24"/>
                <w:highlight w:val="none"/>
              </w:rPr>
              <w:t>因乙方故意或重大过失造成甲方财产损失或因乙方原因造成人员伤亡事件时，</w:t>
            </w:r>
            <w:r>
              <w:rPr>
                <w:rFonts w:hint="eastAsia" w:asciiTheme="majorEastAsia" w:hAnsiTheme="majorEastAsia" w:eastAsiaTheme="majorEastAsia" w:cstheme="majorEastAsia"/>
                <w:color w:val="auto"/>
                <w:sz w:val="24"/>
                <w:szCs w:val="24"/>
                <w:highlight w:val="none"/>
                <w:lang w:val="en-US" w:eastAsia="zh-CN"/>
              </w:rPr>
              <w:t>由此产生的责任全部有乙方承担并赔偿甲方全部损失</w:t>
            </w:r>
            <w:r>
              <w:rPr>
                <w:rFonts w:hint="eastAsia" w:asciiTheme="majorEastAsia" w:hAnsiTheme="majorEastAsia" w:eastAsiaTheme="majorEastAsia" w:cstheme="majorEastAsia"/>
                <w:color w:val="auto"/>
                <w:sz w:val="24"/>
                <w:szCs w:val="24"/>
                <w:highlight w:val="none"/>
              </w:rPr>
              <w:t>。</w:t>
            </w:r>
          </w:p>
        </w:tc>
      </w:tr>
    </w:tbl>
    <w:p>
      <w:pPr>
        <w:pStyle w:val="3"/>
        <w:autoSpaceDE w:val="0"/>
        <w:autoSpaceDN w:val="0"/>
        <w:spacing w:before="66" w:line="360" w:lineRule="auto"/>
        <w:ind w:firstLine="0"/>
        <w:rPr>
          <w:rFonts w:hint="eastAsia" w:asciiTheme="majorEastAsia" w:hAnsiTheme="majorEastAsia" w:eastAsiaTheme="majorEastAsia" w:cstheme="majorEastAsia"/>
          <w:color w:val="auto"/>
          <w:highlight w:val="none"/>
        </w:rPr>
      </w:pPr>
      <w:r>
        <w:rPr>
          <w:rFonts w:hint="eastAsia" w:asciiTheme="majorEastAsia" w:hAnsiTheme="majorEastAsia" w:eastAsiaTheme="majorEastAsia" w:cstheme="majorEastAsia"/>
          <w:color w:val="auto"/>
          <w:highlight w:val="none"/>
        </w:rPr>
        <w:t>（以下无正文）</w:t>
      </w:r>
    </w:p>
    <w:p>
      <w:pPr>
        <w:widowControl/>
        <w:spacing w:line="360" w:lineRule="auto"/>
        <w:jc w:val="left"/>
        <w:rPr>
          <w:rFonts w:hint="eastAsia" w:asciiTheme="majorEastAsia" w:hAnsiTheme="majorEastAsia" w:eastAsiaTheme="majorEastAsia" w:cstheme="majorEastAsia"/>
          <w:color w:val="000000"/>
          <w:kern w:val="0"/>
          <w:sz w:val="24"/>
          <w:highlight w:val="none"/>
          <w:lang w:bidi="ar"/>
        </w:rPr>
      </w:pPr>
    </w:p>
    <w:p>
      <w:pPr>
        <w:widowControl/>
        <w:spacing w:line="720" w:lineRule="auto"/>
        <w:jc w:val="left"/>
        <w:rPr>
          <w:rFonts w:hint="eastAsia" w:asciiTheme="majorEastAsia" w:hAnsiTheme="majorEastAsia" w:eastAsiaTheme="majorEastAsia" w:cstheme="majorEastAsia"/>
          <w:color w:val="000000"/>
          <w:kern w:val="0"/>
          <w:sz w:val="36"/>
          <w:szCs w:val="36"/>
          <w:highlight w:val="none"/>
          <w:lang w:bidi="ar"/>
        </w:rPr>
      </w:pPr>
    </w:p>
    <w:p>
      <w:pPr>
        <w:rPr>
          <w:rFonts w:hint="eastAsia" w:asciiTheme="majorEastAsia" w:hAnsiTheme="majorEastAsia" w:eastAsiaTheme="majorEastAsia" w:cstheme="majorEastAsia"/>
          <w:highlight w:val="none"/>
        </w:rPr>
      </w:pPr>
    </w:p>
    <w:p>
      <w:pPr>
        <w:rPr>
          <w:rFonts w:hint="eastAsia" w:asciiTheme="majorEastAsia" w:hAnsiTheme="majorEastAsia" w:eastAsiaTheme="majorEastAsia" w:cstheme="majorEastAsia"/>
          <w:highlight w:val="none"/>
        </w:rPr>
      </w:pPr>
    </w:p>
    <w:p>
      <w:pPr>
        <w:rPr>
          <w:rFonts w:hint="eastAsia" w:asciiTheme="majorEastAsia" w:hAnsiTheme="majorEastAsia" w:eastAsiaTheme="majorEastAsia" w:cstheme="majorEastAsia"/>
          <w:highlight w:val="none"/>
        </w:rPr>
      </w:pPr>
    </w:p>
    <w:p>
      <w:pPr>
        <w:rPr>
          <w:rFonts w:hint="eastAsia" w:asciiTheme="majorEastAsia" w:hAnsiTheme="majorEastAsia" w:eastAsiaTheme="majorEastAsia" w:cstheme="majorEastAsia"/>
          <w:highlight w:val="none"/>
        </w:rPr>
      </w:pPr>
    </w:p>
    <w:p>
      <w:pPr>
        <w:rPr>
          <w:rFonts w:hint="eastAsia" w:asciiTheme="majorEastAsia" w:hAnsiTheme="majorEastAsia" w:eastAsiaTheme="majorEastAsia" w:cstheme="majorEastAsia"/>
          <w:highlight w:val="none"/>
        </w:rPr>
      </w:pPr>
    </w:p>
    <w:p>
      <w:pPr>
        <w:rPr>
          <w:rFonts w:hint="eastAsia" w:asciiTheme="majorEastAsia" w:hAnsiTheme="majorEastAsia" w:eastAsiaTheme="majorEastAsia" w:cstheme="majorEastAsia"/>
          <w:highlight w:val="none"/>
        </w:rPr>
      </w:pPr>
    </w:p>
    <w:p>
      <w:pPr>
        <w:rPr>
          <w:rFonts w:hint="eastAsia" w:asciiTheme="majorEastAsia" w:hAnsiTheme="majorEastAsia" w:eastAsiaTheme="majorEastAsia" w:cstheme="majorEastAsia"/>
          <w:highlight w:val="none"/>
        </w:rPr>
      </w:pPr>
    </w:p>
    <w:p>
      <w:pPr>
        <w:rPr>
          <w:rFonts w:hint="eastAsia" w:asciiTheme="majorEastAsia" w:hAnsiTheme="majorEastAsia" w:eastAsiaTheme="majorEastAsia" w:cstheme="majorEastAsia"/>
          <w:highlight w:val="none"/>
        </w:rPr>
      </w:pPr>
    </w:p>
    <w:p>
      <w:pPr>
        <w:rPr>
          <w:rFonts w:hint="eastAsia" w:asciiTheme="majorEastAsia" w:hAnsiTheme="majorEastAsia" w:eastAsiaTheme="majorEastAsia" w:cstheme="majorEastAsia"/>
          <w:highlight w:val="none"/>
        </w:rPr>
      </w:pPr>
    </w:p>
    <w:p>
      <w:pPr>
        <w:rPr>
          <w:rFonts w:hint="eastAsia" w:asciiTheme="majorEastAsia" w:hAnsiTheme="majorEastAsia" w:eastAsiaTheme="majorEastAsia" w:cstheme="majorEastAsia"/>
          <w:highlight w:val="none"/>
        </w:rPr>
      </w:pPr>
    </w:p>
    <w:p>
      <w:pPr>
        <w:rPr>
          <w:rFonts w:hint="eastAsia" w:asciiTheme="majorEastAsia" w:hAnsiTheme="majorEastAsia" w:eastAsiaTheme="majorEastAsia" w:cstheme="majorEastAsia"/>
          <w:highlight w:val="none"/>
        </w:rPr>
      </w:pPr>
    </w:p>
    <w:p>
      <w:pPr>
        <w:rPr>
          <w:rFonts w:hint="eastAsia" w:asciiTheme="majorEastAsia" w:hAnsiTheme="majorEastAsia" w:eastAsiaTheme="majorEastAsia" w:cstheme="majorEastAsia"/>
          <w:highlight w:val="none"/>
        </w:rPr>
      </w:pPr>
    </w:p>
    <w:p>
      <w:pPr>
        <w:rPr>
          <w:rFonts w:hint="eastAsia" w:asciiTheme="majorEastAsia" w:hAnsiTheme="majorEastAsia" w:eastAsiaTheme="majorEastAsia" w:cstheme="majorEastAsia"/>
          <w:highlight w:val="none"/>
        </w:rPr>
      </w:pPr>
    </w:p>
    <w:p>
      <w:pPr>
        <w:rPr>
          <w:rFonts w:hint="eastAsia" w:asciiTheme="majorEastAsia" w:hAnsiTheme="majorEastAsia" w:eastAsiaTheme="majorEastAsia" w:cstheme="majorEastAsia"/>
          <w:highlight w:val="none"/>
        </w:rPr>
      </w:pPr>
    </w:p>
    <w:p>
      <w:pPr>
        <w:rPr>
          <w:rFonts w:hint="eastAsia" w:asciiTheme="majorEastAsia" w:hAnsiTheme="majorEastAsia" w:eastAsiaTheme="majorEastAsia" w:cstheme="majorEastAsia"/>
          <w:highlight w:val="none"/>
        </w:rPr>
      </w:pPr>
    </w:p>
    <w:p>
      <w:pPr>
        <w:rPr>
          <w:rFonts w:hint="eastAsia" w:asciiTheme="majorEastAsia" w:hAnsiTheme="majorEastAsia" w:eastAsiaTheme="majorEastAsia" w:cstheme="majorEastAsia"/>
          <w:highlight w:val="none"/>
        </w:rPr>
      </w:pPr>
    </w:p>
    <w:p>
      <w:pPr>
        <w:rPr>
          <w:rFonts w:hint="eastAsia" w:asciiTheme="majorEastAsia" w:hAnsiTheme="majorEastAsia" w:eastAsiaTheme="majorEastAsia" w:cstheme="majorEastAsia"/>
          <w:highlight w:val="none"/>
        </w:rPr>
      </w:pPr>
    </w:p>
    <w:p>
      <w:pPr>
        <w:rPr>
          <w:rFonts w:hint="eastAsia" w:asciiTheme="majorEastAsia" w:hAnsiTheme="majorEastAsia" w:eastAsiaTheme="majorEastAsia" w:cstheme="majorEastAsia"/>
          <w:highlight w:val="none"/>
        </w:rPr>
      </w:pPr>
    </w:p>
    <w:p>
      <w:pPr>
        <w:rPr>
          <w:rFonts w:hint="eastAsia" w:asciiTheme="majorEastAsia" w:hAnsiTheme="majorEastAsia" w:eastAsiaTheme="majorEastAsia" w:cstheme="majorEastAsia"/>
          <w:highlight w:val="none"/>
        </w:rPr>
      </w:pPr>
    </w:p>
    <w:p>
      <w:pPr>
        <w:rPr>
          <w:rFonts w:hint="eastAsia" w:asciiTheme="majorEastAsia" w:hAnsiTheme="majorEastAsia" w:eastAsiaTheme="majorEastAsia" w:cstheme="majorEastAsia"/>
          <w:highlight w:val="none"/>
        </w:rPr>
      </w:pPr>
    </w:p>
    <w:p>
      <w:pPr>
        <w:rPr>
          <w:rFonts w:hint="eastAsia" w:asciiTheme="majorEastAsia" w:hAnsiTheme="majorEastAsia" w:eastAsiaTheme="majorEastAsia" w:cstheme="majorEastAsia"/>
          <w:highlight w:val="none"/>
        </w:rPr>
      </w:pPr>
    </w:p>
    <w:p>
      <w:pPr>
        <w:rPr>
          <w:rFonts w:hint="eastAsia" w:asciiTheme="majorEastAsia" w:hAnsiTheme="majorEastAsia" w:eastAsiaTheme="majorEastAsia" w:cstheme="majorEastAsia"/>
          <w:highlight w:val="none"/>
        </w:rPr>
      </w:pPr>
    </w:p>
    <w:p>
      <w:pPr>
        <w:rPr>
          <w:rFonts w:hint="eastAsia" w:asciiTheme="majorEastAsia" w:hAnsiTheme="majorEastAsia" w:eastAsiaTheme="majorEastAsia" w:cstheme="majorEastAsia"/>
          <w:highlight w:val="none"/>
        </w:rPr>
      </w:pPr>
    </w:p>
    <w:p>
      <w:pPr>
        <w:rPr>
          <w:rFonts w:hint="eastAsia" w:asciiTheme="majorEastAsia" w:hAnsiTheme="majorEastAsia" w:eastAsiaTheme="majorEastAsia" w:cstheme="majorEastAsia"/>
          <w:highlight w:val="none"/>
        </w:rPr>
      </w:pPr>
    </w:p>
    <w:p>
      <w:pPr>
        <w:rPr>
          <w:rFonts w:hint="eastAsia" w:asciiTheme="majorEastAsia" w:hAnsiTheme="majorEastAsia" w:eastAsiaTheme="majorEastAsia" w:cstheme="majorEastAsia"/>
          <w:highlight w:val="none"/>
        </w:rPr>
      </w:pPr>
    </w:p>
    <w:p>
      <w:pPr>
        <w:pStyle w:val="10"/>
        <w:autoSpaceDE w:val="0"/>
        <w:autoSpaceDN w:val="0"/>
        <w:spacing w:after="156" w:afterLines="50" w:line="360" w:lineRule="auto"/>
        <w:ind w:right="-38" w:firstLine="480" w:firstLineChars="200"/>
        <w:rPr>
          <w:rFonts w:hint="eastAsia" w:asciiTheme="majorEastAsia" w:hAnsiTheme="majorEastAsia" w:eastAsiaTheme="majorEastAsia" w:cstheme="majorEastAsia"/>
          <w:highlight w:val="none"/>
        </w:rPr>
      </w:pPr>
      <w:r>
        <w:rPr>
          <w:rFonts w:hint="eastAsia" w:asciiTheme="majorEastAsia" w:hAnsiTheme="majorEastAsia" w:eastAsiaTheme="majorEastAsia" w:cstheme="majorEastAsia"/>
          <w:b w:val="0"/>
          <w:bCs w:val="0"/>
          <w:sz w:val="24"/>
          <w:szCs w:val="24"/>
          <w:highlight w:val="none"/>
          <w:lang w:eastAsia="zh-CN" w:bidi="ar"/>
        </w:rPr>
        <w:t>（</w:t>
      </w:r>
      <w:r>
        <w:rPr>
          <w:rFonts w:hint="eastAsia" w:asciiTheme="majorEastAsia" w:hAnsiTheme="majorEastAsia" w:eastAsiaTheme="majorEastAsia" w:cstheme="majorEastAsia"/>
          <w:b w:val="0"/>
          <w:bCs w:val="0"/>
          <w:sz w:val="24"/>
          <w:szCs w:val="24"/>
          <w:highlight w:val="none"/>
          <w:lang w:bidi="ar"/>
        </w:rPr>
        <w:t>此页无正文，为甘肃省第二人民医院与</w:t>
      </w:r>
      <w:r>
        <w:rPr>
          <w:rFonts w:hint="eastAsia" w:asciiTheme="majorEastAsia" w:hAnsiTheme="majorEastAsia" w:eastAsiaTheme="majorEastAsia" w:cstheme="majorEastAsia"/>
          <w:b w:val="0"/>
          <w:bCs w:val="0"/>
          <w:sz w:val="24"/>
          <w:szCs w:val="24"/>
          <w:highlight w:val="none"/>
          <w:lang w:val="en-US" w:eastAsia="zh-CN" w:bidi="ar"/>
        </w:rPr>
        <w:t>***************</w:t>
      </w:r>
      <w:r>
        <w:rPr>
          <w:rFonts w:hint="eastAsia" w:asciiTheme="majorEastAsia" w:hAnsiTheme="majorEastAsia" w:eastAsiaTheme="majorEastAsia" w:cstheme="majorEastAsia"/>
          <w:b w:val="0"/>
          <w:bCs w:val="0"/>
          <w:sz w:val="24"/>
          <w:szCs w:val="24"/>
          <w:highlight w:val="none"/>
          <w:lang w:bidi="ar"/>
        </w:rPr>
        <w:t>之间《甘肃省第二人民医院</w:t>
      </w:r>
      <w:r>
        <w:rPr>
          <w:rFonts w:hint="eastAsia" w:asciiTheme="majorEastAsia" w:hAnsiTheme="majorEastAsia" w:eastAsiaTheme="majorEastAsia" w:cstheme="majorEastAsia"/>
          <w:b w:val="0"/>
          <w:bCs w:val="0"/>
          <w:sz w:val="24"/>
          <w:szCs w:val="24"/>
          <w:highlight w:val="none"/>
          <w:lang w:eastAsia="zh-CN" w:bidi="ar"/>
        </w:rPr>
        <w:t>*******</w:t>
      </w:r>
      <w:r>
        <w:rPr>
          <w:rFonts w:hint="eastAsia" w:asciiTheme="majorEastAsia" w:hAnsiTheme="majorEastAsia" w:eastAsiaTheme="majorEastAsia" w:cstheme="majorEastAsia"/>
          <w:b w:val="0"/>
          <w:bCs w:val="0"/>
          <w:sz w:val="24"/>
          <w:szCs w:val="24"/>
          <w:highlight w:val="none"/>
          <w:lang w:bidi="ar"/>
        </w:rPr>
        <w:t>设备采购项目合同》﹝合同编号:*****</w:t>
      </w:r>
      <w:r>
        <w:rPr>
          <w:rFonts w:hint="eastAsia" w:asciiTheme="majorEastAsia" w:hAnsiTheme="majorEastAsia" w:eastAsiaTheme="majorEastAsia" w:cstheme="majorEastAsia"/>
          <w:sz w:val="24"/>
          <w:szCs w:val="28"/>
          <w:highlight w:val="none"/>
          <w:lang w:bidi="ar"/>
        </w:rPr>
        <w:t>﹞之</w:t>
      </w:r>
      <w:r>
        <w:rPr>
          <w:rFonts w:hint="eastAsia" w:asciiTheme="majorEastAsia" w:hAnsiTheme="majorEastAsia" w:eastAsiaTheme="majorEastAsia" w:cstheme="majorEastAsia"/>
          <w:b w:val="0"/>
          <w:bCs w:val="0"/>
          <w:sz w:val="24"/>
          <w:szCs w:val="24"/>
          <w:highlight w:val="none"/>
          <w:lang w:bidi="ar"/>
        </w:rPr>
        <w:t>签署页</w:t>
      </w:r>
      <w:r>
        <w:rPr>
          <w:rFonts w:hint="eastAsia" w:asciiTheme="majorEastAsia" w:hAnsiTheme="majorEastAsia" w:eastAsiaTheme="majorEastAsia" w:cstheme="majorEastAsia"/>
          <w:sz w:val="24"/>
          <w:szCs w:val="28"/>
          <w:highlight w:val="none"/>
          <w:lang w:bidi="ar"/>
        </w:rPr>
        <w:t>）</w:t>
      </w:r>
    </w:p>
    <w:tbl>
      <w:tblPr>
        <w:tblStyle w:val="38"/>
        <w:tblW w:w="10350" w:type="dxa"/>
        <w:tblInd w:w="-27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460"/>
        <w:gridCol w:w="489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28" w:hRule="atLeast"/>
        </w:trPr>
        <w:tc>
          <w:tcPr>
            <w:tcW w:w="5460" w:type="dxa"/>
          </w:tcPr>
          <w:p>
            <w:pPr>
              <w:spacing w:line="360" w:lineRule="auto"/>
              <w:jc w:val="left"/>
              <w:rPr>
                <w:rFonts w:hint="eastAsia" w:asciiTheme="majorEastAsia" w:hAnsiTheme="majorEastAsia" w:eastAsiaTheme="majorEastAsia" w:cstheme="majorEastAsia"/>
                <w:sz w:val="24"/>
                <w:highlight w:val="none"/>
              </w:rPr>
            </w:pPr>
            <w:r>
              <w:rPr>
                <w:rFonts w:hint="eastAsia" w:asciiTheme="majorEastAsia" w:hAnsiTheme="majorEastAsia" w:eastAsiaTheme="majorEastAsia" w:cstheme="majorEastAsia"/>
                <w:sz w:val="24"/>
                <w:highlight w:val="none"/>
              </w:rPr>
              <w:t xml:space="preserve">甲方（公章）：甘肃省第二人民医院             </w:t>
            </w:r>
            <w:r>
              <w:rPr>
                <w:rFonts w:hint="eastAsia" w:asciiTheme="majorEastAsia" w:hAnsiTheme="majorEastAsia" w:eastAsiaTheme="majorEastAsia" w:cstheme="majorEastAsia"/>
                <w:sz w:val="24"/>
                <w:highlight w:val="none"/>
                <w:lang w:val="en-US" w:eastAsia="zh-CN"/>
              </w:rPr>
              <w:t>通讯</w:t>
            </w:r>
            <w:r>
              <w:rPr>
                <w:rFonts w:hint="eastAsia" w:asciiTheme="majorEastAsia" w:hAnsiTheme="majorEastAsia" w:eastAsiaTheme="majorEastAsia" w:cstheme="majorEastAsia"/>
                <w:sz w:val="24"/>
                <w:highlight w:val="none"/>
              </w:rPr>
              <w:t xml:space="preserve">地址：兰州市城关区和政西街1号 </w:t>
            </w:r>
          </w:p>
          <w:p>
            <w:pPr>
              <w:spacing w:line="360" w:lineRule="auto"/>
              <w:jc w:val="left"/>
              <w:rPr>
                <w:rFonts w:hint="eastAsia" w:asciiTheme="majorEastAsia" w:hAnsiTheme="majorEastAsia" w:eastAsiaTheme="majorEastAsia" w:cstheme="majorEastAsia"/>
                <w:sz w:val="24"/>
                <w:highlight w:val="none"/>
              </w:rPr>
            </w:pPr>
            <w:r>
              <w:rPr>
                <w:rFonts w:hint="eastAsia" w:asciiTheme="majorEastAsia" w:hAnsiTheme="majorEastAsia" w:eastAsiaTheme="majorEastAsia" w:cstheme="majorEastAsia"/>
                <w:sz w:val="24"/>
                <w:highlight w:val="none"/>
              </w:rPr>
              <w:t xml:space="preserve">电话:0931-4923487                          </w:t>
            </w:r>
            <w:r>
              <w:rPr>
                <w:rFonts w:hint="eastAsia" w:asciiTheme="majorEastAsia" w:hAnsiTheme="majorEastAsia" w:eastAsiaTheme="majorEastAsia" w:cstheme="majorEastAsia"/>
                <w:sz w:val="24"/>
                <w:highlight w:val="none"/>
                <w:lang w:val="en-US" w:eastAsia="zh-CN"/>
              </w:rPr>
              <w:t>通讯电子邮箱</w:t>
            </w:r>
            <w:r>
              <w:rPr>
                <w:rFonts w:hint="eastAsia" w:asciiTheme="majorEastAsia" w:hAnsiTheme="majorEastAsia" w:eastAsiaTheme="majorEastAsia" w:cstheme="majorEastAsia"/>
                <w:sz w:val="24"/>
                <w:highlight w:val="none"/>
              </w:rPr>
              <w:t>:730000</w:t>
            </w:r>
          </w:p>
        </w:tc>
        <w:tc>
          <w:tcPr>
            <w:tcW w:w="4890" w:type="dxa"/>
          </w:tcPr>
          <w:p>
            <w:pPr>
              <w:spacing w:line="360" w:lineRule="auto"/>
              <w:jc w:val="left"/>
              <w:rPr>
                <w:rFonts w:hint="eastAsia" w:asciiTheme="majorEastAsia" w:hAnsiTheme="majorEastAsia" w:eastAsiaTheme="majorEastAsia" w:cstheme="majorEastAsia"/>
                <w:sz w:val="24"/>
                <w:highlight w:val="none"/>
                <w:lang w:val="en-US" w:eastAsia="zh-CN"/>
              </w:rPr>
            </w:pPr>
            <w:r>
              <w:rPr>
                <w:rFonts w:hint="eastAsia" w:asciiTheme="majorEastAsia" w:hAnsiTheme="majorEastAsia" w:eastAsiaTheme="majorEastAsia" w:cstheme="majorEastAsia"/>
                <w:sz w:val="24"/>
                <w:highlight w:val="none"/>
              </w:rPr>
              <w:t>乙方（公章）：</w:t>
            </w:r>
          </w:p>
          <w:p>
            <w:pPr>
              <w:spacing w:line="360" w:lineRule="auto"/>
              <w:jc w:val="left"/>
              <w:rPr>
                <w:rFonts w:hint="eastAsia" w:asciiTheme="majorEastAsia" w:hAnsiTheme="majorEastAsia" w:eastAsiaTheme="majorEastAsia" w:cstheme="majorEastAsia"/>
                <w:sz w:val="24"/>
                <w:highlight w:val="none"/>
              </w:rPr>
            </w:pPr>
            <w:r>
              <w:rPr>
                <w:rFonts w:hint="eastAsia" w:asciiTheme="majorEastAsia" w:hAnsiTheme="majorEastAsia" w:eastAsiaTheme="majorEastAsia" w:cstheme="majorEastAsia"/>
                <w:sz w:val="24"/>
                <w:highlight w:val="none"/>
                <w:lang w:val="en-US" w:eastAsia="zh-CN"/>
              </w:rPr>
              <w:t>通讯</w:t>
            </w:r>
            <w:r>
              <w:rPr>
                <w:rFonts w:hint="eastAsia" w:asciiTheme="majorEastAsia" w:hAnsiTheme="majorEastAsia" w:eastAsiaTheme="majorEastAsia" w:cstheme="majorEastAsia"/>
                <w:sz w:val="24"/>
                <w:highlight w:val="none"/>
              </w:rPr>
              <w:t xml:space="preserve">地址：                                  电话:                     </w:t>
            </w:r>
          </w:p>
          <w:p>
            <w:pPr>
              <w:spacing w:line="360" w:lineRule="auto"/>
              <w:jc w:val="left"/>
              <w:rPr>
                <w:rFonts w:hint="eastAsia" w:asciiTheme="majorEastAsia" w:hAnsiTheme="majorEastAsia" w:eastAsiaTheme="majorEastAsia" w:cstheme="majorEastAsia"/>
                <w:sz w:val="24"/>
                <w:highlight w:val="none"/>
              </w:rPr>
            </w:pPr>
            <w:r>
              <w:rPr>
                <w:rFonts w:hint="eastAsia" w:asciiTheme="majorEastAsia" w:hAnsiTheme="majorEastAsia" w:eastAsiaTheme="majorEastAsia" w:cstheme="majorEastAsia"/>
                <w:sz w:val="24"/>
                <w:highlight w:val="none"/>
                <w:lang w:val="en-US" w:eastAsia="zh-CN"/>
              </w:rPr>
              <w:t>通讯电子邮箱</w:t>
            </w:r>
            <w:r>
              <w:rPr>
                <w:rFonts w:hint="eastAsia" w:asciiTheme="majorEastAsia" w:hAnsiTheme="majorEastAsia" w:eastAsiaTheme="majorEastAsia" w:cstheme="majorEastAsia"/>
                <w:sz w:val="24"/>
                <w:highlight w:val="none"/>
              </w:rPr>
              <w:t>:</w:t>
            </w:r>
            <w:r>
              <w:rPr>
                <w:rFonts w:hint="eastAsia" w:asciiTheme="majorEastAsia" w:hAnsiTheme="majorEastAsia" w:eastAsiaTheme="majorEastAsia" w:cstheme="majorEastAsia"/>
                <w:highlight w:val="non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90" w:hRule="atLeast"/>
        </w:trPr>
        <w:tc>
          <w:tcPr>
            <w:tcW w:w="5460" w:type="dxa"/>
          </w:tcPr>
          <w:p>
            <w:pPr>
              <w:widowControl/>
              <w:spacing w:line="360" w:lineRule="auto"/>
              <w:jc w:val="left"/>
              <w:rPr>
                <w:rFonts w:hint="eastAsia" w:asciiTheme="majorEastAsia" w:hAnsiTheme="majorEastAsia" w:eastAsiaTheme="majorEastAsia" w:cstheme="majorEastAsia"/>
                <w:color w:val="000000"/>
                <w:kern w:val="0"/>
                <w:sz w:val="24"/>
                <w:highlight w:val="none"/>
                <w:lang w:bidi="ar"/>
              </w:rPr>
            </w:pPr>
            <w:r>
              <w:rPr>
                <w:rFonts w:hint="eastAsia" w:asciiTheme="majorEastAsia" w:hAnsiTheme="majorEastAsia" w:eastAsiaTheme="majorEastAsia" w:cstheme="majorEastAsia"/>
                <w:color w:val="000000"/>
                <w:kern w:val="0"/>
                <w:sz w:val="24"/>
                <w:highlight w:val="none"/>
                <w:lang w:bidi="ar"/>
              </w:rPr>
              <w:t>甲方法定代表人</w:t>
            </w:r>
          </w:p>
          <w:p>
            <w:pPr>
              <w:widowControl/>
              <w:spacing w:line="360" w:lineRule="auto"/>
              <w:jc w:val="left"/>
              <w:rPr>
                <w:rFonts w:hint="eastAsia" w:asciiTheme="majorEastAsia" w:hAnsiTheme="majorEastAsia" w:eastAsiaTheme="majorEastAsia" w:cstheme="majorEastAsia"/>
                <w:sz w:val="24"/>
                <w:highlight w:val="none"/>
              </w:rPr>
            </w:pPr>
            <w:r>
              <w:rPr>
                <w:rFonts w:hint="eastAsia" w:asciiTheme="majorEastAsia" w:hAnsiTheme="majorEastAsia" w:eastAsiaTheme="majorEastAsia" w:cstheme="majorEastAsia"/>
                <w:color w:val="000000"/>
                <w:kern w:val="0"/>
                <w:sz w:val="24"/>
                <w:highlight w:val="none"/>
                <w:lang w:bidi="ar"/>
              </w:rPr>
              <w:t xml:space="preserve">或授权委托人： </w:t>
            </w:r>
          </w:p>
          <w:p>
            <w:pPr>
              <w:widowControl/>
              <w:spacing w:line="360" w:lineRule="auto"/>
              <w:ind w:firstLine="1920" w:firstLineChars="800"/>
              <w:jc w:val="left"/>
              <w:rPr>
                <w:rFonts w:hint="eastAsia" w:asciiTheme="majorEastAsia" w:hAnsiTheme="majorEastAsia" w:eastAsiaTheme="majorEastAsia" w:cstheme="majorEastAsia"/>
                <w:color w:val="000000"/>
                <w:kern w:val="0"/>
                <w:sz w:val="24"/>
                <w:highlight w:val="none"/>
                <w:lang w:bidi="ar"/>
              </w:rPr>
            </w:pPr>
          </w:p>
          <w:p>
            <w:pPr>
              <w:widowControl/>
              <w:spacing w:line="360" w:lineRule="auto"/>
              <w:ind w:firstLine="2400" w:firstLineChars="1000"/>
              <w:jc w:val="left"/>
              <w:rPr>
                <w:rFonts w:hint="eastAsia" w:asciiTheme="majorEastAsia" w:hAnsiTheme="majorEastAsia" w:eastAsiaTheme="majorEastAsia" w:cstheme="majorEastAsia"/>
                <w:sz w:val="24"/>
                <w:highlight w:val="none"/>
              </w:rPr>
            </w:pPr>
            <w:r>
              <w:rPr>
                <w:rFonts w:hint="eastAsia" w:asciiTheme="majorEastAsia" w:hAnsiTheme="majorEastAsia" w:eastAsiaTheme="majorEastAsia" w:cstheme="majorEastAsia"/>
                <w:color w:val="000000"/>
                <w:kern w:val="0"/>
                <w:sz w:val="24"/>
                <w:highlight w:val="none"/>
                <w:lang w:bidi="ar"/>
              </w:rPr>
              <w:t>签字日期:  年  月  日</w:t>
            </w:r>
          </w:p>
        </w:tc>
        <w:tc>
          <w:tcPr>
            <w:tcW w:w="4890" w:type="dxa"/>
          </w:tcPr>
          <w:p>
            <w:pPr>
              <w:widowControl/>
              <w:spacing w:line="360" w:lineRule="auto"/>
              <w:jc w:val="left"/>
              <w:rPr>
                <w:rFonts w:hint="eastAsia" w:asciiTheme="majorEastAsia" w:hAnsiTheme="majorEastAsia" w:eastAsiaTheme="majorEastAsia" w:cstheme="majorEastAsia"/>
                <w:color w:val="000000"/>
                <w:kern w:val="0"/>
                <w:sz w:val="24"/>
                <w:highlight w:val="none"/>
                <w:lang w:bidi="ar"/>
              </w:rPr>
            </w:pPr>
            <w:r>
              <w:rPr>
                <w:rFonts w:hint="eastAsia" w:asciiTheme="majorEastAsia" w:hAnsiTheme="majorEastAsia" w:eastAsiaTheme="majorEastAsia" w:cstheme="majorEastAsia"/>
                <w:color w:val="000000"/>
                <w:kern w:val="0"/>
                <w:sz w:val="24"/>
                <w:highlight w:val="none"/>
                <w:lang w:bidi="ar"/>
              </w:rPr>
              <w:t>乙方法定代表人或</w:t>
            </w:r>
          </w:p>
          <w:p>
            <w:pPr>
              <w:widowControl/>
              <w:spacing w:line="360" w:lineRule="auto"/>
              <w:jc w:val="left"/>
              <w:rPr>
                <w:rFonts w:hint="eastAsia" w:asciiTheme="majorEastAsia" w:hAnsiTheme="majorEastAsia" w:eastAsiaTheme="majorEastAsia" w:cstheme="majorEastAsia"/>
                <w:sz w:val="24"/>
                <w:highlight w:val="none"/>
              </w:rPr>
            </w:pPr>
            <w:r>
              <w:rPr>
                <w:rFonts w:hint="eastAsia" w:asciiTheme="majorEastAsia" w:hAnsiTheme="majorEastAsia" w:eastAsiaTheme="majorEastAsia" w:cstheme="majorEastAsia"/>
                <w:color w:val="000000"/>
                <w:kern w:val="0"/>
                <w:sz w:val="24"/>
                <w:highlight w:val="none"/>
                <w:lang w:bidi="ar"/>
              </w:rPr>
              <w:t xml:space="preserve">授权委托人： </w:t>
            </w:r>
          </w:p>
          <w:p>
            <w:pPr>
              <w:widowControl/>
              <w:spacing w:line="360" w:lineRule="auto"/>
              <w:ind w:firstLine="1200" w:firstLineChars="500"/>
              <w:jc w:val="left"/>
              <w:rPr>
                <w:rFonts w:hint="eastAsia" w:asciiTheme="majorEastAsia" w:hAnsiTheme="majorEastAsia" w:eastAsiaTheme="majorEastAsia" w:cstheme="majorEastAsia"/>
                <w:color w:val="000000"/>
                <w:kern w:val="0"/>
                <w:sz w:val="24"/>
                <w:highlight w:val="none"/>
                <w:lang w:bidi="ar"/>
              </w:rPr>
            </w:pPr>
          </w:p>
          <w:p>
            <w:pPr>
              <w:widowControl/>
              <w:spacing w:line="360" w:lineRule="auto"/>
              <w:ind w:firstLine="1200" w:firstLineChars="500"/>
              <w:jc w:val="left"/>
              <w:rPr>
                <w:rFonts w:hint="eastAsia" w:asciiTheme="majorEastAsia" w:hAnsiTheme="majorEastAsia" w:eastAsiaTheme="majorEastAsia" w:cstheme="majorEastAsia"/>
                <w:color w:val="000000"/>
                <w:kern w:val="0"/>
                <w:sz w:val="24"/>
                <w:highlight w:val="none"/>
                <w:lang w:bidi="ar"/>
              </w:rPr>
            </w:pPr>
          </w:p>
          <w:p>
            <w:pPr>
              <w:widowControl/>
              <w:spacing w:line="360" w:lineRule="auto"/>
              <w:ind w:firstLine="1920" w:firstLineChars="800"/>
              <w:jc w:val="left"/>
              <w:rPr>
                <w:rFonts w:hint="eastAsia" w:asciiTheme="majorEastAsia" w:hAnsiTheme="majorEastAsia" w:eastAsiaTheme="majorEastAsia" w:cstheme="majorEastAsia"/>
                <w:sz w:val="24"/>
                <w:highlight w:val="none"/>
              </w:rPr>
            </w:pPr>
            <w:r>
              <w:rPr>
                <w:rFonts w:hint="eastAsia" w:asciiTheme="majorEastAsia" w:hAnsiTheme="majorEastAsia" w:eastAsiaTheme="majorEastAsia" w:cstheme="majorEastAsia"/>
                <w:color w:val="000000"/>
                <w:kern w:val="0"/>
                <w:sz w:val="24"/>
                <w:highlight w:val="none"/>
                <w:lang w:bidi="ar"/>
              </w:rPr>
              <w:t>签字日期: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94" w:hRule="atLeast"/>
        </w:trPr>
        <w:tc>
          <w:tcPr>
            <w:tcW w:w="5460" w:type="dxa"/>
          </w:tcPr>
          <w:p>
            <w:pPr>
              <w:widowControl/>
              <w:spacing w:line="360" w:lineRule="auto"/>
              <w:jc w:val="left"/>
              <w:rPr>
                <w:rFonts w:hint="eastAsia" w:asciiTheme="majorEastAsia" w:hAnsiTheme="majorEastAsia" w:eastAsiaTheme="majorEastAsia" w:cstheme="majorEastAsia"/>
                <w:sz w:val="24"/>
                <w:highlight w:val="none"/>
              </w:rPr>
            </w:pPr>
            <w:r>
              <w:rPr>
                <w:rFonts w:hint="eastAsia" w:asciiTheme="majorEastAsia" w:hAnsiTheme="majorEastAsia" w:eastAsiaTheme="majorEastAsia" w:cstheme="majorEastAsia"/>
                <w:color w:val="000000"/>
                <w:kern w:val="0"/>
                <w:sz w:val="24"/>
                <w:highlight w:val="none"/>
                <w:lang w:bidi="ar"/>
              </w:rPr>
              <w:t xml:space="preserve">委托授权人： </w:t>
            </w:r>
          </w:p>
          <w:p>
            <w:pPr>
              <w:widowControl/>
              <w:spacing w:line="360" w:lineRule="auto"/>
              <w:ind w:firstLine="720" w:firstLineChars="300"/>
              <w:jc w:val="left"/>
              <w:rPr>
                <w:rFonts w:hint="eastAsia" w:asciiTheme="majorEastAsia" w:hAnsiTheme="majorEastAsia" w:eastAsiaTheme="majorEastAsia" w:cstheme="majorEastAsia"/>
                <w:color w:val="000000"/>
                <w:kern w:val="0"/>
                <w:sz w:val="24"/>
                <w:highlight w:val="none"/>
                <w:lang w:bidi="ar"/>
              </w:rPr>
            </w:pPr>
          </w:p>
          <w:p>
            <w:pPr>
              <w:pStyle w:val="236"/>
              <w:ind w:firstLine="1040" w:firstLineChars="400"/>
              <w:rPr>
                <w:rFonts w:hint="eastAsia" w:asciiTheme="majorEastAsia" w:hAnsiTheme="majorEastAsia" w:eastAsiaTheme="majorEastAsia" w:cstheme="majorEastAsia"/>
                <w:color w:val="000000"/>
                <w:kern w:val="0"/>
                <w:sz w:val="24"/>
                <w:highlight w:val="none"/>
                <w:lang w:bidi="ar"/>
              </w:rPr>
            </w:pPr>
          </w:p>
          <w:p>
            <w:pPr>
              <w:pStyle w:val="236"/>
              <w:ind w:firstLine="1040" w:firstLineChars="400"/>
              <w:rPr>
                <w:rFonts w:hint="eastAsia" w:asciiTheme="majorEastAsia" w:hAnsiTheme="majorEastAsia" w:eastAsiaTheme="majorEastAsia" w:cstheme="majorEastAsia"/>
                <w:color w:val="000000"/>
                <w:kern w:val="0"/>
                <w:sz w:val="24"/>
                <w:highlight w:val="none"/>
                <w:lang w:bidi="ar"/>
              </w:rPr>
            </w:pPr>
          </w:p>
          <w:p>
            <w:pPr>
              <w:pStyle w:val="236"/>
              <w:ind w:firstLine="2080" w:firstLineChars="800"/>
              <w:rPr>
                <w:rFonts w:hint="eastAsia" w:asciiTheme="majorEastAsia" w:hAnsiTheme="majorEastAsia" w:eastAsiaTheme="majorEastAsia" w:cstheme="majorEastAsia"/>
                <w:highlight w:val="none"/>
              </w:rPr>
            </w:pPr>
            <w:r>
              <w:rPr>
                <w:rFonts w:hint="eastAsia" w:asciiTheme="majorEastAsia" w:hAnsiTheme="majorEastAsia" w:eastAsiaTheme="majorEastAsia" w:cstheme="majorEastAsia"/>
                <w:color w:val="000000"/>
                <w:kern w:val="0"/>
                <w:sz w:val="24"/>
                <w:highlight w:val="none"/>
                <w:lang w:bidi="ar"/>
              </w:rPr>
              <w:t>签字日期：  年  月  日</w:t>
            </w:r>
          </w:p>
        </w:tc>
        <w:tc>
          <w:tcPr>
            <w:tcW w:w="4890" w:type="dxa"/>
          </w:tcPr>
          <w:p>
            <w:pPr>
              <w:widowControl/>
              <w:spacing w:line="360" w:lineRule="auto"/>
              <w:jc w:val="left"/>
              <w:rPr>
                <w:rFonts w:hint="eastAsia" w:asciiTheme="majorEastAsia" w:hAnsiTheme="majorEastAsia" w:eastAsiaTheme="majorEastAsia" w:cstheme="majorEastAsia"/>
                <w:sz w:val="24"/>
                <w:highlight w:val="none"/>
              </w:rPr>
            </w:pPr>
            <w:r>
              <w:rPr>
                <w:rFonts w:hint="eastAsia" w:asciiTheme="majorEastAsia" w:hAnsiTheme="majorEastAsia" w:eastAsiaTheme="majorEastAsia" w:cstheme="majorEastAsia"/>
                <w:color w:val="000000"/>
                <w:kern w:val="0"/>
                <w:sz w:val="24"/>
                <w:highlight w:val="none"/>
                <w:lang w:bidi="ar"/>
              </w:rPr>
              <w:t xml:space="preserve">委托授权人： </w:t>
            </w:r>
          </w:p>
          <w:p>
            <w:pPr>
              <w:widowControl/>
              <w:spacing w:line="360" w:lineRule="auto"/>
              <w:ind w:firstLine="720" w:firstLineChars="300"/>
              <w:jc w:val="left"/>
              <w:rPr>
                <w:rFonts w:hint="eastAsia" w:asciiTheme="majorEastAsia" w:hAnsiTheme="majorEastAsia" w:eastAsiaTheme="majorEastAsia" w:cstheme="majorEastAsia"/>
                <w:color w:val="000000"/>
                <w:kern w:val="0"/>
                <w:sz w:val="24"/>
                <w:highlight w:val="none"/>
                <w:lang w:bidi="ar"/>
              </w:rPr>
            </w:pPr>
          </w:p>
          <w:p>
            <w:pPr>
              <w:widowControl/>
              <w:spacing w:line="360" w:lineRule="auto"/>
              <w:ind w:firstLine="720" w:firstLineChars="300"/>
              <w:jc w:val="left"/>
              <w:rPr>
                <w:rFonts w:hint="eastAsia" w:asciiTheme="majorEastAsia" w:hAnsiTheme="majorEastAsia" w:eastAsiaTheme="majorEastAsia" w:cstheme="majorEastAsia"/>
                <w:color w:val="000000"/>
                <w:kern w:val="0"/>
                <w:sz w:val="24"/>
                <w:highlight w:val="none"/>
                <w:lang w:bidi="ar"/>
              </w:rPr>
            </w:pPr>
          </w:p>
          <w:p>
            <w:pPr>
              <w:widowControl/>
              <w:spacing w:line="360" w:lineRule="auto"/>
              <w:ind w:firstLine="1920" w:firstLineChars="800"/>
              <w:jc w:val="left"/>
              <w:rPr>
                <w:rFonts w:hint="eastAsia" w:asciiTheme="majorEastAsia" w:hAnsiTheme="majorEastAsia" w:eastAsiaTheme="majorEastAsia" w:cstheme="majorEastAsia"/>
                <w:sz w:val="24"/>
                <w:highlight w:val="none"/>
              </w:rPr>
            </w:pPr>
            <w:r>
              <w:rPr>
                <w:rFonts w:hint="eastAsia" w:asciiTheme="majorEastAsia" w:hAnsiTheme="majorEastAsia" w:eastAsiaTheme="majorEastAsia" w:cstheme="majorEastAsia"/>
                <w:color w:val="000000"/>
                <w:kern w:val="0"/>
                <w:sz w:val="24"/>
                <w:highlight w:val="none"/>
                <w:lang w:bidi="ar"/>
              </w:rPr>
              <w:t>签字日期：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48" w:hRule="atLeast"/>
        </w:trPr>
        <w:tc>
          <w:tcPr>
            <w:tcW w:w="5460" w:type="dxa"/>
          </w:tcPr>
          <w:p>
            <w:pPr>
              <w:widowControl/>
              <w:spacing w:line="360" w:lineRule="auto"/>
              <w:jc w:val="left"/>
              <w:rPr>
                <w:rFonts w:hint="eastAsia" w:asciiTheme="majorEastAsia" w:hAnsiTheme="majorEastAsia" w:eastAsiaTheme="majorEastAsia" w:cstheme="majorEastAsia"/>
                <w:sz w:val="24"/>
                <w:szCs w:val="32"/>
                <w:highlight w:val="none"/>
              </w:rPr>
            </w:pPr>
            <w:r>
              <w:rPr>
                <w:rFonts w:hint="eastAsia" w:asciiTheme="majorEastAsia" w:hAnsiTheme="majorEastAsia" w:eastAsiaTheme="majorEastAsia" w:cstheme="majorEastAsia"/>
                <w:sz w:val="24"/>
                <w:szCs w:val="32"/>
                <w:highlight w:val="none"/>
              </w:rPr>
              <w:t>经办人：</w:t>
            </w:r>
          </w:p>
          <w:p>
            <w:pPr>
              <w:pStyle w:val="236"/>
              <w:ind w:firstLine="1360" w:firstLineChars="400"/>
              <w:rPr>
                <w:rFonts w:hint="eastAsia" w:asciiTheme="majorEastAsia" w:hAnsiTheme="majorEastAsia" w:eastAsiaTheme="majorEastAsia" w:cstheme="majorEastAsia"/>
                <w:color w:val="000000"/>
                <w:sz w:val="32"/>
                <w:szCs w:val="32"/>
                <w:highlight w:val="none"/>
                <w:lang w:bidi="ar"/>
              </w:rPr>
            </w:pPr>
          </w:p>
          <w:p>
            <w:pPr>
              <w:widowControl/>
              <w:spacing w:line="360" w:lineRule="auto"/>
              <w:jc w:val="left"/>
              <w:rPr>
                <w:rFonts w:hint="eastAsia" w:asciiTheme="majorEastAsia" w:hAnsiTheme="majorEastAsia" w:eastAsiaTheme="majorEastAsia" w:cstheme="majorEastAsia"/>
                <w:color w:val="000000"/>
                <w:sz w:val="24"/>
                <w:szCs w:val="32"/>
                <w:highlight w:val="none"/>
                <w:lang w:bidi="ar"/>
              </w:rPr>
            </w:pPr>
          </w:p>
          <w:p>
            <w:pPr>
              <w:widowControl/>
              <w:spacing w:line="360" w:lineRule="auto"/>
              <w:ind w:firstLine="1920" w:firstLineChars="800"/>
              <w:jc w:val="left"/>
              <w:rPr>
                <w:rFonts w:hint="eastAsia" w:asciiTheme="majorEastAsia" w:hAnsiTheme="majorEastAsia" w:eastAsiaTheme="majorEastAsia" w:cstheme="majorEastAsia"/>
                <w:color w:val="000000"/>
                <w:kern w:val="0"/>
                <w:sz w:val="32"/>
                <w:szCs w:val="32"/>
                <w:highlight w:val="none"/>
                <w:lang w:bidi="ar"/>
              </w:rPr>
            </w:pPr>
            <w:r>
              <w:rPr>
                <w:rFonts w:hint="eastAsia" w:asciiTheme="majorEastAsia" w:hAnsiTheme="majorEastAsia" w:eastAsiaTheme="majorEastAsia" w:cstheme="majorEastAsia"/>
                <w:color w:val="000000"/>
                <w:sz w:val="24"/>
                <w:szCs w:val="32"/>
                <w:highlight w:val="none"/>
                <w:lang w:bidi="ar"/>
              </w:rPr>
              <w:t>签字日期：</w:t>
            </w:r>
            <w:r>
              <w:rPr>
                <w:rFonts w:hint="eastAsia" w:asciiTheme="majorEastAsia" w:hAnsiTheme="majorEastAsia" w:eastAsiaTheme="majorEastAsia" w:cstheme="majorEastAsia"/>
                <w:color w:val="000000"/>
                <w:sz w:val="24"/>
                <w:szCs w:val="32"/>
                <w:highlight w:val="none"/>
                <w:lang w:val="en-US" w:eastAsia="zh-CN" w:bidi="ar"/>
              </w:rPr>
              <w:t xml:space="preserve"> </w:t>
            </w:r>
            <w:r>
              <w:rPr>
                <w:rFonts w:hint="eastAsia" w:asciiTheme="majorEastAsia" w:hAnsiTheme="majorEastAsia" w:eastAsiaTheme="majorEastAsia" w:cstheme="majorEastAsia"/>
                <w:color w:val="000000"/>
                <w:sz w:val="24"/>
                <w:szCs w:val="32"/>
                <w:highlight w:val="none"/>
                <w:lang w:bidi="ar"/>
              </w:rPr>
              <w:t xml:space="preserve">  年  </w:t>
            </w:r>
            <w:r>
              <w:rPr>
                <w:rFonts w:hint="eastAsia" w:asciiTheme="majorEastAsia" w:hAnsiTheme="majorEastAsia" w:eastAsiaTheme="majorEastAsia" w:cstheme="majorEastAsia"/>
                <w:color w:val="000000"/>
                <w:sz w:val="24"/>
                <w:szCs w:val="32"/>
                <w:highlight w:val="none"/>
                <w:lang w:val="en-US" w:eastAsia="zh-CN" w:bidi="ar"/>
              </w:rPr>
              <w:t xml:space="preserve"> </w:t>
            </w:r>
            <w:r>
              <w:rPr>
                <w:rFonts w:hint="eastAsia" w:asciiTheme="majorEastAsia" w:hAnsiTheme="majorEastAsia" w:eastAsiaTheme="majorEastAsia" w:cstheme="majorEastAsia"/>
                <w:color w:val="000000"/>
                <w:sz w:val="24"/>
                <w:szCs w:val="32"/>
                <w:highlight w:val="none"/>
                <w:lang w:bidi="ar"/>
              </w:rPr>
              <w:t xml:space="preserve">月 </w:t>
            </w:r>
            <w:r>
              <w:rPr>
                <w:rFonts w:hint="eastAsia" w:asciiTheme="majorEastAsia" w:hAnsiTheme="majorEastAsia" w:eastAsiaTheme="majorEastAsia" w:cstheme="majorEastAsia"/>
                <w:color w:val="000000"/>
                <w:sz w:val="24"/>
                <w:szCs w:val="32"/>
                <w:highlight w:val="none"/>
                <w:lang w:val="en-US" w:eastAsia="zh-CN" w:bidi="ar"/>
              </w:rPr>
              <w:t xml:space="preserve"> </w:t>
            </w:r>
            <w:r>
              <w:rPr>
                <w:rFonts w:hint="eastAsia" w:asciiTheme="majorEastAsia" w:hAnsiTheme="majorEastAsia" w:eastAsiaTheme="majorEastAsia" w:cstheme="majorEastAsia"/>
                <w:color w:val="000000"/>
                <w:sz w:val="24"/>
                <w:szCs w:val="32"/>
                <w:highlight w:val="none"/>
                <w:lang w:bidi="ar"/>
              </w:rPr>
              <w:t xml:space="preserve"> 日</w:t>
            </w:r>
          </w:p>
        </w:tc>
        <w:tc>
          <w:tcPr>
            <w:tcW w:w="4890" w:type="dxa"/>
          </w:tcPr>
          <w:p>
            <w:pPr>
              <w:widowControl/>
              <w:spacing w:line="360" w:lineRule="auto"/>
              <w:jc w:val="left"/>
              <w:rPr>
                <w:rFonts w:hint="eastAsia" w:asciiTheme="majorEastAsia" w:hAnsiTheme="majorEastAsia" w:eastAsiaTheme="majorEastAsia" w:cstheme="majorEastAsia"/>
                <w:sz w:val="24"/>
                <w:szCs w:val="32"/>
                <w:highlight w:val="none"/>
              </w:rPr>
            </w:pPr>
            <w:r>
              <w:rPr>
                <w:rFonts w:hint="eastAsia" w:asciiTheme="majorEastAsia" w:hAnsiTheme="majorEastAsia" w:eastAsiaTheme="majorEastAsia" w:cstheme="majorEastAsia"/>
                <w:sz w:val="24"/>
                <w:szCs w:val="32"/>
                <w:highlight w:val="none"/>
              </w:rPr>
              <w:t>经办人：</w:t>
            </w:r>
          </w:p>
          <w:p>
            <w:pPr>
              <w:pStyle w:val="236"/>
              <w:ind w:firstLine="1360" w:firstLineChars="400"/>
              <w:rPr>
                <w:rFonts w:hint="eastAsia" w:asciiTheme="majorEastAsia" w:hAnsiTheme="majorEastAsia" w:eastAsiaTheme="majorEastAsia" w:cstheme="majorEastAsia"/>
                <w:color w:val="000000"/>
                <w:sz w:val="32"/>
                <w:szCs w:val="32"/>
                <w:highlight w:val="none"/>
                <w:lang w:bidi="ar"/>
              </w:rPr>
            </w:pPr>
          </w:p>
          <w:p>
            <w:pPr>
              <w:widowControl/>
              <w:spacing w:line="360" w:lineRule="auto"/>
              <w:ind w:firstLine="480" w:firstLineChars="200"/>
              <w:jc w:val="left"/>
              <w:rPr>
                <w:rFonts w:hint="eastAsia" w:asciiTheme="majorEastAsia" w:hAnsiTheme="majorEastAsia" w:eastAsiaTheme="majorEastAsia" w:cstheme="majorEastAsia"/>
                <w:color w:val="000000"/>
                <w:sz w:val="24"/>
                <w:szCs w:val="32"/>
                <w:highlight w:val="none"/>
                <w:lang w:bidi="ar"/>
              </w:rPr>
            </w:pPr>
          </w:p>
          <w:p>
            <w:pPr>
              <w:widowControl/>
              <w:spacing w:line="360" w:lineRule="auto"/>
              <w:ind w:firstLine="1680" w:firstLineChars="700"/>
              <w:jc w:val="left"/>
              <w:rPr>
                <w:rFonts w:hint="eastAsia" w:asciiTheme="majorEastAsia" w:hAnsiTheme="majorEastAsia" w:eastAsiaTheme="majorEastAsia" w:cstheme="majorEastAsia"/>
                <w:color w:val="000000"/>
                <w:kern w:val="0"/>
                <w:sz w:val="32"/>
                <w:szCs w:val="32"/>
                <w:highlight w:val="none"/>
                <w:lang w:bidi="ar"/>
              </w:rPr>
            </w:pPr>
            <w:r>
              <w:rPr>
                <w:rFonts w:hint="eastAsia" w:asciiTheme="majorEastAsia" w:hAnsiTheme="majorEastAsia" w:eastAsiaTheme="majorEastAsia" w:cstheme="majorEastAsia"/>
                <w:color w:val="000000"/>
                <w:sz w:val="24"/>
                <w:szCs w:val="32"/>
                <w:highlight w:val="none"/>
                <w:lang w:bidi="ar"/>
              </w:rPr>
              <w:t>签字日期：  年</w:t>
            </w:r>
            <w:r>
              <w:rPr>
                <w:rFonts w:hint="eastAsia" w:asciiTheme="majorEastAsia" w:hAnsiTheme="majorEastAsia" w:eastAsiaTheme="majorEastAsia" w:cstheme="majorEastAsia"/>
                <w:color w:val="000000"/>
                <w:sz w:val="24"/>
                <w:szCs w:val="32"/>
                <w:highlight w:val="none"/>
                <w:lang w:val="en-US" w:eastAsia="zh-CN" w:bidi="ar"/>
              </w:rPr>
              <w:t xml:space="preserve">  </w:t>
            </w:r>
            <w:r>
              <w:rPr>
                <w:rFonts w:hint="eastAsia" w:asciiTheme="majorEastAsia" w:hAnsiTheme="majorEastAsia" w:eastAsiaTheme="majorEastAsia" w:cstheme="majorEastAsia"/>
                <w:color w:val="000000"/>
                <w:sz w:val="24"/>
                <w:szCs w:val="32"/>
                <w:highlight w:val="none"/>
                <w:lang w:bidi="ar"/>
              </w:rPr>
              <w:t xml:space="preserve">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48" w:hRule="atLeast"/>
        </w:trPr>
        <w:tc>
          <w:tcPr>
            <w:tcW w:w="5460" w:type="dxa"/>
          </w:tcPr>
          <w:p>
            <w:pPr>
              <w:widowControl/>
              <w:spacing w:line="360" w:lineRule="auto"/>
              <w:jc w:val="left"/>
              <w:rPr>
                <w:rFonts w:hint="eastAsia" w:asciiTheme="majorEastAsia" w:hAnsiTheme="majorEastAsia" w:eastAsiaTheme="majorEastAsia" w:cstheme="majorEastAsia"/>
                <w:color w:val="000000"/>
                <w:kern w:val="0"/>
                <w:sz w:val="24"/>
                <w:highlight w:val="none"/>
                <w:lang w:bidi="ar"/>
              </w:rPr>
            </w:pPr>
          </w:p>
          <w:p>
            <w:pPr>
              <w:widowControl/>
              <w:spacing w:line="360" w:lineRule="auto"/>
              <w:jc w:val="left"/>
              <w:rPr>
                <w:rFonts w:hint="eastAsia" w:asciiTheme="majorEastAsia" w:hAnsiTheme="majorEastAsia" w:eastAsiaTheme="majorEastAsia" w:cstheme="majorEastAsia"/>
                <w:sz w:val="24"/>
                <w:highlight w:val="none"/>
              </w:rPr>
            </w:pPr>
            <w:r>
              <w:rPr>
                <w:rFonts w:hint="eastAsia" w:asciiTheme="majorEastAsia" w:hAnsiTheme="majorEastAsia" w:eastAsiaTheme="majorEastAsia" w:cstheme="majorEastAsia"/>
                <w:color w:val="000000"/>
                <w:kern w:val="0"/>
                <w:sz w:val="24"/>
                <w:highlight w:val="none"/>
                <w:lang w:bidi="ar"/>
              </w:rPr>
              <w:t xml:space="preserve">开户行： </w:t>
            </w:r>
          </w:p>
          <w:p>
            <w:pPr>
              <w:widowControl/>
              <w:spacing w:line="360" w:lineRule="auto"/>
              <w:jc w:val="left"/>
              <w:rPr>
                <w:rFonts w:hint="eastAsia" w:asciiTheme="majorEastAsia" w:hAnsiTheme="majorEastAsia" w:eastAsiaTheme="majorEastAsia" w:cstheme="majorEastAsia"/>
                <w:sz w:val="24"/>
                <w:highlight w:val="none"/>
              </w:rPr>
            </w:pPr>
            <w:r>
              <w:rPr>
                <w:rFonts w:hint="eastAsia" w:asciiTheme="majorEastAsia" w:hAnsiTheme="majorEastAsia" w:eastAsiaTheme="majorEastAsia" w:cstheme="majorEastAsia"/>
                <w:color w:val="000000"/>
                <w:kern w:val="0"/>
                <w:sz w:val="24"/>
                <w:highlight w:val="none"/>
                <w:lang w:bidi="ar"/>
              </w:rPr>
              <w:t>账号：</w:t>
            </w:r>
          </w:p>
        </w:tc>
        <w:tc>
          <w:tcPr>
            <w:tcW w:w="4890" w:type="dxa"/>
          </w:tcPr>
          <w:p>
            <w:pPr>
              <w:widowControl/>
              <w:spacing w:line="360" w:lineRule="auto"/>
              <w:ind w:firstLine="240" w:firstLineChars="100"/>
              <w:jc w:val="left"/>
              <w:rPr>
                <w:rFonts w:hint="eastAsia" w:asciiTheme="majorEastAsia" w:hAnsiTheme="majorEastAsia" w:eastAsiaTheme="majorEastAsia" w:cstheme="majorEastAsia"/>
                <w:color w:val="000000"/>
                <w:kern w:val="0"/>
                <w:sz w:val="24"/>
                <w:highlight w:val="none"/>
                <w:lang w:bidi="ar"/>
              </w:rPr>
            </w:pPr>
          </w:p>
          <w:p>
            <w:pPr>
              <w:widowControl/>
              <w:spacing w:line="360" w:lineRule="auto"/>
              <w:ind w:firstLine="240" w:firstLineChars="100"/>
              <w:jc w:val="left"/>
              <w:rPr>
                <w:rFonts w:hint="eastAsia" w:asciiTheme="majorEastAsia" w:hAnsiTheme="majorEastAsia" w:eastAsiaTheme="majorEastAsia" w:cstheme="majorEastAsia"/>
                <w:sz w:val="24"/>
                <w:highlight w:val="none"/>
              </w:rPr>
            </w:pPr>
            <w:r>
              <w:rPr>
                <w:rFonts w:hint="eastAsia" w:asciiTheme="majorEastAsia" w:hAnsiTheme="majorEastAsia" w:eastAsiaTheme="majorEastAsia" w:cstheme="majorEastAsia"/>
                <w:color w:val="000000"/>
                <w:kern w:val="0"/>
                <w:sz w:val="24"/>
                <w:highlight w:val="none"/>
                <w:lang w:bidi="ar"/>
              </w:rPr>
              <w:t>开户行：</w:t>
            </w:r>
          </w:p>
          <w:p>
            <w:pPr>
              <w:widowControl/>
              <w:spacing w:line="360" w:lineRule="auto"/>
              <w:ind w:firstLine="480" w:firstLineChars="200"/>
              <w:jc w:val="left"/>
              <w:rPr>
                <w:rFonts w:hint="eastAsia" w:asciiTheme="majorEastAsia" w:hAnsiTheme="majorEastAsia" w:eastAsiaTheme="majorEastAsia" w:cstheme="majorEastAsia"/>
                <w:sz w:val="24"/>
                <w:highlight w:val="none"/>
              </w:rPr>
            </w:pPr>
            <w:r>
              <w:rPr>
                <w:rFonts w:hint="eastAsia" w:asciiTheme="majorEastAsia" w:hAnsiTheme="majorEastAsia" w:eastAsiaTheme="majorEastAsia" w:cstheme="majorEastAsia"/>
                <w:color w:val="000000"/>
                <w:kern w:val="0"/>
                <w:sz w:val="24"/>
                <w:highlight w:val="none"/>
                <w:lang w:bidi="ar"/>
              </w:rPr>
              <w:t>账号：</w:t>
            </w:r>
          </w:p>
        </w:tc>
      </w:tr>
    </w:tbl>
    <w:p>
      <w:pPr>
        <w:pStyle w:val="5"/>
        <w:ind w:left="0" w:leftChars="0" w:firstLine="0" w:firstLineChars="0"/>
        <w:rPr>
          <w:highlight w:val="none"/>
        </w:rPr>
      </w:pPr>
    </w:p>
    <w:sectPr>
      <w:headerReference r:id="rId25" w:type="first"/>
      <w:headerReference r:id="rId24" w:type="default"/>
      <w:footerReference r:id="rId26" w:type="default"/>
      <w:pgSz w:w="11905" w:h="16838"/>
      <w:pgMar w:top="1077" w:right="1134" w:bottom="1077" w:left="1417" w:header="850" w:footer="992" w:gutter="0"/>
      <w:pgNumType w:fmt="decimal"/>
      <w:cols w:space="0" w:num="1"/>
      <w:docGrid w:linePitch="32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Verdana">
    <w:panose1 w:val="020B0604030504040204"/>
    <w:charset w:val="00"/>
    <w:family w:val="swiss"/>
    <w:pitch w:val="default"/>
    <w:sig w:usb0="A00006FF" w:usb1="4000205B" w:usb2="00000010" w:usb3="00000000" w:csb0="2000019F" w:csb1="00000000"/>
  </w:font>
  <w:font w:name="微软雅黑">
    <w:panose1 w:val="020B0503020204020204"/>
    <w:charset w:val="86"/>
    <w:family w:val="swiss"/>
    <w:pitch w:val="default"/>
    <w:sig w:usb0="80000287" w:usb1="2ACF3C50" w:usb2="00000016" w:usb3="00000000" w:csb0="0004001F" w:csb1="00000000"/>
  </w:font>
  <w:font w:name="New York">
    <w:altName w:val="Segoe Print"/>
    <w:panose1 w:val="02040503060506020304"/>
    <w:charset w:val="00"/>
    <w:family w:val="roman"/>
    <w:pitch w:val="default"/>
    <w:sig w:usb0="00000000" w:usb1="00000000" w:usb2="00000000" w:usb3="00000000" w:csb0="00000001" w:csb1="00000000"/>
  </w:font>
  <w:font w:name="楷体_GB2312">
    <w:altName w:val="楷体"/>
    <w:panose1 w:val="00000000000000000000"/>
    <w:charset w:val="86"/>
    <w:family w:val="modern"/>
    <w:pitch w:val="default"/>
    <w:sig w:usb0="00000000" w:usb1="00000000" w:usb2="00000010" w:usb3="00000000" w:csb0="00040000" w:csb1="00000000"/>
  </w:font>
  <w:font w:name="lucida grande">
    <w:altName w:val="Segoe Print"/>
    <w:panose1 w:val="00000000000000000000"/>
    <w:charset w:val="00"/>
    <w:family w:val="auto"/>
    <w:pitch w:val="default"/>
    <w:sig w:usb0="00000000" w:usb1="00000000" w:usb2="00000000" w:usb3="00000000" w:csb0="00000000" w:csb1="00000000"/>
  </w:font>
  <w:font w:name="TimesNewRomanPSMT">
    <w:altName w:val="Times New Roman"/>
    <w:panose1 w:val="00000000000000000000"/>
    <w:charset w:val="00"/>
    <w:family w:val="auto"/>
    <w:pitch w:val="default"/>
    <w:sig w:usb0="00000000" w:usb1="00000000" w:usb2="00000000" w:usb3="00000000" w:csb0="00000000" w:csb1="00000000"/>
  </w:font>
  <w:font w:name="华文楷体">
    <w:panose1 w:val="02010600040101010101"/>
    <w:charset w:val="86"/>
    <w:family w:val="auto"/>
    <w:pitch w:val="default"/>
    <w:sig w:usb0="00000287" w:usb1="080F0000" w:usb2="00000000" w:usb3="00000000" w:csb0="0004009F" w:csb1="DFD70000"/>
  </w:font>
  <w:font w:name="仿宋">
    <w:panose1 w:val="02010609060101010101"/>
    <w:charset w:val="86"/>
    <w:family w:val="auto"/>
    <w:pitch w:val="default"/>
    <w:sig w:usb0="800002BF" w:usb1="38CF7CFA" w:usb2="00000016" w:usb3="00000000" w:csb0="00040001" w:csb1="00000000"/>
  </w:font>
  <w:font w:name="Segoe Print">
    <w:panose1 w:val="02000600000000000000"/>
    <w:charset w:val="00"/>
    <w:family w:val="auto"/>
    <w:pitch w:val="default"/>
    <w:sig w:usb0="0000028F" w:usb1="00000000" w:usb2="00000000" w:usb3="00000000" w:csb0="2000009F" w:csb1="4701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6"/>
    </w:pPr>
    <w:r>
      <w:rPr>
        <w:sz w:val="18"/>
      </w:rPr>
      <w:pict>
        <v:shape id="_x0000_s3083" o:spid="_x0000_s3083" o:spt="202" type="#_x0000_t202" style="position:absolute;left:0pt;margin-top:0pt;height:144pt;width:144pt;mso-position-horizontal:center;mso-position-horizontal-relative:margin;mso-wrap-style:none;z-index:251659264;mso-width-relative:page;mso-height-relative:page;" filled="f" stroked="f" coordsize="21600,21600">
          <v:path/>
          <v:fill on="f" focussize="0,0"/>
          <v:stroke on="f"/>
          <v:imagedata o:title=""/>
          <o:lock v:ext="edit" aspectratio="f"/>
          <v:textbox inset="0mm,0mm,0mm,0mm" style="mso-fit-shape-to-text:t;">
            <w:txbxContent>
              <w:p>
                <w:pPr>
                  <w:pStyle w:val="26"/>
                </w:pPr>
                <w:r>
                  <w:fldChar w:fldCharType="begin"/>
                </w:r>
                <w:r>
                  <w:instrText xml:space="preserve"> PAGE  \* MERGEFORMAT </w:instrText>
                </w:r>
                <w:r>
                  <w:fldChar w:fldCharType="separate"/>
                </w:r>
                <w:r>
                  <w:t>1</w:t>
                </w:r>
                <w:r>
                  <w:fldChar w:fldCharType="end"/>
                </w:r>
              </w:p>
            </w:txbxContent>
          </v:textbox>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6"/>
    </w:pPr>
    <w:r>
      <w:rPr>
        <w:sz w:val="18"/>
      </w:rPr>
      <w:pict>
        <v:shape id="_x0000_s3084" o:spid="_x0000_s3084" o:spt="202" type="#_x0000_t202" style="position:absolute;left:0pt;margin-top:0pt;height:144pt;width:144pt;mso-position-horizontal:center;mso-position-horizontal-relative:margin;mso-wrap-style:none;z-index:251660288;mso-width-relative:page;mso-height-relative:page;" filled="f" stroked="f" coordsize="21600,21600">
          <v:path/>
          <v:fill on="f" focussize="0,0"/>
          <v:stroke on="f"/>
          <v:imagedata o:title=""/>
          <o:lock v:ext="edit" aspectratio="f"/>
          <v:textbox inset="0mm,0mm,0mm,0mm" style="mso-fit-shape-to-text:t;">
            <w:txbxContent>
              <w:p>
                <w:pPr>
                  <w:pStyle w:val="26"/>
                </w:pPr>
                <w:r>
                  <w:fldChar w:fldCharType="begin"/>
                </w:r>
                <w:r>
                  <w:instrText xml:space="preserve"> PAGE  \* MERGEFORMAT </w:instrText>
                </w:r>
                <w:r>
                  <w:fldChar w:fldCharType="separate"/>
                </w:r>
                <w:r>
                  <w:t>1</w:t>
                </w:r>
                <w:r>
                  <w:fldChar w:fldCharType="end"/>
                </w:r>
              </w:p>
            </w:txbxContent>
          </v:textbox>
        </v:shape>
      </w:pic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6"/>
    </w:pPr>
    <w:r>
      <w:rPr>
        <w:sz w:val="18"/>
      </w:rPr>
      <w:pict>
        <v:shape id="_x0000_s3085" o:spid="_x0000_s3085" o:spt="202" type="#_x0000_t202" style="position:absolute;left:0pt;margin-top:0pt;height:144pt;width:144pt;mso-position-horizontal:center;mso-position-horizontal-relative:margin;mso-wrap-style:none;z-index:251661312;mso-width-relative:page;mso-height-relative:page;" filled="f" stroked="f" coordsize="21600,21600">
          <v:path/>
          <v:fill on="f" focussize="0,0"/>
          <v:stroke on="f"/>
          <v:imagedata o:title=""/>
          <o:lock v:ext="edit" aspectratio="f"/>
          <v:textbox inset="0mm,0mm,0mm,0mm" style="mso-fit-shape-to-text:t;">
            <w:txbxContent>
              <w:p>
                <w:pPr>
                  <w:pStyle w:val="26"/>
                </w:pPr>
                <w:r>
                  <w:fldChar w:fldCharType="begin"/>
                </w:r>
                <w:r>
                  <w:instrText xml:space="preserve"> PAGE  \* MERGEFORMAT </w:instrText>
                </w:r>
                <w:r>
                  <w:fldChar w:fldCharType="separate"/>
                </w:r>
                <w:r>
                  <w:t>3</w:t>
                </w:r>
                <w:r>
                  <w:fldChar w:fldCharType="end"/>
                </w:r>
              </w:p>
            </w:txbxContent>
          </v:textbox>
        </v:shape>
      </w:pic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6"/>
    </w:pPr>
    <w:r>
      <w:rPr>
        <w:sz w:val="18"/>
      </w:rPr>
      <w:pict>
        <v:shape id="_x0000_s3086" o:spid="_x0000_s3086" o:spt="202" type="#_x0000_t202" style="position:absolute;left:0pt;margin-top:0pt;height:144pt;width:144pt;mso-position-horizontal:center;mso-position-horizontal-relative:margin;mso-wrap-style:none;z-index:251662336;mso-width-relative:page;mso-height-relative:page;" filled="f" stroked="f" coordsize="21600,21600">
          <v:path/>
          <v:fill on="f" focussize="0,0"/>
          <v:stroke on="f"/>
          <v:imagedata o:title=""/>
          <o:lock v:ext="edit" aspectratio="f"/>
          <v:textbox inset="0mm,0mm,0mm,0mm" style="mso-fit-shape-to-text:t;">
            <w:txbxContent>
              <w:p>
                <w:pPr>
                  <w:pStyle w:val="26"/>
                </w:pPr>
                <w:r>
                  <w:fldChar w:fldCharType="begin"/>
                </w:r>
                <w:r>
                  <w:instrText xml:space="preserve"> PAGE  \* MERGEFORMAT </w:instrText>
                </w:r>
                <w:r>
                  <w:fldChar w:fldCharType="separate"/>
                </w:r>
                <w:r>
                  <w:t>2</w:t>
                </w:r>
                <w:r>
                  <w:fldChar w:fldCharType="end"/>
                </w:r>
              </w:p>
            </w:txbxContent>
          </v:textbox>
        </v:shape>
      </w:pic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6"/>
    </w:pPr>
    <w:r>
      <w:rPr>
        <w:sz w:val="18"/>
      </w:rPr>
      <w:pict>
        <v:shape id="_x0000_s3087" o:spid="_x0000_s3087" o:spt="202" type="#_x0000_t202" style="position:absolute;left:0pt;margin-top:0pt;height:144pt;width:144pt;mso-position-horizontal:center;mso-position-horizontal-relative:margin;mso-wrap-style:none;z-index:251663360;mso-width-relative:page;mso-height-relative:page;" filled="f" stroked="f" coordsize="21600,21600">
          <v:path/>
          <v:fill on="f" focussize="0,0"/>
          <v:stroke on="f"/>
          <v:imagedata o:title=""/>
          <o:lock v:ext="edit" aspectratio="f"/>
          <v:textbox inset="0mm,0mm,0mm,0mm" style="mso-fit-shape-to-text:t;">
            <w:txbxContent>
              <w:p>
                <w:pPr>
                  <w:pStyle w:val="26"/>
                </w:pPr>
                <w:r>
                  <w:fldChar w:fldCharType="begin"/>
                </w:r>
                <w:r>
                  <w:instrText xml:space="preserve"> PAGE  \* MERGEFORMAT </w:instrText>
                </w:r>
                <w:r>
                  <w:fldChar w:fldCharType="separate"/>
                </w:r>
                <w:r>
                  <w:t>47</w:t>
                </w:r>
                <w:r>
                  <w:fldChar w:fldCharType="end"/>
                </w:r>
              </w:p>
            </w:txbxContent>
          </v:textbox>
        </v:shape>
      </w:pic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6"/>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6"/>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6"/>
    </w:pPr>
    <w:r>
      <w:rPr>
        <w:sz w:val="18"/>
      </w:rPr>
      <w:pict>
        <v:shape id="_x0000_s3088" o:spid="_x0000_s3088" o:spt="202" type="#_x0000_t202" style="position:absolute;left:0pt;margin-top:0pt;height:144pt;width:144pt;mso-position-horizontal:center;mso-position-horizontal-relative:margin;mso-wrap-style:none;z-index:251664384;mso-width-relative:page;mso-height-relative:page;" filled="f" stroked="f" coordsize="21600,21600">
          <v:path/>
          <v:fill on="f" focussize="0,0"/>
          <v:stroke on="f"/>
          <v:imagedata o:title=""/>
          <o:lock v:ext="edit" aspectratio="f"/>
          <v:textbox inset="0mm,0mm,0mm,0mm" style="mso-fit-shape-to-text:t;">
            <w:txbxContent>
              <w:p>
                <w:pPr>
                  <w:pStyle w:val="26"/>
                </w:pPr>
                <w:r>
                  <w:fldChar w:fldCharType="begin"/>
                </w:r>
                <w:r>
                  <w:instrText xml:space="preserve"> PAGE  \* MERGEFORMAT </w:instrText>
                </w:r>
                <w:r>
                  <w:fldChar w:fldCharType="separate"/>
                </w:r>
                <w:r>
                  <w:t>60</w:t>
                </w:r>
                <w:r>
                  <w:fldChar w:fldCharType="end"/>
                </w:r>
              </w:p>
            </w:txbxContent>
          </v:textbox>
        </v:shape>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7"/>
      <w:jc w:val="both"/>
    </w:pPr>
    <w:r>
      <w:rPr>
        <w:rFonts w:hint="eastAsia" w:ascii="华文楷体" w:hAnsi="华文楷体" w:eastAsia="华文楷体" w:cs="华文楷体"/>
        <w:sz w:val="21"/>
        <w:szCs w:val="21"/>
        <w:u w:val="single"/>
      </w:rPr>
      <w:t xml:space="preserve">                                                    公开招标</w:t>
    </w: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7"/>
    </w:pP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7"/>
    </w:pP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7"/>
      <w:pBdr>
        <w:bottom w:val="none" w:color="auto" w:sz="0" w:space="0"/>
      </w:pBdr>
    </w:pP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7"/>
      <w:pBdr>
        <w:bottom w:val="none" w:color="auto" w:sz="0" w:space="0"/>
      </w:pBdr>
    </w:pP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7"/>
    </w:pPr>
  </w:p>
</w:hdr>
</file>

<file path=word/header1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7"/>
    </w:pPr>
  </w:p>
</w:hdr>
</file>

<file path=word/header1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7"/>
      <w:tabs>
        <w:tab w:val="left" w:pos="328"/>
      </w:tabs>
      <w:jc w:val="left"/>
    </w:pPr>
    <w:r>
      <w:rPr>
        <w:rFonts w:hint="eastAsia" w:ascii="华文楷体" w:hAnsi="华文楷体" w:eastAsia="华文楷体" w:cs="华文楷体"/>
        <w:sz w:val="21"/>
        <w:szCs w:val="21"/>
        <w:u w:val="single"/>
      </w:rPr>
      <w:t xml:space="preserve">                                                         公开招标</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7"/>
      <w:pBdr>
        <w:bottom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7"/>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7"/>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7"/>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7"/>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7"/>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7"/>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D6EB9F5"/>
    <w:multiLevelType w:val="singleLevel"/>
    <w:tmpl w:val="9D6EB9F5"/>
    <w:lvl w:ilvl="0" w:tentative="0">
      <w:start w:val="1"/>
      <w:numFmt w:val="chineseCounting"/>
      <w:suff w:val="nothing"/>
      <w:lvlText w:val="%1、"/>
      <w:lvlJc w:val="left"/>
      <w:pPr>
        <w:tabs>
          <w:tab w:val="left" w:pos="0"/>
        </w:tabs>
        <w:ind w:left="0" w:firstLine="0"/>
      </w:pPr>
      <w:rPr>
        <w:rFonts w:hint="eastAsia"/>
      </w:rPr>
    </w:lvl>
  </w:abstractNum>
  <w:abstractNum w:abstractNumId="1">
    <w:nsid w:val="A36EE3D6"/>
    <w:multiLevelType w:val="singleLevel"/>
    <w:tmpl w:val="A36EE3D6"/>
    <w:lvl w:ilvl="0" w:tentative="0">
      <w:start w:val="1"/>
      <w:numFmt w:val="decimal"/>
      <w:suff w:val="nothing"/>
      <w:lvlText w:val="（%1）"/>
      <w:lvlJc w:val="left"/>
    </w:lvl>
  </w:abstractNum>
  <w:abstractNum w:abstractNumId="2">
    <w:nsid w:val="0000000B"/>
    <w:multiLevelType w:val="multilevel"/>
    <w:tmpl w:val="0000000B"/>
    <w:lvl w:ilvl="0" w:tentative="0">
      <w:start w:val="1"/>
      <w:numFmt w:val="decimal"/>
      <w:lvlText w:val="%1"/>
      <w:lvlJc w:val="left"/>
      <w:pPr>
        <w:tabs>
          <w:tab w:val="left" w:pos="170"/>
        </w:tabs>
        <w:ind w:left="-70" w:firstLine="170"/>
      </w:pPr>
      <w:rPr>
        <w:rFonts w:hint="default" w:cs="Times New Roman"/>
      </w:rPr>
    </w:lvl>
    <w:lvl w:ilvl="1" w:tentative="0">
      <w:start w:val="1"/>
      <w:numFmt w:val="decimal"/>
      <w:lvlText w:val="%2)"/>
      <w:lvlJc w:val="left"/>
      <w:pPr>
        <w:tabs>
          <w:tab w:val="left" w:pos="590"/>
        </w:tabs>
        <w:ind w:left="590" w:hanging="420"/>
      </w:pPr>
      <w:rPr>
        <w:rFonts w:hint="default" w:cs="Times New Roman"/>
      </w:rPr>
    </w:lvl>
    <w:lvl w:ilvl="2" w:tentative="0">
      <w:start w:val="1"/>
      <w:numFmt w:val="decimal"/>
      <w:lvlText w:val="%3、"/>
      <w:lvlJc w:val="left"/>
      <w:pPr>
        <w:tabs>
          <w:tab w:val="left" w:pos="1200"/>
        </w:tabs>
        <w:ind w:left="1200" w:hanging="360"/>
      </w:pPr>
      <w:rPr>
        <w:rFonts w:hint="eastAsia" w:cs="Times New Roman"/>
      </w:rPr>
    </w:lvl>
    <w:lvl w:ilvl="3" w:tentative="0">
      <w:start w:val="1"/>
      <w:numFmt w:val="japaneseCounting"/>
      <w:lvlText w:val="%4、"/>
      <w:lvlJc w:val="left"/>
      <w:pPr>
        <w:tabs>
          <w:tab w:val="left" w:pos="2220"/>
        </w:tabs>
        <w:ind w:left="2220" w:hanging="960"/>
      </w:pPr>
      <w:rPr>
        <w:rFonts w:hint="default" w:cs="Times New Roman"/>
      </w:rPr>
    </w:lvl>
    <w:lvl w:ilvl="4" w:tentative="0">
      <w:start w:val="1"/>
      <w:numFmt w:val="decimal"/>
      <w:lvlText w:val="%5）"/>
      <w:lvlJc w:val="left"/>
      <w:pPr>
        <w:tabs>
          <w:tab w:val="left" w:pos="2040"/>
        </w:tabs>
        <w:ind w:left="2040" w:hanging="360"/>
      </w:pPr>
      <w:rPr>
        <w:rFonts w:hint="eastAsia" w:cs="Times New Roman"/>
      </w:rPr>
    </w:lvl>
    <w:lvl w:ilvl="5" w:tentative="0">
      <w:start w:val="1"/>
      <w:numFmt w:val="lowerRoman"/>
      <w:lvlText w:val="%6."/>
      <w:lvlJc w:val="right"/>
      <w:pPr>
        <w:tabs>
          <w:tab w:val="left" w:pos="2520"/>
        </w:tabs>
        <w:ind w:left="2520" w:hanging="420"/>
      </w:pPr>
      <w:rPr>
        <w:rFonts w:cs="Times New Roman"/>
      </w:rPr>
    </w:lvl>
    <w:lvl w:ilvl="6" w:tentative="0">
      <w:start w:val="1"/>
      <w:numFmt w:val="decimal"/>
      <w:lvlText w:val="%7."/>
      <w:lvlJc w:val="left"/>
      <w:pPr>
        <w:tabs>
          <w:tab w:val="left" w:pos="2940"/>
        </w:tabs>
        <w:ind w:left="2940" w:hanging="420"/>
      </w:pPr>
      <w:rPr>
        <w:rFonts w:cs="Times New Roman"/>
      </w:rPr>
    </w:lvl>
    <w:lvl w:ilvl="7" w:tentative="0">
      <w:start w:val="1"/>
      <w:numFmt w:val="lowerLetter"/>
      <w:lvlText w:val="%8)"/>
      <w:lvlJc w:val="left"/>
      <w:pPr>
        <w:tabs>
          <w:tab w:val="left" w:pos="3360"/>
        </w:tabs>
        <w:ind w:left="3360" w:hanging="420"/>
      </w:pPr>
      <w:rPr>
        <w:rFonts w:cs="Times New Roman"/>
      </w:rPr>
    </w:lvl>
    <w:lvl w:ilvl="8" w:tentative="0">
      <w:start w:val="1"/>
      <w:numFmt w:val="lowerRoman"/>
      <w:lvlText w:val="%9."/>
      <w:lvlJc w:val="right"/>
      <w:pPr>
        <w:tabs>
          <w:tab w:val="left" w:pos="3780"/>
        </w:tabs>
        <w:ind w:left="3780" w:hanging="420"/>
      </w:pPr>
      <w:rPr>
        <w:rFonts w:cs="Times New Roman"/>
      </w:rPr>
    </w:lvl>
  </w:abstractNum>
  <w:abstractNum w:abstractNumId="3">
    <w:nsid w:val="39EBEE6F"/>
    <w:multiLevelType w:val="singleLevel"/>
    <w:tmpl w:val="39EBEE6F"/>
    <w:lvl w:ilvl="0" w:tentative="0">
      <w:start w:val="23"/>
      <w:numFmt w:val="decimal"/>
      <w:lvlText w:val="%1."/>
      <w:lvlJc w:val="left"/>
      <w:pPr>
        <w:tabs>
          <w:tab w:val="left" w:pos="312"/>
        </w:tabs>
      </w:pPr>
    </w:lvl>
  </w:abstractNum>
  <w:abstractNum w:abstractNumId="4">
    <w:nsid w:val="53E10F40"/>
    <w:multiLevelType w:val="singleLevel"/>
    <w:tmpl w:val="53E10F40"/>
    <w:lvl w:ilvl="0" w:tentative="0">
      <w:start w:val="1"/>
      <w:numFmt w:val="chineseCounting"/>
      <w:suff w:val="nothing"/>
      <w:lvlText w:val="%1、"/>
      <w:lvlJc w:val="left"/>
      <w:rPr>
        <w:rFonts w:hint="eastAsia"/>
      </w:rPr>
    </w:lvl>
  </w:abstractNum>
  <w:abstractNum w:abstractNumId="5">
    <w:nsid w:val="58EEE2A9"/>
    <w:multiLevelType w:val="singleLevel"/>
    <w:tmpl w:val="58EEE2A9"/>
    <w:lvl w:ilvl="0" w:tentative="0">
      <w:start w:val="1"/>
      <w:numFmt w:val="decimal"/>
      <w:suff w:val="space"/>
      <w:lvlText w:val="%1)"/>
      <w:lvlJc w:val="left"/>
    </w:lvl>
  </w:abstractNum>
  <w:abstractNum w:abstractNumId="6">
    <w:nsid w:val="59DF3391"/>
    <w:multiLevelType w:val="singleLevel"/>
    <w:tmpl w:val="59DF3391"/>
    <w:lvl w:ilvl="0" w:tentative="0">
      <w:start w:val="7"/>
      <w:numFmt w:val="decimal"/>
      <w:suff w:val="space"/>
      <w:lvlText w:val="%1."/>
      <w:lvlJc w:val="left"/>
    </w:lvl>
  </w:abstractNum>
  <w:abstractNum w:abstractNumId="7">
    <w:nsid w:val="67C040B1"/>
    <w:multiLevelType w:val="singleLevel"/>
    <w:tmpl w:val="67C040B1"/>
    <w:lvl w:ilvl="0" w:tentative="0">
      <w:start w:val="2"/>
      <w:numFmt w:val="decimal"/>
      <w:lvlText w:val="%1."/>
      <w:lvlJc w:val="left"/>
      <w:pPr>
        <w:tabs>
          <w:tab w:val="left" w:pos="312"/>
        </w:tabs>
      </w:pPr>
    </w:lvl>
  </w:abstractNum>
  <w:abstractNum w:abstractNumId="8">
    <w:nsid w:val="7DB1AA8B"/>
    <w:multiLevelType w:val="singleLevel"/>
    <w:tmpl w:val="7DB1AA8B"/>
    <w:lvl w:ilvl="0" w:tentative="0">
      <w:start w:val="3"/>
      <w:numFmt w:val="decimal"/>
      <w:suff w:val="nothing"/>
      <w:lvlText w:val="%1）"/>
      <w:lvlJc w:val="left"/>
    </w:lvl>
  </w:abstractNum>
  <w:num w:numId="1">
    <w:abstractNumId w:val="2"/>
  </w:num>
  <w:num w:numId="2">
    <w:abstractNumId w:val="5"/>
  </w:num>
  <w:num w:numId="3">
    <w:abstractNumId w:val="8"/>
  </w:num>
  <w:num w:numId="4">
    <w:abstractNumId w:val="6"/>
  </w:num>
  <w:num w:numId="5">
    <w:abstractNumId w:val="3"/>
  </w:num>
  <w:num w:numId="6">
    <w:abstractNumId w:val="1"/>
  </w:num>
  <w:num w:numId="7">
    <w:abstractNumId w:val="0"/>
  </w:num>
  <w:num w:numId="8">
    <w:abstractNumId w:val="7"/>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hideSpellingErrors/>
  <w:doNotTrackMoves/>
  <w:documentProtection w:enforcement="0"/>
  <w:defaultTabStop w:val="420"/>
  <w:drawingGridHorizontalSpacing w:val="210"/>
  <w:drawingGridVerticalSpacing w:val="-7946"/>
  <w:displayHorizontalDrawingGridEvery w:val="1"/>
  <w:displayVerticalDrawingGridEvery w:val="1"/>
  <w:noPunctuationKerning w:val="1"/>
  <w:characterSpacingControl w:val="compressPunctuation"/>
  <w:noLineBreaksAfter w:lang="zh-CN" w:val="$([{£¥·‘“〈《「『【〔〖〝﹙﹛﹝＄（．［｛￡￥"/>
  <w:noLineBreaksBefore w:lang="zh-CN" w:val="!%),.:;&gt;?]}¢¨°·ˇˉ―‖’”…‰′″›℃∶、。〃〉》」』】〕〗〞︶︺︾﹀﹄﹚﹜﹞！＂％＇），．：；？］｀｜｝～￠"/>
  <w:hdrShapeDefaults>
    <o:shapelayout v:ext="edit">
      <o:idmap v:ext="edit" data="3"/>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underlineTabInNumList/>
    <w:compatSetting w:name="compatibilityMode" w:uri="http://schemas.microsoft.com/office/word" w:val="12"/>
  </w:compat>
  <w:docVars>
    <w:docVar w:name="commondata" w:val="eyJoZGlkIjoiYWFlMTJkOTEyOTE1YThjZWNiZWI2N2I2MjgxZjNiZWYifQ=="/>
  </w:docVars>
  <w:rsids>
    <w:rsidRoot w:val="00172A27"/>
    <w:rsid w:val="00005E8B"/>
    <w:rsid w:val="00016540"/>
    <w:rsid w:val="00016EA8"/>
    <w:rsid w:val="000205D6"/>
    <w:rsid w:val="00023E78"/>
    <w:rsid w:val="00024036"/>
    <w:rsid w:val="0002633E"/>
    <w:rsid w:val="00027214"/>
    <w:rsid w:val="00027C89"/>
    <w:rsid w:val="00030BC0"/>
    <w:rsid w:val="00036C41"/>
    <w:rsid w:val="0006156D"/>
    <w:rsid w:val="00065929"/>
    <w:rsid w:val="000806F8"/>
    <w:rsid w:val="00090156"/>
    <w:rsid w:val="00095ADC"/>
    <w:rsid w:val="000A4723"/>
    <w:rsid w:val="000A54C6"/>
    <w:rsid w:val="000A7147"/>
    <w:rsid w:val="000B02D2"/>
    <w:rsid w:val="000B0B17"/>
    <w:rsid w:val="000B1057"/>
    <w:rsid w:val="000B37F1"/>
    <w:rsid w:val="000C2B40"/>
    <w:rsid w:val="000D2F70"/>
    <w:rsid w:val="000D74B3"/>
    <w:rsid w:val="000E1F78"/>
    <w:rsid w:val="000F0960"/>
    <w:rsid w:val="000F0FA8"/>
    <w:rsid w:val="000F56C8"/>
    <w:rsid w:val="000F7A85"/>
    <w:rsid w:val="00100BE5"/>
    <w:rsid w:val="00100D66"/>
    <w:rsid w:val="00102231"/>
    <w:rsid w:val="0011500D"/>
    <w:rsid w:val="00120F2E"/>
    <w:rsid w:val="001213FA"/>
    <w:rsid w:val="00122849"/>
    <w:rsid w:val="00123327"/>
    <w:rsid w:val="001240E3"/>
    <w:rsid w:val="00127D99"/>
    <w:rsid w:val="001413F5"/>
    <w:rsid w:val="00147D9B"/>
    <w:rsid w:val="00150B9D"/>
    <w:rsid w:val="0016381F"/>
    <w:rsid w:val="00164FD0"/>
    <w:rsid w:val="00172A27"/>
    <w:rsid w:val="0017446C"/>
    <w:rsid w:val="00174822"/>
    <w:rsid w:val="00180DAF"/>
    <w:rsid w:val="001813F9"/>
    <w:rsid w:val="00184EB4"/>
    <w:rsid w:val="00191639"/>
    <w:rsid w:val="00196C24"/>
    <w:rsid w:val="001973EF"/>
    <w:rsid w:val="001A1CAB"/>
    <w:rsid w:val="001A4458"/>
    <w:rsid w:val="001B0E71"/>
    <w:rsid w:val="001B1348"/>
    <w:rsid w:val="001C062A"/>
    <w:rsid w:val="001C4A48"/>
    <w:rsid w:val="001C6FB6"/>
    <w:rsid w:val="001D4AEB"/>
    <w:rsid w:val="001D61EF"/>
    <w:rsid w:val="001E17B2"/>
    <w:rsid w:val="001E7046"/>
    <w:rsid w:val="001F4B6B"/>
    <w:rsid w:val="001F53DE"/>
    <w:rsid w:val="002011B4"/>
    <w:rsid w:val="002069BA"/>
    <w:rsid w:val="00231718"/>
    <w:rsid w:val="002731A3"/>
    <w:rsid w:val="0028785B"/>
    <w:rsid w:val="002A5147"/>
    <w:rsid w:val="002A6D46"/>
    <w:rsid w:val="002B43E3"/>
    <w:rsid w:val="002B5C60"/>
    <w:rsid w:val="002C5AF7"/>
    <w:rsid w:val="002D1A1B"/>
    <w:rsid w:val="002E56F4"/>
    <w:rsid w:val="002E68A1"/>
    <w:rsid w:val="002F14E3"/>
    <w:rsid w:val="00306123"/>
    <w:rsid w:val="00306B69"/>
    <w:rsid w:val="00310639"/>
    <w:rsid w:val="00312AFC"/>
    <w:rsid w:val="00321D51"/>
    <w:rsid w:val="003276DF"/>
    <w:rsid w:val="00343320"/>
    <w:rsid w:val="00351EE6"/>
    <w:rsid w:val="00354FA5"/>
    <w:rsid w:val="00362FF6"/>
    <w:rsid w:val="003713EE"/>
    <w:rsid w:val="00381576"/>
    <w:rsid w:val="00383A43"/>
    <w:rsid w:val="00386768"/>
    <w:rsid w:val="00391524"/>
    <w:rsid w:val="003947E4"/>
    <w:rsid w:val="003A45ED"/>
    <w:rsid w:val="003A69E0"/>
    <w:rsid w:val="003C3821"/>
    <w:rsid w:val="003C50F6"/>
    <w:rsid w:val="003E6A99"/>
    <w:rsid w:val="003F0D4A"/>
    <w:rsid w:val="004048DD"/>
    <w:rsid w:val="00405496"/>
    <w:rsid w:val="00411847"/>
    <w:rsid w:val="004132B0"/>
    <w:rsid w:val="00414B4E"/>
    <w:rsid w:val="004210F8"/>
    <w:rsid w:val="004222FF"/>
    <w:rsid w:val="00425377"/>
    <w:rsid w:val="00426B9A"/>
    <w:rsid w:val="00433769"/>
    <w:rsid w:val="004364F3"/>
    <w:rsid w:val="00456445"/>
    <w:rsid w:val="00461720"/>
    <w:rsid w:val="00461F58"/>
    <w:rsid w:val="00477EBA"/>
    <w:rsid w:val="0048310F"/>
    <w:rsid w:val="00487E1B"/>
    <w:rsid w:val="004918A4"/>
    <w:rsid w:val="00492A9A"/>
    <w:rsid w:val="004946B4"/>
    <w:rsid w:val="004A013C"/>
    <w:rsid w:val="004A0B12"/>
    <w:rsid w:val="004A2FC5"/>
    <w:rsid w:val="004B08EF"/>
    <w:rsid w:val="004B7CBA"/>
    <w:rsid w:val="004D1F12"/>
    <w:rsid w:val="004D250C"/>
    <w:rsid w:val="004D5C06"/>
    <w:rsid w:val="004D5FD7"/>
    <w:rsid w:val="004E20E8"/>
    <w:rsid w:val="004E74E4"/>
    <w:rsid w:val="00507C46"/>
    <w:rsid w:val="00512652"/>
    <w:rsid w:val="00530AB3"/>
    <w:rsid w:val="00530B56"/>
    <w:rsid w:val="005334C1"/>
    <w:rsid w:val="00551038"/>
    <w:rsid w:val="00551A79"/>
    <w:rsid w:val="0055390E"/>
    <w:rsid w:val="00556ED6"/>
    <w:rsid w:val="005619F1"/>
    <w:rsid w:val="005642A4"/>
    <w:rsid w:val="00566DFD"/>
    <w:rsid w:val="00574557"/>
    <w:rsid w:val="0058302F"/>
    <w:rsid w:val="00586E8F"/>
    <w:rsid w:val="005905F8"/>
    <w:rsid w:val="00593826"/>
    <w:rsid w:val="005959EC"/>
    <w:rsid w:val="0059730A"/>
    <w:rsid w:val="005A179C"/>
    <w:rsid w:val="005C0563"/>
    <w:rsid w:val="005C0CEB"/>
    <w:rsid w:val="005C1368"/>
    <w:rsid w:val="005C1A02"/>
    <w:rsid w:val="005E0129"/>
    <w:rsid w:val="005E016F"/>
    <w:rsid w:val="005E0B9F"/>
    <w:rsid w:val="005F120A"/>
    <w:rsid w:val="005F3B6D"/>
    <w:rsid w:val="005F4C51"/>
    <w:rsid w:val="00600113"/>
    <w:rsid w:val="00603F3A"/>
    <w:rsid w:val="00611683"/>
    <w:rsid w:val="00613DDF"/>
    <w:rsid w:val="006244AD"/>
    <w:rsid w:val="00633A05"/>
    <w:rsid w:val="00633BA6"/>
    <w:rsid w:val="006340B7"/>
    <w:rsid w:val="0063555B"/>
    <w:rsid w:val="006419D9"/>
    <w:rsid w:val="00644B56"/>
    <w:rsid w:val="0064528D"/>
    <w:rsid w:val="00645331"/>
    <w:rsid w:val="00647ED2"/>
    <w:rsid w:val="006562A2"/>
    <w:rsid w:val="00661B0D"/>
    <w:rsid w:val="0067520F"/>
    <w:rsid w:val="0067795C"/>
    <w:rsid w:val="006878FB"/>
    <w:rsid w:val="00687A77"/>
    <w:rsid w:val="006A1263"/>
    <w:rsid w:val="006A771B"/>
    <w:rsid w:val="006B0325"/>
    <w:rsid w:val="006B5F4E"/>
    <w:rsid w:val="006D5D81"/>
    <w:rsid w:val="006D68E1"/>
    <w:rsid w:val="006E1A19"/>
    <w:rsid w:val="006E219A"/>
    <w:rsid w:val="006E2553"/>
    <w:rsid w:val="006E499E"/>
    <w:rsid w:val="006F13A8"/>
    <w:rsid w:val="006F2B6C"/>
    <w:rsid w:val="006F2C3B"/>
    <w:rsid w:val="006F7C23"/>
    <w:rsid w:val="00702AE7"/>
    <w:rsid w:val="007055B9"/>
    <w:rsid w:val="00705B03"/>
    <w:rsid w:val="00706A57"/>
    <w:rsid w:val="00712275"/>
    <w:rsid w:val="007142C6"/>
    <w:rsid w:val="00714CEC"/>
    <w:rsid w:val="00735F3C"/>
    <w:rsid w:val="00736F00"/>
    <w:rsid w:val="007431A6"/>
    <w:rsid w:val="00744B8A"/>
    <w:rsid w:val="00750770"/>
    <w:rsid w:val="007562AB"/>
    <w:rsid w:val="007579C1"/>
    <w:rsid w:val="007627A2"/>
    <w:rsid w:val="00765020"/>
    <w:rsid w:val="007752CF"/>
    <w:rsid w:val="0077797E"/>
    <w:rsid w:val="00785655"/>
    <w:rsid w:val="00792109"/>
    <w:rsid w:val="00796808"/>
    <w:rsid w:val="007B2CE4"/>
    <w:rsid w:val="007C35DA"/>
    <w:rsid w:val="007C47C8"/>
    <w:rsid w:val="007D0C6E"/>
    <w:rsid w:val="007F2126"/>
    <w:rsid w:val="007F4B0B"/>
    <w:rsid w:val="007F57AF"/>
    <w:rsid w:val="00801023"/>
    <w:rsid w:val="008046CB"/>
    <w:rsid w:val="00804826"/>
    <w:rsid w:val="0081357E"/>
    <w:rsid w:val="00816F6A"/>
    <w:rsid w:val="00821A2E"/>
    <w:rsid w:val="008253B1"/>
    <w:rsid w:val="00831F84"/>
    <w:rsid w:val="00832450"/>
    <w:rsid w:val="008564B8"/>
    <w:rsid w:val="00857450"/>
    <w:rsid w:val="0086025B"/>
    <w:rsid w:val="008664B3"/>
    <w:rsid w:val="008709D9"/>
    <w:rsid w:val="00873A53"/>
    <w:rsid w:val="00880199"/>
    <w:rsid w:val="00884D0C"/>
    <w:rsid w:val="008A0489"/>
    <w:rsid w:val="008B619D"/>
    <w:rsid w:val="008C1F74"/>
    <w:rsid w:val="008D0D03"/>
    <w:rsid w:val="008D3F90"/>
    <w:rsid w:val="008D7608"/>
    <w:rsid w:val="008E0FF2"/>
    <w:rsid w:val="008E305E"/>
    <w:rsid w:val="008E4308"/>
    <w:rsid w:val="008E747D"/>
    <w:rsid w:val="008F1AE6"/>
    <w:rsid w:val="008F7C95"/>
    <w:rsid w:val="009143F5"/>
    <w:rsid w:val="0092154D"/>
    <w:rsid w:val="0092216E"/>
    <w:rsid w:val="009222F5"/>
    <w:rsid w:val="00924BA4"/>
    <w:rsid w:val="009345BF"/>
    <w:rsid w:val="00936DA1"/>
    <w:rsid w:val="00937F75"/>
    <w:rsid w:val="00951747"/>
    <w:rsid w:val="0095585C"/>
    <w:rsid w:val="0096402E"/>
    <w:rsid w:val="00977A6D"/>
    <w:rsid w:val="009847C1"/>
    <w:rsid w:val="0099654A"/>
    <w:rsid w:val="009A09E4"/>
    <w:rsid w:val="009A280C"/>
    <w:rsid w:val="009B490B"/>
    <w:rsid w:val="009B7946"/>
    <w:rsid w:val="009C5087"/>
    <w:rsid w:val="009E09B3"/>
    <w:rsid w:val="009E18BD"/>
    <w:rsid w:val="009E3662"/>
    <w:rsid w:val="009E4B52"/>
    <w:rsid w:val="009E5993"/>
    <w:rsid w:val="009E75EE"/>
    <w:rsid w:val="009F7FF1"/>
    <w:rsid w:val="00A0093B"/>
    <w:rsid w:val="00A15A3A"/>
    <w:rsid w:val="00A16843"/>
    <w:rsid w:val="00A21D22"/>
    <w:rsid w:val="00A24166"/>
    <w:rsid w:val="00A45902"/>
    <w:rsid w:val="00A467F2"/>
    <w:rsid w:val="00A50D4C"/>
    <w:rsid w:val="00A62488"/>
    <w:rsid w:val="00A724B2"/>
    <w:rsid w:val="00A754A8"/>
    <w:rsid w:val="00A80109"/>
    <w:rsid w:val="00A8188C"/>
    <w:rsid w:val="00A861FE"/>
    <w:rsid w:val="00A90214"/>
    <w:rsid w:val="00A974D4"/>
    <w:rsid w:val="00AA464B"/>
    <w:rsid w:val="00AD015B"/>
    <w:rsid w:val="00AD084B"/>
    <w:rsid w:val="00AD0BF8"/>
    <w:rsid w:val="00AE01B2"/>
    <w:rsid w:val="00AE6443"/>
    <w:rsid w:val="00AF783B"/>
    <w:rsid w:val="00B0181F"/>
    <w:rsid w:val="00B01F7D"/>
    <w:rsid w:val="00B037E7"/>
    <w:rsid w:val="00B049CA"/>
    <w:rsid w:val="00B04C8C"/>
    <w:rsid w:val="00B04DA7"/>
    <w:rsid w:val="00B338AE"/>
    <w:rsid w:val="00B445F0"/>
    <w:rsid w:val="00B44814"/>
    <w:rsid w:val="00B520D5"/>
    <w:rsid w:val="00B5483C"/>
    <w:rsid w:val="00B552D4"/>
    <w:rsid w:val="00B56E4B"/>
    <w:rsid w:val="00B60932"/>
    <w:rsid w:val="00B60EEC"/>
    <w:rsid w:val="00B71DCC"/>
    <w:rsid w:val="00B747B0"/>
    <w:rsid w:val="00B8565E"/>
    <w:rsid w:val="00B974C1"/>
    <w:rsid w:val="00BA6346"/>
    <w:rsid w:val="00BA7728"/>
    <w:rsid w:val="00BB3CC3"/>
    <w:rsid w:val="00BB4D8A"/>
    <w:rsid w:val="00BB66B9"/>
    <w:rsid w:val="00BB7948"/>
    <w:rsid w:val="00BC07CF"/>
    <w:rsid w:val="00BD0038"/>
    <w:rsid w:val="00BD18B7"/>
    <w:rsid w:val="00BD36C7"/>
    <w:rsid w:val="00BD7872"/>
    <w:rsid w:val="00BE1E6E"/>
    <w:rsid w:val="00BE2611"/>
    <w:rsid w:val="00BE51E9"/>
    <w:rsid w:val="00BE533E"/>
    <w:rsid w:val="00BF4AE3"/>
    <w:rsid w:val="00C07CD9"/>
    <w:rsid w:val="00C249B2"/>
    <w:rsid w:val="00C25897"/>
    <w:rsid w:val="00C2710C"/>
    <w:rsid w:val="00C27E00"/>
    <w:rsid w:val="00C30737"/>
    <w:rsid w:val="00C33DE4"/>
    <w:rsid w:val="00C353BC"/>
    <w:rsid w:val="00C37402"/>
    <w:rsid w:val="00C402F4"/>
    <w:rsid w:val="00C45CBF"/>
    <w:rsid w:val="00C52356"/>
    <w:rsid w:val="00C52EF9"/>
    <w:rsid w:val="00C5742F"/>
    <w:rsid w:val="00C60428"/>
    <w:rsid w:val="00C65402"/>
    <w:rsid w:val="00C66C62"/>
    <w:rsid w:val="00C6738B"/>
    <w:rsid w:val="00C72E81"/>
    <w:rsid w:val="00C805B7"/>
    <w:rsid w:val="00C85C8C"/>
    <w:rsid w:val="00C86C7F"/>
    <w:rsid w:val="00C8726D"/>
    <w:rsid w:val="00CB0802"/>
    <w:rsid w:val="00CB22FE"/>
    <w:rsid w:val="00CC50D5"/>
    <w:rsid w:val="00CD2693"/>
    <w:rsid w:val="00CE247C"/>
    <w:rsid w:val="00CE33DA"/>
    <w:rsid w:val="00CE5E81"/>
    <w:rsid w:val="00CF061B"/>
    <w:rsid w:val="00CF0DDB"/>
    <w:rsid w:val="00CF3D44"/>
    <w:rsid w:val="00CF4E06"/>
    <w:rsid w:val="00D060C6"/>
    <w:rsid w:val="00D123D1"/>
    <w:rsid w:val="00D1489A"/>
    <w:rsid w:val="00D17641"/>
    <w:rsid w:val="00D27C0F"/>
    <w:rsid w:val="00D30DB4"/>
    <w:rsid w:val="00D44F0E"/>
    <w:rsid w:val="00D52128"/>
    <w:rsid w:val="00D60EFC"/>
    <w:rsid w:val="00D74E4D"/>
    <w:rsid w:val="00D7794F"/>
    <w:rsid w:val="00D8569E"/>
    <w:rsid w:val="00D935A3"/>
    <w:rsid w:val="00D935D6"/>
    <w:rsid w:val="00DA3595"/>
    <w:rsid w:val="00DA526C"/>
    <w:rsid w:val="00DA61D9"/>
    <w:rsid w:val="00DB1D40"/>
    <w:rsid w:val="00DB35ED"/>
    <w:rsid w:val="00DD1518"/>
    <w:rsid w:val="00DD2902"/>
    <w:rsid w:val="00DF0CFF"/>
    <w:rsid w:val="00DF1AAE"/>
    <w:rsid w:val="00DF6B8A"/>
    <w:rsid w:val="00DF7A25"/>
    <w:rsid w:val="00E06CFC"/>
    <w:rsid w:val="00E0787E"/>
    <w:rsid w:val="00E14BF1"/>
    <w:rsid w:val="00E15028"/>
    <w:rsid w:val="00E24839"/>
    <w:rsid w:val="00E27B8F"/>
    <w:rsid w:val="00E33A8D"/>
    <w:rsid w:val="00E40B53"/>
    <w:rsid w:val="00E441BE"/>
    <w:rsid w:val="00E471DF"/>
    <w:rsid w:val="00E6071E"/>
    <w:rsid w:val="00E60B2F"/>
    <w:rsid w:val="00E60B82"/>
    <w:rsid w:val="00E64203"/>
    <w:rsid w:val="00E67EC2"/>
    <w:rsid w:val="00E71CD0"/>
    <w:rsid w:val="00E722FF"/>
    <w:rsid w:val="00E80036"/>
    <w:rsid w:val="00E80984"/>
    <w:rsid w:val="00E8128F"/>
    <w:rsid w:val="00E90D56"/>
    <w:rsid w:val="00E917EA"/>
    <w:rsid w:val="00E960F1"/>
    <w:rsid w:val="00EA07A3"/>
    <w:rsid w:val="00EA54A2"/>
    <w:rsid w:val="00EB4A76"/>
    <w:rsid w:val="00EB5BB5"/>
    <w:rsid w:val="00EB7B06"/>
    <w:rsid w:val="00EC0415"/>
    <w:rsid w:val="00EC5A27"/>
    <w:rsid w:val="00ED7122"/>
    <w:rsid w:val="00ED7E26"/>
    <w:rsid w:val="00EE3256"/>
    <w:rsid w:val="00EF23A6"/>
    <w:rsid w:val="00F05742"/>
    <w:rsid w:val="00F106A6"/>
    <w:rsid w:val="00F124E6"/>
    <w:rsid w:val="00F16214"/>
    <w:rsid w:val="00F222A3"/>
    <w:rsid w:val="00F24241"/>
    <w:rsid w:val="00F25072"/>
    <w:rsid w:val="00F25859"/>
    <w:rsid w:val="00F267F9"/>
    <w:rsid w:val="00F31A29"/>
    <w:rsid w:val="00F50634"/>
    <w:rsid w:val="00F508A5"/>
    <w:rsid w:val="00F512BC"/>
    <w:rsid w:val="00F53661"/>
    <w:rsid w:val="00F62AE4"/>
    <w:rsid w:val="00F67B7D"/>
    <w:rsid w:val="00F72819"/>
    <w:rsid w:val="00F75B8C"/>
    <w:rsid w:val="00F76F23"/>
    <w:rsid w:val="00F81BC0"/>
    <w:rsid w:val="00FA3ED2"/>
    <w:rsid w:val="00FA7025"/>
    <w:rsid w:val="00FB5ADA"/>
    <w:rsid w:val="00FB66B4"/>
    <w:rsid w:val="00FC16BF"/>
    <w:rsid w:val="00FC32A1"/>
    <w:rsid w:val="00FC357C"/>
    <w:rsid w:val="00FE5BC8"/>
    <w:rsid w:val="00FF641F"/>
    <w:rsid w:val="00FF6B44"/>
    <w:rsid w:val="01000AEE"/>
    <w:rsid w:val="010019D0"/>
    <w:rsid w:val="01064D5A"/>
    <w:rsid w:val="01092778"/>
    <w:rsid w:val="010B7708"/>
    <w:rsid w:val="011879AB"/>
    <w:rsid w:val="011A701F"/>
    <w:rsid w:val="0125503D"/>
    <w:rsid w:val="012E2022"/>
    <w:rsid w:val="012E64B9"/>
    <w:rsid w:val="0131475D"/>
    <w:rsid w:val="01382CCC"/>
    <w:rsid w:val="01383F6E"/>
    <w:rsid w:val="013D6317"/>
    <w:rsid w:val="013F4A62"/>
    <w:rsid w:val="014563A3"/>
    <w:rsid w:val="0149092B"/>
    <w:rsid w:val="014B4033"/>
    <w:rsid w:val="014C58AC"/>
    <w:rsid w:val="014E2032"/>
    <w:rsid w:val="01544F48"/>
    <w:rsid w:val="015805B4"/>
    <w:rsid w:val="01595B31"/>
    <w:rsid w:val="015A3297"/>
    <w:rsid w:val="015E201D"/>
    <w:rsid w:val="015E6229"/>
    <w:rsid w:val="0164494D"/>
    <w:rsid w:val="0165452B"/>
    <w:rsid w:val="016579CA"/>
    <w:rsid w:val="01657DF4"/>
    <w:rsid w:val="01664FD7"/>
    <w:rsid w:val="01685F3B"/>
    <w:rsid w:val="01687CAF"/>
    <w:rsid w:val="016976E9"/>
    <w:rsid w:val="016A4A3B"/>
    <w:rsid w:val="016F7181"/>
    <w:rsid w:val="017032A3"/>
    <w:rsid w:val="01712862"/>
    <w:rsid w:val="01773E6F"/>
    <w:rsid w:val="01777ABF"/>
    <w:rsid w:val="01795A77"/>
    <w:rsid w:val="017C156F"/>
    <w:rsid w:val="017F762D"/>
    <w:rsid w:val="017F76AA"/>
    <w:rsid w:val="01815BF3"/>
    <w:rsid w:val="0183453D"/>
    <w:rsid w:val="01856F8A"/>
    <w:rsid w:val="018B11B8"/>
    <w:rsid w:val="018D025D"/>
    <w:rsid w:val="0192165F"/>
    <w:rsid w:val="01962998"/>
    <w:rsid w:val="0198424C"/>
    <w:rsid w:val="01991D8A"/>
    <w:rsid w:val="019B1941"/>
    <w:rsid w:val="019D382B"/>
    <w:rsid w:val="01A67073"/>
    <w:rsid w:val="01AE3E29"/>
    <w:rsid w:val="01B92F8C"/>
    <w:rsid w:val="01C24349"/>
    <w:rsid w:val="01C80F47"/>
    <w:rsid w:val="01C84AAD"/>
    <w:rsid w:val="01D45295"/>
    <w:rsid w:val="01DD7567"/>
    <w:rsid w:val="01DE2A94"/>
    <w:rsid w:val="01E26026"/>
    <w:rsid w:val="01E30256"/>
    <w:rsid w:val="01E421E3"/>
    <w:rsid w:val="01EE495C"/>
    <w:rsid w:val="01FD4B1B"/>
    <w:rsid w:val="02073AF3"/>
    <w:rsid w:val="02095A24"/>
    <w:rsid w:val="02110EE6"/>
    <w:rsid w:val="0219436E"/>
    <w:rsid w:val="02207100"/>
    <w:rsid w:val="02266682"/>
    <w:rsid w:val="022E43A7"/>
    <w:rsid w:val="02337718"/>
    <w:rsid w:val="02376B93"/>
    <w:rsid w:val="023D0F0F"/>
    <w:rsid w:val="023D6541"/>
    <w:rsid w:val="02401A9F"/>
    <w:rsid w:val="02431959"/>
    <w:rsid w:val="024D126B"/>
    <w:rsid w:val="025367CF"/>
    <w:rsid w:val="02582E79"/>
    <w:rsid w:val="025C1FED"/>
    <w:rsid w:val="025F09D3"/>
    <w:rsid w:val="02617CD3"/>
    <w:rsid w:val="026636FD"/>
    <w:rsid w:val="027125EB"/>
    <w:rsid w:val="0277611D"/>
    <w:rsid w:val="027C0D70"/>
    <w:rsid w:val="027E052C"/>
    <w:rsid w:val="0285372F"/>
    <w:rsid w:val="02882FE0"/>
    <w:rsid w:val="028E207A"/>
    <w:rsid w:val="0292487B"/>
    <w:rsid w:val="02926D83"/>
    <w:rsid w:val="02AB7D2E"/>
    <w:rsid w:val="02AC2C71"/>
    <w:rsid w:val="02AE27AC"/>
    <w:rsid w:val="02AE727F"/>
    <w:rsid w:val="02B06DF4"/>
    <w:rsid w:val="02B479E7"/>
    <w:rsid w:val="02BB3B66"/>
    <w:rsid w:val="02BB5184"/>
    <w:rsid w:val="02C47ACC"/>
    <w:rsid w:val="02C7781E"/>
    <w:rsid w:val="02C97591"/>
    <w:rsid w:val="02D01B61"/>
    <w:rsid w:val="02D03F4F"/>
    <w:rsid w:val="02D40F7C"/>
    <w:rsid w:val="02E024FB"/>
    <w:rsid w:val="02E94FE9"/>
    <w:rsid w:val="02F422D4"/>
    <w:rsid w:val="02F528B7"/>
    <w:rsid w:val="02F872EF"/>
    <w:rsid w:val="02FA1BD7"/>
    <w:rsid w:val="02FF746E"/>
    <w:rsid w:val="030819D2"/>
    <w:rsid w:val="03115376"/>
    <w:rsid w:val="03122820"/>
    <w:rsid w:val="03182EA9"/>
    <w:rsid w:val="0319014C"/>
    <w:rsid w:val="031B3228"/>
    <w:rsid w:val="031D2510"/>
    <w:rsid w:val="03221295"/>
    <w:rsid w:val="03241CD2"/>
    <w:rsid w:val="03245892"/>
    <w:rsid w:val="032550A5"/>
    <w:rsid w:val="032647D7"/>
    <w:rsid w:val="03270D6B"/>
    <w:rsid w:val="03280690"/>
    <w:rsid w:val="03295143"/>
    <w:rsid w:val="032D6BF8"/>
    <w:rsid w:val="032E6EF7"/>
    <w:rsid w:val="03361A59"/>
    <w:rsid w:val="033C57A9"/>
    <w:rsid w:val="033C7075"/>
    <w:rsid w:val="033F4275"/>
    <w:rsid w:val="03447991"/>
    <w:rsid w:val="03456868"/>
    <w:rsid w:val="034648EC"/>
    <w:rsid w:val="03471851"/>
    <w:rsid w:val="034D15B6"/>
    <w:rsid w:val="035353EE"/>
    <w:rsid w:val="0357599C"/>
    <w:rsid w:val="03654806"/>
    <w:rsid w:val="037217D0"/>
    <w:rsid w:val="03733E3E"/>
    <w:rsid w:val="03786A42"/>
    <w:rsid w:val="037F5A21"/>
    <w:rsid w:val="038130F7"/>
    <w:rsid w:val="038A5598"/>
    <w:rsid w:val="038D68F9"/>
    <w:rsid w:val="039154DC"/>
    <w:rsid w:val="039310D3"/>
    <w:rsid w:val="0393348E"/>
    <w:rsid w:val="039764DF"/>
    <w:rsid w:val="039825B2"/>
    <w:rsid w:val="039B7F97"/>
    <w:rsid w:val="039D6E36"/>
    <w:rsid w:val="03A13F69"/>
    <w:rsid w:val="03AE09A1"/>
    <w:rsid w:val="03B53FD9"/>
    <w:rsid w:val="03BD37C2"/>
    <w:rsid w:val="03C6211C"/>
    <w:rsid w:val="03CB7F52"/>
    <w:rsid w:val="03D4491B"/>
    <w:rsid w:val="03D727E6"/>
    <w:rsid w:val="03DD41B4"/>
    <w:rsid w:val="03E13E4A"/>
    <w:rsid w:val="03E53DB5"/>
    <w:rsid w:val="03F13671"/>
    <w:rsid w:val="03F15986"/>
    <w:rsid w:val="03F5623A"/>
    <w:rsid w:val="03FB2919"/>
    <w:rsid w:val="04010667"/>
    <w:rsid w:val="04021248"/>
    <w:rsid w:val="0403166B"/>
    <w:rsid w:val="04075E77"/>
    <w:rsid w:val="040D42A9"/>
    <w:rsid w:val="040D6209"/>
    <w:rsid w:val="041731B2"/>
    <w:rsid w:val="04190715"/>
    <w:rsid w:val="041C204B"/>
    <w:rsid w:val="041D0FD5"/>
    <w:rsid w:val="041D6E28"/>
    <w:rsid w:val="041E2834"/>
    <w:rsid w:val="04210FFB"/>
    <w:rsid w:val="04226942"/>
    <w:rsid w:val="042416C7"/>
    <w:rsid w:val="04252F40"/>
    <w:rsid w:val="0427451B"/>
    <w:rsid w:val="0427616B"/>
    <w:rsid w:val="04286C42"/>
    <w:rsid w:val="042B5B68"/>
    <w:rsid w:val="042F7D71"/>
    <w:rsid w:val="04363CF5"/>
    <w:rsid w:val="043A55EC"/>
    <w:rsid w:val="04411CE4"/>
    <w:rsid w:val="04413CCA"/>
    <w:rsid w:val="044313CD"/>
    <w:rsid w:val="04474D74"/>
    <w:rsid w:val="044851B5"/>
    <w:rsid w:val="04486E82"/>
    <w:rsid w:val="044F28AD"/>
    <w:rsid w:val="04580417"/>
    <w:rsid w:val="045A27B5"/>
    <w:rsid w:val="045A6AA4"/>
    <w:rsid w:val="045C7166"/>
    <w:rsid w:val="0460612D"/>
    <w:rsid w:val="04641854"/>
    <w:rsid w:val="0469021B"/>
    <w:rsid w:val="046A7ADA"/>
    <w:rsid w:val="046B5CC7"/>
    <w:rsid w:val="046B7E43"/>
    <w:rsid w:val="046D0241"/>
    <w:rsid w:val="046D5206"/>
    <w:rsid w:val="047500C3"/>
    <w:rsid w:val="047574AB"/>
    <w:rsid w:val="04757823"/>
    <w:rsid w:val="04770FA0"/>
    <w:rsid w:val="0478690B"/>
    <w:rsid w:val="04792FAC"/>
    <w:rsid w:val="047B3C8F"/>
    <w:rsid w:val="048077D5"/>
    <w:rsid w:val="04830C43"/>
    <w:rsid w:val="04830D96"/>
    <w:rsid w:val="048375A1"/>
    <w:rsid w:val="048B7A8A"/>
    <w:rsid w:val="048C7B62"/>
    <w:rsid w:val="048D375C"/>
    <w:rsid w:val="048D62E9"/>
    <w:rsid w:val="048E406A"/>
    <w:rsid w:val="049411BE"/>
    <w:rsid w:val="04994D84"/>
    <w:rsid w:val="049A668E"/>
    <w:rsid w:val="049E141D"/>
    <w:rsid w:val="04A03D74"/>
    <w:rsid w:val="04A82EA2"/>
    <w:rsid w:val="04A933C5"/>
    <w:rsid w:val="04AA34DD"/>
    <w:rsid w:val="04AD1358"/>
    <w:rsid w:val="04AE2E46"/>
    <w:rsid w:val="04B10E97"/>
    <w:rsid w:val="04B64999"/>
    <w:rsid w:val="04B709AD"/>
    <w:rsid w:val="04B83FDE"/>
    <w:rsid w:val="04D167A1"/>
    <w:rsid w:val="04D44743"/>
    <w:rsid w:val="04DA5093"/>
    <w:rsid w:val="04DB2C54"/>
    <w:rsid w:val="04DF6B0E"/>
    <w:rsid w:val="04E177C1"/>
    <w:rsid w:val="04E90FEF"/>
    <w:rsid w:val="04EA1767"/>
    <w:rsid w:val="04EC6DCC"/>
    <w:rsid w:val="04EF5EC7"/>
    <w:rsid w:val="04F96794"/>
    <w:rsid w:val="04FA433E"/>
    <w:rsid w:val="05036367"/>
    <w:rsid w:val="051117FD"/>
    <w:rsid w:val="051342F0"/>
    <w:rsid w:val="0519211F"/>
    <w:rsid w:val="051C7B00"/>
    <w:rsid w:val="05203058"/>
    <w:rsid w:val="052A2D04"/>
    <w:rsid w:val="052E04FF"/>
    <w:rsid w:val="052F4ED3"/>
    <w:rsid w:val="05334141"/>
    <w:rsid w:val="0536066D"/>
    <w:rsid w:val="05364557"/>
    <w:rsid w:val="05385836"/>
    <w:rsid w:val="0540031A"/>
    <w:rsid w:val="054438E6"/>
    <w:rsid w:val="05497BAC"/>
    <w:rsid w:val="054C7002"/>
    <w:rsid w:val="054D63E6"/>
    <w:rsid w:val="054F6B73"/>
    <w:rsid w:val="055369B5"/>
    <w:rsid w:val="05553E3E"/>
    <w:rsid w:val="0558711E"/>
    <w:rsid w:val="055C4B94"/>
    <w:rsid w:val="055C7355"/>
    <w:rsid w:val="055E5223"/>
    <w:rsid w:val="056A6406"/>
    <w:rsid w:val="05731150"/>
    <w:rsid w:val="05746CC2"/>
    <w:rsid w:val="05787DDF"/>
    <w:rsid w:val="057C2E72"/>
    <w:rsid w:val="057F3D1D"/>
    <w:rsid w:val="058208AC"/>
    <w:rsid w:val="05850EF3"/>
    <w:rsid w:val="05890518"/>
    <w:rsid w:val="058A6D44"/>
    <w:rsid w:val="058C1BB1"/>
    <w:rsid w:val="058D2F0F"/>
    <w:rsid w:val="058E14B0"/>
    <w:rsid w:val="058E7317"/>
    <w:rsid w:val="05961EB1"/>
    <w:rsid w:val="0598133B"/>
    <w:rsid w:val="059C2E76"/>
    <w:rsid w:val="05A35FE8"/>
    <w:rsid w:val="05A577C1"/>
    <w:rsid w:val="05A91520"/>
    <w:rsid w:val="05AA4A8C"/>
    <w:rsid w:val="05C701ED"/>
    <w:rsid w:val="05C96666"/>
    <w:rsid w:val="05CA796E"/>
    <w:rsid w:val="05D376AA"/>
    <w:rsid w:val="05D37C42"/>
    <w:rsid w:val="05DD11E5"/>
    <w:rsid w:val="05DD4027"/>
    <w:rsid w:val="05DF2D9B"/>
    <w:rsid w:val="05E54DAD"/>
    <w:rsid w:val="05E944C9"/>
    <w:rsid w:val="05EB39E4"/>
    <w:rsid w:val="05FB46BC"/>
    <w:rsid w:val="05FD4B2B"/>
    <w:rsid w:val="06036F52"/>
    <w:rsid w:val="06101F38"/>
    <w:rsid w:val="06143C7A"/>
    <w:rsid w:val="06235360"/>
    <w:rsid w:val="06252CA8"/>
    <w:rsid w:val="0629657C"/>
    <w:rsid w:val="062B0282"/>
    <w:rsid w:val="062B14E2"/>
    <w:rsid w:val="062D730F"/>
    <w:rsid w:val="06326957"/>
    <w:rsid w:val="063379B0"/>
    <w:rsid w:val="06392CA3"/>
    <w:rsid w:val="063A07B2"/>
    <w:rsid w:val="063B12E3"/>
    <w:rsid w:val="06423213"/>
    <w:rsid w:val="0643312E"/>
    <w:rsid w:val="0647309E"/>
    <w:rsid w:val="064D16B2"/>
    <w:rsid w:val="0650303F"/>
    <w:rsid w:val="06511CDA"/>
    <w:rsid w:val="06520582"/>
    <w:rsid w:val="06525EDF"/>
    <w:rsid w:val="06562835"/>
    <w:rsid w:val="065E6DE0"/>
    <w:rsid w:val="06692BFA"/>
    <w:rsid w:val="066C7761"/>
    <w:rsid w:val="06700A49"/>
    <w:rsid w:val="0672490F"/>
    <w:rsid w:val="067A4160"/>
    <w:rsid w:val="067B4119"/>
    <w:rsid w:val="06850F68"/>
    <w:rsid w:val="06876D3F"/>
    <w:rsid w:val="06936B36"/>
    <w:rsid w:val="06AA5F53"/>
    <w:rsid w:val="06B43638"/>
    <w:rsid w:val="06B748D6"/>
    <w:rsid w:val="06B94D88"/>
    <w:rsid w:val="06BD3193"/>
    <w:rsid w:val="06CB7D29"/>
    <w:rsid w:val="06D365D0"/>
    <w:rsid w:val="06D7244E"/>
    <w:rsid w:val="06D8148D"/>
    <w:rsid w:val="06DC324E"/>
    <w:rsid w:val="06DD49EE"/>
    <w:rsid w:val="06DE236E"/>
    <w:rsid w:val="06E709A1"/>
    <w:rsid w:val="06EC2979"/>
    <w:rsid w:val="06FA46A2"/>
    <w:rsid w:val="06FC2EE7"/>
    <w:rsid w:val="06FE6507"/>
    <w:rsid w:val="07052515"/>
    <w:rsid w:val="070F4E40"/>
    <w:rsid w:val="07141CAA"/>
    <w:rsid w:val="07144014"/>
    <w:rsid w:val="07181785"/>
    <w:rsid w:val="071856CE"/>
    <w:rsid w:val="071E57AE"/>
    <w:rsid w:val="07220919"/>
    <w:rsid w:val="07223963"/>
    <w:rsid w:val="07233673"/>
    <w:rsid w:val="07245F35"/>
    <w:rsid w:val="072D7841"/>
    <w:rsid w:val="073033E9"/>
    <w:rsid w:val="07372B8D"/>
    <w:rsid w:val="07472771"/>
    <w:rsid w:val="074B78AB"/>
    <w:rsid w:val="074F5873"/>
    <w:rsid w:val="07504CC4"/>
    <w:rsid w:val="075064E9"/>
    <w:rsid w:val="07522ABF"/>
    <w:rsid w:val="075B45A5"/>
    <w:rsid w:val="075D0276"/>
    <w:rsid w:val="07616FC7"/>
    <w:rsid w:val="07686745"/>
    <w:rsid w:val="076C765C"/>
    <w:rsid w:val="07704196"/>
    <w:rsid w:val="07717B4A"/>
    <w:rsid w:val="07781F4D"/>
    <w:rsid w:val="07797F2C"/>
    <w:rsid w:val="077A4097"/>
    <w:rsid w:val="07822754"/>
    <w:rsid w:val="078278DC"/>
    <w:rsid w:val="0783463A"/>
    <w:rsid w:val="079779A2"/>
    <w:rsid w:val="07A04237"/>
    <w:rsid w:val="07A47370"/>
    <w:rsid w:val="07B05956"/>
    <w:rsid w:val="07B216E9"/>
    <w:rsid w:val="07B73EB6"/>
    <w:rsid w:val="07B82D40"/>
    <w:rsid w:val="07BB1549"/>
    <w:rsid w:val="07BE72CA"/>
    <w:rsid w:val="07C1371A"/>
    <w:rsid w:val="07C50E33"/>
    <w:rsid w:val="07C8062A"/>
    <w:rsid w:val="07D219CC"/>
    <w:rsid w:val="07D917EE"/>
    <w:rsid w:val="07E21CE9"/>
    <w:rsid w:val="07E936F3"/>
    <w:rsid w:val="07EA5FB4"/>
    <w:rsid w:val="07FA5FF6"/>
    <w:rsid w:val="07FF7DD0"/>
    <w:rsid w:val="08045C6B"/>
    <w:rsid w:val="080E49CE"/>
    <w:rsid w:val="080F552B"/>
    <w:rsid w:val="08134645"/>
    <w:rsid w:val="0814560F"/>
    <w:rsid w:val="08145E8F"/>
    <w:rsid w:val="081E3EDD"/>
    <w:rsid w:val="08247245"/>
    <w:rsid w:val="0827466F"/>
    <w:rsid w:val="082D40EB"/>
    <w:rsid w:val="082F1144"/>
    <w:rsid w:val="082F6C5A"/>
    <w:rsid w:val="08362B39"/>
    <w:rsid w:val="08371C1B"/>
    <w:rsid w:val="083D5FDE"/>
    <w:rsid w:val="084530A0"/>
    <w:rsid w:val="084C4243"/>
    <w:rsid w:val="08556BD2"/>
    <w:rsid w:val="08670970"/>
    <w:rsid w:val="086A2903"/>
    <w:rsid w:val="086E0002"/>
    <w:rsid w:val="086E054E"/>
    <w:rsid w:val="086E64B1"/>
    <w:rsid w:val="087161A6"/>
    <w:rsid w:val="087333EF"/>
    <w:rsid w:val="087A79E9"/>
    <w:rsid w:val="087F063C"/>
    <w:rsid w:val="088D4F1E"/>
    <w:rsid w:val="088E10C2"/>
    <w:rsid w:val="0891355D"/>
    <w:rsid w:val="08921904"/>
    <w:rsid w:val="08A559AE"/>
    <w:rsid w:val="08B26705"/>
    <w:rsid w:val="08B40D05"/>
    <w:rsid w:val="08B81396"/>
    <w:rsid w:val="08C85CAF"/>
    <w:rsid w:val="08D476C7"/>
    <w:rsid w:val="08D53CAB"/>
    <w:rsid w:val="08D66A59"/>
    <w:rsid w:val="08D71E39"/>
    <w:rsid w:val="08D9581C"/>
    <w:rsid w:val="08DB601C"/>
    <w:rsid w:val="08DC2E92"/>
    <w:rsid w:val="08DC3E7B"/>
    <w:rsid w:val="08EB0353"/>
    <w:rsid w:val="08EB3351"/>
    <w:rsid w:val="08EF1882"/>
    <w:rsid w:val="08EF32AA"/>
    <w:rsid w:val="08FD6050"/>
    <w:rsid w:val="09056A19"/>
    <w:rsid w:val="09066D87"/>
    <w:rsid w:val="09151D99"/>
    <w:rsid w:val="09170094"/>
    <w:rsid w:val="09271992"/>
    <w:rsid w:val="09272062"/>
    <w:rsid w:val="092954C6"/>
    <w:rsid w:val="092D69D8"/>
    <w:rsid w:val="093833DB"/>
    <w:rsid w:val="09402310"/>
    <w:rsid w:val="09410B81"/>
    <w:rsid w:val="0941450A"/>
    <w:rsid w:val="0946526B"/>
    <w:rsid w:val="094912F3"/>
    <w:rsid w:val="094E49E2"/>
    <w:rsid w:val="0952086F"/>
    <w:rsid w:val="09527A93"/>
    <w:rsid w:val="09570690"/>
    <w:rsid w:val="095D2626"/>
    <w:rsid w:val="09661DEE"/>
    <w:rsid w:val="0966450A"/>
    <w:rsid w:val="09666696"/>
    <w:rsid w:val="0967792E"/>
    <w:rsid w:val="096A3713"/>
    <w:rsid w:val="096D3DE7"/>
    <w:rsid w:val="096D6D31"/>
    <w:rsid w:val="096F002D"/>
    <w:rsid w:val="09720F2F"/>
    <w:rsid w:val="09722E9E"/>
    <w:rsid w:val="09725495"/>
    <w:rsid w:val="09730A6F"/>
    <w:rsid w:val="0979651B"/>
    <w:rsid w:val="097A649E"/>
    <w:rsid w:val="098A59A3"/>
    <w:rsid w:val="098F33C5"/>
    <w:rsid w:val="099029F0"/>
    <w:rsid w:val="09936E23"/>
    <w:rsid w:val="09942C57"/>
    <w:rsid w:val="09957D86"/>
    <w:rsid w:val="0996495E"/>
    <w:rsid w:val="09966115"/>
    <w:rsid w:val="09987FD5"/>
    <w:rsid w:val="099A2588"/>
    <w:rsid w:val="099F41BF"/>
    <w:rsid w:val="09A41B44"/>
    <w:rsid w:val="09A45552"/>
    <w:rsid w:val="09A514F7"/>
    <w:rsid w:val="09A6265B"/>
    <w:rsid w:val="09A80439"/>
    <w:rsid w:val="09AA756C"/>
    <w:rsid w:val="09AE7223"/>
    <w:rsid w:val="09C10A63"/>
    <w:rsid w:val="09C212F2"/>
    <w:rsid w:val="09C524ED"/>
    <w:rsid w:val="09CC19B3"/>
    <w:rsid w:val="09CC4C39"/>
    <w:rsid w:val="09D144C4"/>
    <w:rsid w:val="09D21244"/>
    <w:rsid w:val="09D670D1"/>
    <w:rsid w:val="09D85560"/>
    <w:rsid w:val="09E37DF5"/>
    <w:rsid w:val="09EC104F"/>
    <w:rsid w:val="09EC1555"/>
    <w:rsid w:val="09F07F08"/>
    <w:rsid w:val="09F37073"/>
    <w:rsid w:val="09F6001C"/>
    <w:rsid w:val="09F679FF"/>
    <w:rsid w:val="09F75C16"/>
    <w:rsid w:val="09F77C68"/>
    <w:rsid w:val="09FB2BC5"/>
    <w:rsid w:val="0A006AB3"/>
    <w:rsid w:val="0A020654"/>
    <w:rsid w:val="0A0C319D"/>
    <w:rsid w:val="0A192E2F"/>
    <w:rsid w:val="0A1B2C73"/>
    <w:rsid w:val="0A1D7EF8"/>
    <w:rsid w:val="0A231AA5"/>
    <w:rsid w:val="0A2C0B05"/>
    <w:rsid w:val="0A2E025F"/>
    <w:rsid w:val="0A33328B"/>
    <w:rsid w:val="0A360B6E"/>
    <w:rsid w:val="0A3C436B"/>
    <w:rsid w:val="0A3E1512"/>
    <w:rsid w:val="0A411CC7"/>
    <w:rsid w:val="0A426492"/>
    <w:rsid w:val="0A440B2C"/>
    <w:rsid w:val="0A4D6D6D"/>
    <w:rsid w:val="0A5433CB"/>
    <w:rsid w:val="0A550915"/>
    <w:rsid w:val="0A555B00"/>
    <w:rsid w:val="0A5A3A55"/>
    <w:rsid w:val="0A5B0357"/>
    <w:rsid w:val="0A615441"/>
    <w:rsid w:val="0A616EDB"/>
    <w:rsid w:val="0A673C3F"/>
    <w:rsid w:val="0A6C32DA"/>
    <w:rsid w:val="0A706714"/>
    <w:rsid w:val="0A762AD4"/>
    <w:rsid w:val="0A785B82"/>
    <w:rsid w:val="0A7E7613"/>
    <w:rsid w:val="0A7F62E6"/>
    <w:rsid w:val="0A851B82"/>
    <w:rsid w:val="0A882AB7"/>
    <w:rsid w:val="0A887F7C"/>
    <w:rsid w:val="0A8A2BD2"/>
    <w:rsid w:val="0A8B038E"/>
    <w:rsid w:val="0A8D2887"/>
    <w:rsid w:val="0A900BD7"/>
    <w:rsid w:val="0A9154FB"/>
    <w:rsid w:val="0A937603"/>
    <w:rsid w:val="0A937C11"/>
    <w:rsid w:val="0A970026"/>
    <w:rsid w:val="0A987365"/>
    <w:rsid w:val="0A9F5942"/>
    <w:rsid w:val="0AA51633"/>
    <w:rsid w:val="0AA91926"/>
    <w:rsid w:val="0AAA4FA4"/>
    <w:rsid w:val="0AAB54D4"/>
    <w:rsid w:val="0AAD1B25"/>
    <w:rsid w:val="0AAE213E"/>
    <w:rsid w:val="0AB2168A"/>
    <w:rsid w:val="0AB51F74"/>
    <w:rsid w:val="0AB66811"/>
    <w:rsid w:val="0AC60A55"/>
    <w:rsid w:val="0AC65944"/>
    <w:rsid w:val="0ACC64CF"/>
    <w:rsid w:val="0AD75200"/>
    <w:rsid w:val="0AEA1D1E"/>
    <w:rsid w:val="0AEE23D6"/>
    <w:rsid w:val="0AF10CC0"/>
    <w:rsid w:val="0AF62CD9"/>
    <w:rsid w:val="0AFE7324"/>
    <w:rsid w:val="0B017E54"/>
    <w:rsid w:val="0B0878AC"/>
    <w:rsid w:val="0B0F71F2"/>
    <w:rsid w:val="0B146762"/>
    <w:rsid w:val="0B187E76"/>
    <w:rsid w:val="0B1A65C7"/>
    <w:rsid w:val="0B1F2676"/>
    <w:rsid w:val="0B2A6A79"/>
    <w:rsid w:val="0B386EC1"/>
    <w:rsid w:val="0B3C06B9"/>
    <w:rsid w:val="0B420B19"/>
    <w:rsid w:val="0B4F7E63"/>
    <w:rsid w:val="0B592437"/>
    <w:rsid w:val="0B5A6300"/>
    <w:rsid w:val="0B5B0855"/>
    <w:rsid w:val="0B6C6E7D"/>
    <w:rsid w:val="0B717D32"/>
    <w:rsid w:val="0B7B7E7E"/>
    <w:rsid w:val="0B81588A"/>
    <w:rsid w:val="0B825253"/>
    <w:rsid w:val="0B865A0C"/>
    <w:rsid w:val="0B875C98"/>
    <w:rsid w:val="0B8F37BC"/>
    <w:rsid w:val="0B9311B7"/>
    <w:rsid w:val="0B9375CD"/>
    <w:rsid w:val="0B991D09"/>
    <w:rsid w:val="0B9F1873"/>
    <w:rsid w:val="0BA91349"/>
    <w:rsid w:val="0BAA44B5"/>
    <w:rsid w:val="0BAC3D49"/>
    <w:rsid w:val="0BB34D19"/>
    <w:rsid w:val="0BB8106C"/>
    <w:rsid w:val="0BC30AB0"/>
    <w:rsid w:val="0BC3408F"/>
    <w:rsid w:val="0BD72F76"/>
    <w:rsid w:val="0BDD1826"/>
    <w:rsid w:val="0BDF063D"/>
    <w:rsid w:val="0BE108ED"/>
    <w:rsid w:val="0BE52263"/>
    <w:rsid w:val="0BEA673C"/>
    <w:rsid w:val="0BEB73FB"/>
    <w:rsid w:val="0BF94EB2"/>
    <w:rsid w:val="0BFF5E7C"/>
    <w:rsid w:val="0C0521C9"/>
    <w:rsid w:val="0C0523F5"/>
    <w:rsid w:val="0C0C2F5A"/>
    <w:rsid w:val="0C105115"/>
    <w:rsid w:val="0C124CC6"/>
    <w:rsid w:val="0C1445DB"/>
    <w:rsid w:val="0C150D20"/>
    <w:rsid w:val="0C19319B"/>
    <w:rsid w:val="0C2516E0"/>
    <w:rsid w:val="0C2C02B0"/>
    <w:rsid w:val="0C2C0CF4"/>
    <w:rsid w:val="0C2C2B71"/>
    <w:rsid w:val="0C332C04"/>
    <w:rsid w:val="0C352A43"/>
    <w:rsid w:val="0C3A55CB"/>
    <w:rsid w:val="0C4072B2"/>
    <w:rsid w:val="0C414412"/>
    <w:rsid w:val="0C4503AC"/>
    <w:rsid w:val="0C4A3CB6"/>
    <w:rsid w:val="0C4E2708"/>
    <w:rsid w:val="0C52292D"/>
    <w:rsid w:val="0C544F43"/>
    <w:rsid w:val="0C577E78"/>
    <w:rsid w:val="0C5907EC"/>
    <w:rsid w:val="0C5E3CF1"/>
    <w:rsid w:val="0C626144"/>
    <w:rsid w:val="0C68246F"/>
    <w:rsid w:val="0C6C40F7"/>
    <w:rsid w:val="0C6C5FED"/>
    <w:rsid w:val="0C6D3B6E"/>
    <w:rsid w:val="0C6E6F26"/>
    <w:rsid w:val="0C7340F3"/>
    <w:rsid w:val="0C7954D6"/>
    <w:rsid w:val="0C802762"/>
    <w:rsid w:val="0C841314"/>
    <w:rsid w:val="0C8633B4"/>
    <w:rsid w:val="0C89023A"/>
    <w:rsid w:val="0C905166"/>
    <w:rsid w:val="0C93515B"/>
    <w:rsid w:val="0C9461AC"/>
    <w:rsid w:val="0C9475F1"/>
    <w:rsid w:val="0CA35382"/>
    <w:rsid w:val="0CAA6FE6"/>
    <w:rsid w:val="0CAB03EF"/>
    <w:rsid w:val="0CAB3C0C"/>
    <w:rsid w:val="0CB33DBB"/>
    <w:rsid w:val="0CB754F8"/>
    <w:rsid w:val="0CBE0832"/>
    <w:rsid w:val="0CBE4B43"/>
    <w:rsid w:val="0CC91F93"/>
    <w:rsid w:val="0CCA0D2B"/>
    <w:rsid w:val="0CCC6655"/>
    <w:rsid w:val="0CCE710D"/>
    <w:rsid w:val="0CCF4A17"/>
    <w:rsid w:val="0CD11184"/>
    <w:rsid w:val="0CD64B8B"/>
    <w:rsid w:val="0CDB2E8E"/>
    <w:rsid w:val="0CDB7A55"/>
    <w:rsid w:val="0CDD420F"/>
    <w:rsid w:val="0CEE0B42"/>
    <w:rsid w:val="0CEF752B"/>
    <w:rsid w:val="0CF93B46"/>
    <w:rsid w:val="0CFA0C56"/>
    <w:rsid w:val="0D005950"/>
    <w:rsid w:val="0D044436"/>
    <w:rsid w:val="0D085ADD"/>
    <w:rsid w:val="0D0A367B"/>
    <w:rsid w:val="0D133A04"/>
    <w:rsid w:val="0D137DD3"/>
    <w:rsid w:val="0D1416B4"/>
    <w:rsid w:val="0D196D1F"/>
    <w:rsid w:val="0D2B017D"/>
    <w:rsid w:val="0D354364"/>
    <w:rsid w:val="0D466824"/>
    <w:rsid w:val="0D472F27"/>
    <w:rsid w:val="0D476494"/>
    <w:rsid w:val="0D487943"/>
    <w:rsid w:val="0D497900"/>
    <w:rsid w:val="0D5171D5"/>
    <w:rsid w:val="0D562CB3"/>
    <w:rsid w:val="0D5672CE"/>
    <w:rsid w:val="0D5832A9"/>
    <w:rsid w:val="0D5A6039"/>
    <w:rsid w:val="0D5E15D8"/>
    <w:rsid w:val="0D6022E5"/>
    <w:rsid w:val="0D6269E3"/>
    <w:rsid w:val="0D6359BA"/>
    <w:rsid w:val="0D6A0DE0"/>
    <w:rsid w:val="0D6C6655"/>
    <w:rsid w:val="0D6F4ED7"/>
    <w:rsid w:val="0D764711"/>
    <w:rsid w:val="0D816FC3"/>
    <w:rsid w:val="0D827744"/>
    <w:rsid w:val="0D8834AD"/>
    <w:rsid w:val="0D8A145F"/>
    <w:rsid w:val="0D8A4D93"/>
    <w:rsid w:val="0D8E2A9D"/>
    <w:rsid w:val="0D900FE2"/>
    <w:rsid w:val="0D930B5E"/>
    <w:rsid w:val="0D933682"/>
    <w:rsid w:val="0D93500D"/>
    <w:rsid w:val="0D93545C"/>
    <w:rsid w:val="0D93583A"/>
    <w:rsid w:val="0D982FCF"/>
    <w:rsid w:val="0D9F15B2"/>
    <w:rsid w:val="0DA56ACA"/>
    <w:rsid w:val="0DB20F9A"/>
    <w:rsid w:val="0DB652E1"/>
    <w:rsid w:val="0DB92DA5"/>
    <w:rsid w:val="0DBA7200"/>
    <w:rsid w:val="0DBD04D8"/>
    <w:rsid w:val="0DC03ACB"/>
    <w:rsid w:val="0DCD0121"/>
    <w:rsid w:val="0DD61C08"/>
    <w:rsid w:val="0DDB7660"/>
    <w:rsid w:val="0DE5172F"/>
    <w:rsid w:val="0DE94F53"/>
    <w:rsid w:val="0DEA2CDC"/>
    <w:rsid w:val="0DEC74FD"/>
    <w:rsid w:val="0DED6692"/>
    <w:rsid w:val="0DF073EC"/>
    <w:rsid w:val="0DF423BB"/>
    <w:rsid w:val="0DF92B26"/>
    <w:rsid w:val="0DFB76DC"/>
    <w:rsid w:val="0DFE23D3"/>
    <w:rsid w:val="0DFF4075"/>
    <w:rsid w:val="0E0009AA"/>
    <w:rsid w:val="0E152204"/>
    <w:rsid w:val="0E175B5D"/>
    <w:rsid w:val="0E21575B"/>
    <w:rsid w:val="0E2367B3"/>
    <w:rsid w:val="0E245572"/>
    <w:rsid w:val="0E2A7A25"/>
    <w:rsid w:val="0E302670"/>
    <w:rsid w:val="0E387AE3"/>
    <w:rsid w:val="0E3D5F94"/>
    <w:rsid w:val="0E4674DC"/>
    <w:rsid w:val="0E4859A2"/>
    <w:rsid w:val="0E4D7959"/>
    <w:rsid w:val="0E5034A0"/>
    <w:rsid w:val="0E522428"/>
    <w:rsid w:val="0E6E7057"/>
    <w:rsid w:val="0E70139F"/>
    <w:rsid w:val="0E704BCE"/>
    <w:rsid w:val="0E7142A8"/>
    <w:rsid w:val="0E7A535B"/>
    <w:rsid w:val="0E7C0E22"/>
    <w:rsid w:val="0E7F1F65"/>
    <w:rsid w:val="0E802730"/>
    <w:rsid w:val="0E845A59"/>
    <w:rsid w:val="0E853B47"/>
    <w:rsid w:val="0E873E2A"/>
    <w:rsid w:val="0E883C68"/>
    <w:rsid w:val="0E89322A"/>
    <w:rsid w:val="0E8D3DC5"/>
    <w:rsid w:val="0E8E371A"/>
    <w:rsid w:val="0E94303B"/>
    <w:rsid w:val="0E9478AD"/>
    <w:rsid w:val="0E961883"/>
    <w:rsid w:val="0E9C65E3"/>
    <w:rsid w:val="0E9D2EE9"/>
    <w:rsid w:val="0EA541CC"/>
    <w:rsid w:val="0EB41D91"/>
    <w:rsid w:val="0EBF365F"/>
    <w:rsid w:val="0EC71750"/>
    <w:rsid w:val="0EC970EA"/>
    <w:rsid w:val="0ECB4111"/>
    <w:rsid w:val="0ECC1E93"/>
    <w:rsid w:val="0ECE1DDB"/>
    <w:rsid w:val="0ED526DE"/>
    <w:rsid w:val="0ED54E3A"/>
    <w:rsid w:val="0ED917CF"/>
    <w:rsid w:val="0EE255F2"/>
    <w:rsid w:val="0EE41B12"/>
    <w:rsid w:val="0EE658D8"/>
    <w:rsid w:val="0EEA0283"/>
    <w:rsid w:val="0EEB4406"/>
    <w:rsid w:val="0EEC6648"/>
    <w:rsid w:val="0EEE38D7"/>
    <w:rsid w:val="0EEE6E01"/>
    <w:rsid w:val="0EF31CA3"/>
    <w:rsid w:val="0EF70BC3"/>
    <w:rsid w:val="0EF91C12"/>
    <w:rsid w:val="0EFA251D"/>
    <w:rsid w:val="0EFA292C"/>
    <w:rsid w:val="0F03264C"/>
    <w:rsid w:val="0F0617DF"/>
    <w:rsid w:val="0F064543"/>
    <w:rsid w:val="0F066EF2"/>
    <w:rsid w:val="0F09513D"/>
    <w:rsid w:val="0F0E2D9C"/>
    <w:rsid w:val="0F0E35A3"/>
    <w:rsid w:val="0F0F68CE"/>
    <w:rsid w:val="0F122683"/>
    <w:rsid w:val="0F142DB0"/>
    <w:rsid w:val="0F1554D7"/>
    <w:rsid w:val="0F1B7D00"/>
    <w:rsid w:val="0F392BA4"/>
    <w:rsid w:val="0F3A0EEB"/>
    <w:rsid w:val="0F3A3A27"/>
    <w:rsid w:val="0F3A4FCB"/>
    <w:rsid w:val="0F3A7103"/>
    <w:rsid w:val="0F3E099E"/>
    <w:rsid w:val="0F417EA9"/>
    <w:rsid w:val="0F435E5B"/>
    <w:rsid w:val="0F4A3658"/>
    <w:rsid w:val="0F5152EB"/>
    <w:rsid w:val="0F541FEE"/>
    <w:rsid w:val="0F5470BF"/>
    <w:rsid w:val="0F5575B0"/>
    <w:rsid w:val="0F5E380B"/>
    <w:rsid w:val="0F605169"/>
    <w:rsid w:val="0F6463BF"/>
    <w:rsid w:val="0F65782D"/>
    <w:rsid w:val="0F6F41B2"/>
    <w:rsid w:val="0F711915"/>
    <w:rsid w:val="0F7306FB"/>
    <w:rsid w:val="0F7464E2"/>
    <w:rsid w:val="0F7747A7"/>
    <w:rsid w:val="0F7B3887"/>
    <w:rsid w:val="0F8130CF"/>
    <w:rsid w:val="0F82674B"/>
    <w:rsid w:val="0F83751A"/>
    <w:rsid w:val="0F844A3D"/>
    <w:rsid w:val="0F8659AF"/>
    <w:rsid w:val="0F8762F3"/>
    <w:rsid w:val="0F917F4A"/>
    <w:rsid w:val="0F944B45"/>
    <w:rsid w:val="0F972FAC"/>
    <w:rsid w:val="0F9B50CF"/>
    <w:rsid w:val="0F9C1178"/>
    <w:rsid w:val="0FA5706F"/>
    <w:rsid w:val="0FA768C0"/>
    <w:rsid w:val="0FAF472E"/>
    <w:rsid w:val="0FB3770C"/>
    <w:rsid w:val="0FC27CA2"/>
    <w:rsid w:val="0FC3720C"/>
    <w:rsid w:val="0FC82B35"/>
    <w:rsid w:val="0FCA3169"/>
    <w:rsid w:val="0FCB625E"/>
    <w:rsid w:val="0FCB7562"/>
    <w:rsid w:val="0FCD7C5A"/>
    <w:rsid w:val="0FCF5FE3"/>
    <w:rsid w:val="0FD16934"/>
    <w:rsid w:val="0FD84D66"/>
    <w:rsid w:val="0FD90065"/>
    <w:rsid w:val="0FDA2B59"/>
    <w:rsid w:val="0FDB47CC"/>
    <w:rsid w:val="0FDC5080"/>
    <w:rsid w:val="0FDF3E8F"/>
    <w:rsid w:val="0FE234F6"/>
    <w:rsid w:val="0FE914C7"/>
    <w:rsid w:val="0FF503AB"/>
    <w:rsid w:val="0FF82F78"/>
    <w:rsid w:val="0FF875C0"/>
    <w:rsid w:val="0FF955A6"/>
    <w:rsid w:val="0FFB1117"/>
    <w:rsid w:val="0FFB5CE6"/>
    <w:rsid w:val="10043429"/>
    <w:rsid w:val="100F4DB9"/>
    <w:rsid w:val="10113172"/>
    <w:rsid w:val="10117BD7"/>
    <w:rsid w:val="10157E89"/>
    <w:rsid w:val="101752C2"/>
    <w:rsid w:val="10180DD4"/>
    <w:rsid w:val="101E50D4"/>
    <w:rsid w:val="102312B2"/>
    <w:rsid w:val="10245565"/>
    <w:rsid w:val="102C50D0"/>
    <w:rsid w:val="102F3266"/>
    <w:rsid w:val="103034CC"/>
    <w:rsid w:val="10313D95"/>
    <w:rsid w:val="1032412B"/>
    <w:rsid w:val="103732CF"/>
    <w:rsid w:val="103A00BD"/>
    <w:rsid w:val="103A48A5"/>
    <w:rsid w:val="103B44B3"/>
    <w:rsid w:val="103C1677"/>
    <w:rsid w:val="10432CE0"/>
    <w:rsid w:val="10460DA5"/>
    <w:rsid w:val="10466716"/>
    <w:rsid w:val="104D07E1"/>
    <w:rsid w:val="10504590"/>
    <w:rsid w:val="10583F25"/>
    <w:rsid w:val="10587D81"/>
    <w:rsid w:val="105D0057"/>
    <w:rsid w:val="10633A9B"/>
    <w:rsid w:val="106607BD"/>
    <w:rsid w:val="10686C6A"/>
    <w:rsid w:val="10772BA4"/>
    <w:rsid w:val="10865D20"/>
    <w:rsid w:val="108C50BF"/>
    <w:rsid w:val="108D27C1"/>
    <w:rsid w:val="109B2FCF"/>
    <w:rsid w:val="10A77CD7"/>
    <w:rsid w:val="10A85506"/>
    <w:rsid w:val="10AB7444"/>
    <w:rsid w:val="10B6538C"/>
    <w:rsid w:val="10BA2A48"/>
    <w:rsid w:val="10BA4CB3"/>
    <w:rsid w:val="10C22A13"/>
    <w:rsid w:val="10C43E48"/>
    <w:rsid w:val="10C77F65"/>
    <w:rsid w:val="10C90E33"/>
    <w:rsid w:val="10CB78D2"/>
    <w:rsid w:val="10D54574"/>
    <w:rsid w:val="10D60686"/>
    <w:rsid w:val="10DD3FE3"/>
    <w:rsid w:val="10DE6214"/>
    <w:rsid w:val="10EE05DF"/>
    <w:rsid w:val="10EF3357"/>
    <w:rsid w:val="10F57ED3"/>
    <w:rsid w:val="10FA0E00"/>
    <w:rsid w:val="11011816"/>
    <w:rsid w:val="110272F1"/>
    <w:rsid w:val="110A7731"/>
    <w:rsid w:val="110F7267"/>
    <w:rsid w:val="111324F5"/>
    <w:rsid w:val="111366F2"/>
    <w:rsid w:val="111926DC"/>
    <w:rsid w:val="111A5BE2"/>
    <w:rsid w:val="11232A6D"/>
    <w:rsid w:val="1126015C"/>
    <w:rsid w:val="11261A83"/>
    <w:rsid w:val="112A5623"/>
    <w:rsid w:val="112D267D"/>
    <w:rsid w:val="114034C6"/>
    <w:rsid w:val="11427819"/>
    <w:rsid w:val="11441CE9"/>
    <w:rsid w:val="11451E71"/>
    <w:rsid w:val="11452FF6"/>
    <w:rsid w:val="114B029E"/>
    <w:rsid w:val="114E26D2"/>
    <w:rsid w:val="11501936"/>
    <w:rsid w:val="11506138"/>
    <w:rsid w:val="115119A9"/>
    <w:rsid w:val="11544EA4"/>
    <w:rsid w:val="115C2DFD"/>
    <w:rsid w:val="1166194E"/>
    <w:rsid w:val="116F58D0"/>
    <w:rsid w:val="11715830"/>
    <w:rsid w:val="117C309E"/>
    <w:rsid w:val="118E6C43"/>
    <w:rsid w:val="118F6F94"/>
    <w:rsid w:val="118F7EE4"/>
    <w:rsid w:val="119F3FF5"/>
    <w:rsid w:val="11A05AB9"/>
    <w:rsid w:val="11A56FFC"/>
    <w:rsid w:val="11A60330"/>
    <w:rsid w:val="11A7551F"/>
    <w:rsid w:val="11A7680E"/>
    <w:rsid w:val="11B03046"/>
    <w:rsid w:val="11BA104C"/>
    <w:rsid w:val="11C06D46"/>
    <w:rsid w:val="11D325A8"/>
    <w:rsid w:val="11D91FF3"/>
    <w:rsid w:val="11D94561"/>
    <w:rsid w:val="11DD73F0"/>
    <w:rsid w:val="11E17F9A"/>
    <w:rsid w:val="11E43D53"/>
    <w:rsid w:val="11E57758"/>
    <w:rsid w:val="11ED1A6A"/>
    <w:rsid w:val="11F35D43"/>
    <w:rsid w:val="11F4425C"/>
    <w:rsid w:val="11F77BF9"/>
    <w:rsid w:val="120120CF"/>
    <w:rsid w:val="12021FFC"/>
    <w:rsid w:val="12042505"/>
    <w:rsid w:val="12080ACB"/>
    <w:rsid w:val="1209591E"/>
    <w:rsid w:val="12095DFC"/>
    <w:rsid w:val="120A0758"/>
    <w:rsid w:val="120B4339"/>
    <w:rsid w:val="120C63C8"/>
    <w:rsid w:val="120F434B"/>
    <w:rsid w:val="1214041B"/>
    <w:rsid w:val="121F07DC"/>
    <w:rsid w:val="1222060D"/>
    <w:rsid w:val="1225380A"/>
    <w:rsid w:val="122B1B56"/>
    <w:rsid w:val="122E4DD6"/>
    <w:rsid w:val="12342B63"/>
    <w:rsid w:val="12373052"/>
    <w:rsid w:val="123A0EE7"/>
    <w:rsid w:val="12406223"/>
    <w:rsid w:val="1242176A"/>
    <w:rsid w:val="12492844"/>
    <w:rsid w:val="124D605F"/>
    <w:rsid w:val="124E3ADA"/>
    <w:rsid w:val="1251671E"/>
    <w:rsid w:val="12630356"/>
    <w:rsid w:val="12680B90"/>
    <w:rsid w:val="126D4CC7"/>
    <w:rsid w:val="126E5C0D"/>
    <w:rsid w:val="127101F6"/>
    <w:rsid w:val="127C41AB"/>
    <w:rsid w:val="12817345"/>
    <w:rsid w:val="128319FF"/>
    <w:rsid w:val="128451EA"/>
    <w:rsid w:val="128659C5"/>
    <w:rsid w:val="128663CD"/>
    <w:rsid w:val="1289512F"/>
    <w:rsid w:val="12897106"/>
    <w:rsid w:val="128B5A70"/>
    <w:rsid w:val="1295598B"/>
    <w:rsid w:val="12984E59"/>
    <w:rsid w:val="129A6CC3"/>
    <w:rsid w:val="12A03173"/>
    <w:rsid w:val="12B10EFD"/>
    <w:rsid w:val="12B1666D"/>
    <w:rsid w:val="12BC7932"/>
    <w:rsid w:val="12C50ADF"/>
    <w:rsid w:val="12C516A9"/>
    <w:rsid w:val="12C51CF0"/>
    <w:rsid w:val="12C64799"/>
    <w:rsid w:val="12C702EE"/>
    <w:rsid w:val="12C808EE"/>
    <w:rsid w:val="12D13828"/>
    <w:rsid w:val="12E256A4"/>
    <w:rsid w:val="12E4264C"/>
    <w:rsid w:val="12E44FE1"/>
    <w:rsid w:val="12E945AE"/>
    <w:rsid w:val="12F90C93"/>
    <w:rsid w:val="12FC1EBA"/>
    <w:rsid w:val="12FE2AED"/>
    <w:rsid w:val="1304550E"/>
    <w:rsid w:val="130776B0"/>
    <w:rsid w:val="130A1A44"/>
    <w:rsid w:val="130C2920"/>
    <w:rsid w:val="13164C2D"/>
    <w:rsid w:val="131827A7"/>
    <w:rsid w:val="131B0438"/>
    <w:rsid w:val="131C1F60"/>
    <w:rsid w:val="131F1DFF"/>
    <w:rsid w:val="13231100"/>
    <w:rsid w:val="13286921"/>
    <w:rsid w:val="13294640"/>
    <w:rsid w:val="132B2716"/>
    <w:rsid w:val="132C5649"/>
    <w:rsid w:val="132D5EED"/>
    <w:rsid w:val="134100D0"/>
    <w:rsid w:val="13494A6D"/>
    <w:rsid w:val="134D2F7E"/>
    <w:rsid w:val="13536B1D"/>
    <w:rsid w:val="135D6118"/>
    <w:rsid w:val="135F33DC"/>
    <w:rsid w:val="13605C8F"/>
    <w:rsid w:val="13643351"/>
    <w:rsid w:val="13653193"/>
    <w:rsid w:val="136F17A9"/>
    <w:rsid w:val="137354DA"/>
    <w:rsid w:val="13764403"/>
    <w:rsid w:val="137E10FF"/>
    <w:rsid w:val="13843C78"/>
    <w:rsid w:val="1385054A"/>
    <w:rsid w:val="13864A95"/>
    <w:rsid w:val="13885CCD"/>
    <w:rsid w:val="138F37C6"/>
    <w:rsid w:val="139308A3"/>
    <w:rsid w:val="13964162"/>
    <w:rsid w:val="139941DE"/>
    <w:rsid w:val="139A3BA8"/>
    <w:rsid w:val="139D6B36"/>
    <w:rsid w:val="13A12C42"/>
    <w:rsid w:val="13A16C03"/>
    <w:rsid w:val="13B068E2"/>
    <w:rsid w:val="13B11F42"/>
    <w:rsid w:val="13BD5C07"/>
    <w:rsid w:val="13C37A72"/>
    <w:rsid w:val="13C46F40"/>
    <w:rsid w:val="13C73AB5"/>
    <w:rsid w:val="13C871FC"/>
    <w:rsid w:val="13C96471"/>
    <w:rsid w:val="13CA22A7"/>
    <w:rsid w:val="13CC30DE"/>
    <w:rsid w:val="13CF4645"/>
    <w:rsid w:val="13D41BA4"/>
    <w:rsid w:val="13D660CF"/>
    <w:rsid w:val="13DC07E7"/>
    <w:rsid w:val="13E0234C"/>
    <w:rsid w:val="13E54E34"/>
    <w:rsid w:val="13ED6B84"/>
    <w:rsid w:val="13F07B66"/>
    <w:rsid w:val="13F07D4C"/>
    <w:rsid w:val="13F2603E"/>
    <w:rsid w:val="140213CF"/>
    <w:rsid w:val="14052D5C"/>
    <w:rsid w:val="14062653"/>
    <w:rsid w:val="1406331C"/>
    <w:rsid w:val="140B0152"/>
    <w:rsid w:val="140B4A7A"/>
    <w:rsid w:val="14137160"/>
    <w:rsid w:val="14183EC5"/>
    <w:rsid w:val="1418506D"/>
    <w:rsid w:val="141D3368"/>
    <w:rsid w:val="141D6D38"/>
    <w:rsid w:val="1422206D"/>
    <w:rsid w:val="14257293"/>
    <w:rsid w:val="142951BF"/>
    <w:rsid w:val="142E1CD6"/>
    <w:rsid w:val="142F703A"/>
    <w:rsid w:val="143318DF"/>
    <w:rsid w:val="14344AF7"/>
    <w:rsid w:val="143D05D9"/>
    <w:rsid w:val="143E382D"/>
    <w:rsid w:val="143F3DCD"/>
    <w:rsid w:val="143F65D4"/>
    <w:rsid w:val="1450236A"/>
    <w:rsid w:val="1456789F"/>
    <w:rsid w:val="145C4D24"/>
    <w:rsid w:val="14716B3D"/>
    <w:rsid w:val="14800E5F"/>
    <w:rsid w:val="148259DE"/>
    <w:rsid w:val="14841E69"/>
    <w:rsid w:val="14902626"/>
    <w:rsid w:val="1499270B"/>
    <w:rsid w:val="14993B8B"/>
    <w:rsid w:val="14995B3F"/>
    <w:rsid w:val="14A47B8A"/>
    <w:rsid w:val="14A739B6"/>
    <w:rsid w:val="14A83210"/>
    <w:rsid w:val="14AD6BF7"/>
    <w:rsid w:val="14B25D86"/>
    <w:rsid w:val="14B3323F"/>
    <w:rsid w:val="14B60BFB"/>
    <w:rsid w:val="14BE0398"/>
    <w:rsid w:val="14BE19DF"/>
    <w:rsid w:val="14C912D2"/>
    <w:rsid w:val="14CE606D"/>
    <w:rsid w:val="14D9361D"/>
    <w:rsid w:val="14DA403C"/>
    <w:rsid w:val="14DA72B8"/>
    <w:rsid w:val="14DD1CA9"/>
    <w:rsid w:val="14DD7286"/>
    <w:rsid w:val="14E125B2"/>
    <w:rsid w:val="14E26B1E"/>
    <w:rsid w:val="14ED173F"/>
    <w:rsid w:val="14F00421"/>
    <w:rsid w:val="14F46F6A"/>
    <w:rsid w:val="14FB1180"/>
    <w:rsid w:val="14FB4049"/>
    <w:rsid w:val="15045FC7"/>
    <w:rsid w:val="1506029A"/>
    <w:rsid w:val="15062D98"/>
    <w:rsid w:val="15063F40"/>
    <w:rsid w:val="150774A7"/>
    <w:rsid w:val="15081124"/>
    <w:rsid w:val="150D48DA"/>
    <w:rsid w:val="150E0D65"/>
    <w:rsid w:val="151E1A6E"/>
    <w:rsid w:val="15206546"/>
    <w:rsid w:val="15264787"/>
    <w:rsid w:val="152651DF"/>
    <w:rsid w:val="1534314D"/>
    <w:rsid w:val="153B598D"/>
    <w:rsid w:val="153C5521"/>
    <w:rsid w:val="153E24FF"/>
    <w:rsid w:val="153F693C"/>
    <w:rsid w:val="15492542"/>
    <w:rsid w:val="15497B07"/>
    <w:rsid w:val="154B690C"/>
    <w:rsid w:val="154E05A0"/>
    <w:rsid w:val="15511059"/>
    <w:rsid w:val="15530622"/>
    <w:rsid w:val="15541A0E"/>
    <w:rsid w:val="155F4211"/>
    <w:rsid w:val="15600EE0"/>
    <w:rsid w:val="15665A05"/>
    <w:rsid w:val="156D5C06"/>
    <w:rsid w:val="157142A9"/>
    <w:rsid w:val="15722696"/>
    <w:rsid w:val="1578575C"/>
    <w:rsid w:val="15793D5E"/>
    <w:rsid w:val="15816CAC"/>
    <w:rsid w:val="158C3EB1"/>
    <w:rsid w:val="158C7A4C"/>
    <w:rsid w:val="1593304B"/>
    <w:rsid w:val="159C085C"/>
    <w:rsid w:val="15A22C8E"/>
    <w:rsid w:val="15B21510"/>
    <w:rsid w:val="15B65643"/>
    <w:rsid w:val="15BB13F9"/>
    <w:rsid w:val="15BD6C49"/>
    <w:rsid w:val="15BD7DC9"/>
    <w:rsid w:val="15BF5123"/>
    <w:rsid w:val="15C45334"/>
    <w:rsid w:val="15C80014"/>
    <w:rsid w:val="15C80682"/>
    <w:rsid w:val="15D77F07"/>
    <w:rsid w:val="15DA39B3"/>
    <w:rsid w:val="15DF3A65"/>
    <w:rsid w:val="15E63EDD"/>
    <w:rsid w:val="15ED1A1A"/>
    <w:rsid w:val="15EF5C35"/>
    <w:rsid w:val="15EF647A"/>
    <w:rsid w:val="15F2205F"/>
    <w:rsid w:val="15F83D70"/>
    <w:rsid w:val="15FB4C45"/>
    <w:rsid w:val="15FB4F1F"/>
    <w:rsid w:val="15FD50CF"/>
    <w:rsid w:val="15FE75DB"/>
    <w:rsid w:val="16066764"/>
    <w:rsid w:val="160B3B93"/>
    <w:rsid w:val="16133AAC"/>
    <w:rsid w:val="16166F4B"/>
    <w:rsid w:val="161A0111"/>
    <w:rsid w:val="162515CA"/>
    <w:rsid w:val="162547AD"/>
    <w:rsid w:val="16271AD5"/>
    <w:rsid w:val="16276743"/>
    <w:rsid w:val="162955B1"/>
    <w:rsid w:val="162A0AEE"/>
    <w:rsid w:val="162A393C"/>
    <w:rsid w:val="162E123F"/>
    <w:rsid w:val="162E419F"/>
    <w:rsid w:val="16352B0E"/>
    <w:rsid w:val="1636546A"/>
    <w:rsid w:val="16385BA1"/>
    <w:rsid w:val="16396D0A"/>
    <w:rsid w:val="163C2796"/>
    <w:rsid w:val="163D5AC4"/>
    <w:rsid w:val="163E4521"/>
    <w:rsid w:val="16423908"/>
    <w:rsid w:val="164F31F7"/>
    <w:rsid w:val="165610AC"/>
    <w:rsid w:val="16570A45"/>
    <w:rsid w:val="165D09CA"/>
    <w:rsid w:val="165F66C5"/>
    <w:rsid w:val="16603041"/>
    <w:rsid w:val="166062C3"/>
    <w:rsid w:val="16632ED2"/>
    <w:rsid w:val="166B204D"/>
    <w:rsid w:val="166C4595"/>
    <w:rsid w:val="166D2E7D"/>
    <w:rsid w:val="167335FE"/>
    <w:rsid w:val="16767511"/>
    <w:rsid w:val="167719FD"/>
    <w:rsid w:val="16820E6C"/>
    <w:rsid w:val="16821120"/>
    <w:rsid w:val="168E0F22"/>
    <w:rsid w:val="16923F00"/>
    <w:rsid w:val="16942028"/>
    <w:rsid w:val="16953B21"/>
    <w:rsid w:val="16966989"/>
    <w:rsid w:val="169879CC"/>
    <w:rsid w:val="16991DF8"/>
    <w:rsid w:val="16991EA8"/>
    <w:rsid w:val="169B61FD"/>
    <w:rsid w:val="169F0A96"/>
    <w:rsid w:val="169F50B4"/>
    <w:rsid w:val="16A02C50"/>
    <w:rsid w:val="16A31B81"/>
    <w:rsid w:val="16A70986"/>
    <w:rsid w:val="16B01C26"/>
    <w:rsid w:val="16C02F79"/>
    <w:rsid w:val="16C5049D"/>
    <w:rsid w:val="16C73863"/>
    <w:rsid w:val="16C81743"/>
    <w:rsid w:val="16CB7FA8"/>
    <w:rsid w:val="16CD19B0"/>
    <w:rsid w:val="16D519A5"/>
    <w:rsid w:val="16DB2480"/>
    <w:rsid w:val="16DC2542"/>
    <w:rsid w:val="16E0257E"/>
    <w:rsid w:val="16E259DC"/>
    <w:rsid w:val="16E8612E"/>
    <w:rsid w:val="16E8660E"/>
    <w:rsid w:val="16EA1677"/>
    <w:rsid w:val="16EB0076"/>
    <w:rsid w:val="16ED5BE2"/>
    <w:rsid w:val="16F03735"/>
    <w:rsid w:val="16F11AAC"/>
    <w:rsid w:val="16FD1C14"/>
    <w:rsid w:val="16FE2A44"/>
    <w:rsid w:val="17001488"/>
    <w:rsid w:val="1709149F"/>
    <w:rsid w:val="170979B6"/>
    <w:rsid w:val="170E6C90"/>
    <w:rsid w:val="17104FA4"/>
    <w:rsid w:val="17201EC7"/>
    <w:rsid w:val="17205A73"/>
    <w:rsid w:val="17227DFC"/>
    <w:rsid w:val="172A00B8"/>
    <w:rsid w:val="172C20DC"/>
    <w:rsid w:val="172D52B1"/>
    <w:rsid w:val="172F7172"/>
    <w:rsid w:val="1737289F"/>
    <w:rsid w:val="173A3233"/>
    <w:rsid w:val="173B5F05"/>
    <w:rsid w:val="173D3CA7"/>
    <w:rsid w:val="173E23C5"/>
    <w:rsid w:val="173F439E"/>
    <w:rsid w:val="173F5625"/>
    <w:rsid w:val="17433596"/>
    <w:rsid w:val="174A0B5A"/>
    <w:rsid w:val="17590E7F"/>
    <w:rsid w:val="175B1081"/>
    <w:rsid w:val="175C2BCC"/>
    <w:rsid w:val="17665F99"/>
    <w:rsid w:val="176A493D"/>
    <w:rsid w:val="17753D80"/>
    <w:rsid w:val="17774B19"/>
    <w:rsid w:val="177750D5"/>
    <w:rsid w:val="17775C53"/>
    <w:rsid w:val="177B5B88"/>
    <w:rsid w:val="177C2725"/>
    <w:rsid w:val="178058B9"/>
    <w:rsid w:val="17807471"/>
    <w:rsid w:val="1786688E"/>
    <w:rsid w:val="178C6515"/>
    <w:rsid w:val="17945992"/>
    <w:rsid w:val="1796608A"/>
    <w:rsid w:val="179848ED"/>
    <w:rsid w:val="17A209ED"/>
    <w:rsid w:val="17A46DAA"/>
    <w:rsid w:val="17A9592D"/>
    <w:rsid w:val="17AB5408"/>
    <w:rsid w:val="17AE1AA1"/>
    <w:rsid w:val="17B115CE"/>
    <w:rsid w:val="17B14132"/>
    <w:rsid w:val="17B65BB2"/>
    <w:rsid w:val="17B71616"/>
    <w:rsid w:val="17BF0CC2"/>
    <w:rsid w:val="17C27914"/>
    <w:rsid w:val="17C3444C"/>
    <w:rsid w:val="17CA6B64"/>
    <w:rsid w:val="17CC40F0"/>
    <w:rsid w:val="17CC5E89"/>
    <w:rsid w:val="17D452D8"/>
    <w:rsid w:val="17D51581"/>
    <w:rsid w:val="17D55F41"/>
    <w:rsid w:val="17DE2C66"/>
    <w:rsid w:val="17E3577C"/>
    <w:rsid w:val="17EE5EF5"/>
    <w:rsid w:val="17F21F1C"/>
    <w:rsid w:val="17F308DE"/>
    <w:rsid w:val="17F623B9"/>
    <w:rsid w:val="17FC6266"/>
    <w:rsid w:val="17FF1529"/>
    <w:rsid w:val="1800608F"/>
    <w:rsid w:val="18020580"/>
    <w:rsid w:val="1802742A"/>
    <w:rsid w:val="181122F3"/>
    <w:rsid w:val="18131086"/>
    <w:rsid w:val="1813128A"/>
    <w:rsid w:val="181A4BAC"/>
    <w:rsid w:val="18215D36"/>
    <w:rsid w:val="18267302"/>
    <w:rsid w:val="182F09D7"/>
    <w:rsid w:val="1830213B"/>
    <w:rsid w:val="18307016"/>
    <w:rsid w:val="18326109"/>
    <w:rsid w:val="18354C3B"/>
    <w:rsid w:val="183A015A"/>
    <w:rsid w:val="184444FF"/>
    <w:rsid w:val="18585177"/>
    <w:rsid w:val="185867DB"/>
    <w:rsid w:val="18642735"/>
    <w:rsid w:val="18647C02"/>
    <w:rsid w:val="18664384"/>
    <w:rsid w:val="186672BF"/>
    <w:rsid w:val="1869169B"/>
    <w:rsid w:val="186D3D7D"/>
    <w:rsid w:val="186E37B1"/>
    <w:rsid w:val="18747B10"/>
    <w:rsid w:val="187753A7"/>
    <w:rsid w:val="187842FB"/>
    <w:rsid w:val="18830FBB"/>
    <w:rsid w:val="188D0026"/>
    <w:rsid w:val="188F4DF8"/>
    <w:rsid w:val="189E07BB"/>
    <w:rsid w:val="18A12B91"/>
    <w:rsid w:val="18A91415"/>
    <w:rsid w:val="18AA15E3"/>
    <w:rsid w:val="18AC4F88"/>
    <w:rsid w:val="18AC5945"/>
    <w:rsid w:val="18AD437A"/>
    <w:rsid w:val="18B2558D"/>
    <w:rsid w:val="18B65C54"/>
    <w:rsid w:val="18CD3DB8"/>
    <w:rsid w:val="18CD4F10"/>
    <w:rsid w:val="18CF6849"/>
    <w:rsid w:val="18D07312"/>
    <w:rsid w:val="18D7166E"/>
    <w:rsid w:val="18D75934"/>
    <w:rsid w:val="18D84CAD"/>
    <w:rsid w:val="18DB3BE9"/>
    <w:rsid w:val="18DD3ED4"/>
    <w:rsid w:val="18DE419D"/>
    <w:rsid w:val="18E302E5"/>
    <w:rsid w:val="18E33A71"/>
    <w:rsid w:val="18F021DC"/>
    <w:rsid w:val="18F34EB5"/>
    <w:rsid w:val="18F85E08"/>
    <w:rsid w:val="18FC03F4"/>
    <w:rsid w:val="190236F7"/>
    <w:rsid w:val="19062959"/>
    <w:rsid w:val="191142ED"/>
    <w:rsid w:val="19147C56"/>
    <w:rsid w:val="191762AC"/>
    <w:rsid w:val="191E00E4"/>
    <w:rsid w:val="192A0E83"/>
    <w:rsid w:val="192C7DA3"/>
    <w:rsid w:val="192D142E"/>
    <w:rsid w:val="193909EE"/>
    <w:rsid w:val="193E4FD6"/>
    <w:rsid w:val="1947345D"/>
    <w:rsid w:val="194A5FF7"/>
    <w:rsid w:val="194F07F9"/>
    <w:rsid w:val="194F3E56"/>
    <w:rsid w:val="19535329"/>
    <w:rsid w:val="1955034F"/>
    <w:rsid w:val="195C0714"/>
    <w:rsid w:val="195F0E56"/>
    <w:rsid w:val="196B2FE4"/>
    <w:rsid w:val="19781081"/>
    <w:rsid w:val="197B61B5"/>
    <w:rsid w:val="197C2DDA"/>
    <w:rsid w:val="197C3908"/>
    <w:rsid w:val="197C4A16"/>
    <w:rsid w:val="197D2B20"/>
    <w:rsid w:val="197F28EF"/>
    <w:rsid w:val="19824C5A"/>
    <w:rsid w:val="19892260"/>
    <w:rsid w:val="19A50C9F"/>
    <w:rsid w:val="19AC3FD1"/>
    <w:rsid w:val="19B42C94"/>
    <w:rsid w:val="19B51C68"/>
    <w:rsid w:val="19C7286C"/>
    <w:rsid w:val="19C742D7"/>
    <w:rsid w:val="19C90570"/>
    <w:rsid w:val="19C91A1D"/>
    <w:rsid w:val="19CA1536"/>
    <w:rsid w:val="19CD1636"/>
    <w:rsid w:val="19CD3310"/>
    <w:rsid w:val="19D14648"/>
    <w:rsid w:val="19D162E9"/>
    <w:rsid w:val="19D50938"/>
    <w:rsid w:val="19DC2B84"/>
    <w:rsid w:val="19DC331B"/>
    <w:rsid w:val="19DD2E30"/>
    <w:rsid w:val="19E05A34"/>
    <w:rsid w:val="19E40CA8"/>
    <w:rsid w:val="19EC4496"/>
    <w:rsid w:val="19F35A29"/>
    <w:rsid w:val="19FF27F1"/>
    <w:rsid w:val="1A012714"/>
    <w:rsid w:val="1A0672FF"/>
    <w:rsid w:val="1A13768F"/>
    <w:rsid w:val="1A143326"/>
    <w:rsid w:val="1A171797"/>
    <w:rsid w:val="1A1A1160"/>
    <w:rsid w:val="1A1F3192"/>
    <w:rsid w:val="1A2465EA"/>
    <w:rsid w:val="1A28144A"/>
    <w:rsid w:val="1A28417A"/>
    <w:rsid w:val="1A286749"/>
    <w:rsid w:val="1A290060"/>
    <w:rsid w:val="1A2A110B"/>
    <w:rsid w:val="1A3368CF"/>
    <w:rsid w:val="1A4C726A"/>
    <w:rsid w:val="1A527ED5"/>
    <w:rsid w:val="1A5400CF"/>
    <w:rsid w:val="1A540AF1"/>
    <w:rsid w:val="1A611CCA"/>
    <w:rsid w:val="1A635848"/>
    <w:rsid w:val="1A65028D"/>
    <w:rsid w:val="1A682A7C"/>
    <w:rsid w:val="1A6A0A19"/>
    <w:rsid w:val="1A740FC4"/>
    <w:rsid w:val="1A7B2F1A"/>
    <w:rsid w:val="1A7C51A8"/>
    <w:rsid w:val="1A8018F9"/>
    <w:rsid w:val="1A9355E3"/>
    <w:rsid w:val="1A9A5565"/>
    <w:rsid w:val="1A9B4FE5"/>
    <w:rsid w:val="1A9D4D5B"/>
    <w:rsid w:val="1A9E0E47"/>
    <w:rsid w:val="1AA01F4D"/>
    <w:rsid w:val="1AA54DA8"/>
    <w:rsid w:val="1AA94E21"/>
    <w:rsid w:val="1AAD03B7"/>
    <w:rsid w:val="1AB21DEA"/>
    <w:rsid w:val="1AB57E6E"/>
    <w:rsid w:val="1ABC294A"/>
    <w:rsid w:val="1ABF7D97"/>
    <w:rsid w:val="1AC243B7"/>
    <w:rsid w:val="1AC33C5E"/>
    <w:rsid w:val="1ACA30FB"/>
    <w:rsid w:val="1ACB1D0B"/>
    <w:rsid w:val="1ACD3362"/>
    <w:rsid w:val="1ACF5F1D"/>
    <w:rsid w:val="1AD017CE"/>
    <w:rsid w:val="1AD23271"/>
    <w:rsid w:val="1ADF1900"/>
    <w:rsid w:val="1AE13DBE"/>
    <w:rsid w:val="1AE4078A"/>
    <w:rsid w:val="1AE477BF"/>
    <w:rsid w:val="1AE84B8F"/>
    <w:rsid w:val="1AF0267A"/>
    <w:rsid w:val="1AF57B0F"/>
    <w:rsid w:val="1B003D2F"/>
    <w:rsid w:val="1B053153"/>
    <w:rsid w:val="1B106294"/>
    <w:rsid w:val="1B111D6B"/>
    <w:rsid w:val="1B193587"/>
    <w:rsid w:val="1B1F2042"/>
    <w:rsid w:val="1B333E4F"/>
    <w:rsid w:val="1B3C370D"/>
    <w:rsid w:val="1B426211"/>
    <w:rsid w:val="1B4D08A1"/>
    <w:rsid w:val="1B500EDE"/>
    <w:rsid w:val="1B564354"/>
    <w:rsid w:val="1B574817"/>
    <w:rsid w:val="1B5C60DF"/>
    <w:rsid w:val="1B69657D"/>
    <w:rsid w:val="1B6E5E7F"/>
    <w:rsid w:val="1B6E7506"/>
    <w:rsid w:val="1B723C75"/>
    <w:rsid w:val="1B747B67"/>
    <w:rsid w:val="1B794B24"/>
    <w:rsid w:val="1B7A1021"/>
    <w:rsid w:val="1B8D062A"/>
    <w:rsid w:val="1B8D2829"/>
    <w:rsid w:val="1B8F2E58"/>
    <w:rsid w:val="1B95422B"/>
    <w:rsid w:val="1B977B03"/>
    <w:rsid w:val="1B9D699C"/>
    <w:rsid w:val="1BA801E3"/>
    <w:rsid w:val="1BA80572"/>
    <w:rsid w:val="1BA86609"/>
    <w:rsid w:val="1BAA681B"/>
    <w:rsid w:val="1BAC46CF"/>
    <w:rsid w:val="1BAC6F27"/>
    <w:rsid w:val="1BAE3427"/>
    <w:rsid w:val="1BAE3527"/>
    <w:rsid w:val="1BB40D5B"/>
    <w:rsid w:val="1BBB2F0D"/>
    <w:rsid w:val="1BC5776F"/>
    <w:rsid w:val="1BCB3618"/>
    <w:rsid w:val="1BD62E83"/>
    <w:rsid w:val="1BD75989"/>
    <w:rsid w:val="1BD967CA"/>
    <w:rsid w:val="1BDA5211"/>
    <w:rsid w:val="1BDA6784"/>
    <w:rsid w:val="1BDB727A"/>
    <w:rsid w:val="1BDD2D22"/>
    <w:rsid w:val="1BE33139"/>
    <w:rsid w:val="1BEC4618"/>
    <w:rsid w:val="1BEC7722"/>
    <w:rsid w:val="1BF32B84"/>
    <w:rsid w:val="1BFA467D"/>
    <w:rsid w:val="1C0D215E"/>
    <w:rsid w:val="1C1555B5"/>
    <w:rsid w:val="1C19243D"/>
    <w:rsid w:val="1C2359D5"/>
    <w:rsid w:val="1C2C6735"/>
    <w:rsid w:val="1C320870"/>
    <w:rsid w:val="1C383AAD"/>
    <w:rsid w:val="1C41512B"/>
    <w:rsid w:val="1C435938"/>
    <w:rsid w:val="1C4547C9"/>
    <w:rsid w:val="1C463566"/>
    <w:rsid w:val="1C466FAD"/>
    <w:rsid w:val="1C4B1AEA"/>
    <w:rsid w:val="1C4F09E6"/>
    <w:rsid w:val="1C5733C0"/>
    <w:rsid w:val="1C58384A"/>
    <w:rsid w:val="1C5A4477"/>
    <w:rsid w:val="1C5D4592"/>
    <w:rsid w:val="1C602034"/>
    <w:rsid w:val="1C630C85"/>
    <w:rsid w:val="1C706488"/>
    <w:rsid w:val="1C7126E5"/>
    <w:rsid w:val="1C7604BF"/>
    <w:rsid w:val="1C76166D"/>
    <w:rsid w:val="1C7E67BA"/>
    <w:rsid w:val="1C7F3700"/>
    <w:rsid w:val="1C801A2F"/>
    <w:rsid w:val="1C862518"/>
    <w:rsid w:val="1C8C0558"/>
    <w:rsid w:val="1C8C46D2"/>
    <w:rsid w:val="1CA03DFF"/>
    <w:rsid w:val="1CA324A3"/>
    <w:rsid w:val="1CA452A2"/>
    <w:rsid w:val="1CA81DD7"/>
    <w:rsid w:val="1CA9118D"/>
    <w:rsid w:val="1CA92409"/>
    <w:rsid w:val="1CAB2827"/>
    <w:rsid w:val="1CAB7776"/>
    <w:rsid w:val="1CAD23BC"/>
    <w:rsid w:val="1CB4713D"/>
    <w:rsid w:val="1CB63484"/>
    <w:rsid w:val="1CBE2675"/>
    <w:rsid w:val="1CC13AF9"/>
    <w:rsid w:val="1CC17CD2"/>
    <w:rsid w:val="1CC219BE"/>
    <w:rsid w:val="1CC562D3"/>
    <w:rsid w:val="1CC6057C"/>
    <w:rsid w:val="1CC95E7D"/>
    <w:rsid w:val="1CD20046"/>
    <w:rsid w:val="1CD57DE8"/>
    <w:rsid w:val="1CD93F96"/>
    <w:rsid w:val="1CDA4848"/>
    <w:rsid w:val="1CDD71FC"/>
    <w:rsid w:val="1CE058B3"/>
    <w:rsid w:val="1CF00861"/>
    <w:rsid w:val="1CF511E8"/>
    <w:rsid w:val="1CF517C7"/>
    <w:rsid w:val="1CF63EAC"/>
    <w:rsid w:val="1D003B3E"/>
    <w:rsid w:val="1D060F93"/>
    <w:rsid w:val="1D082749"/>
    <w:rsid w:val="1D0E2871"/>
    <w:rsid w:val="1D107D90"/>
    <w:rsid w:val="1D156B32"/>
    <w:rsid w:val="1D1B0899"/>
    <w:rsid w:val="1D1B4E2F"/>
    <w:rsid w:val="1D245D5A"/>
    <w:rsid w:val="1D287613"/>
    <w:rsid w:val="1D2A5D69"/>
    <w:rsid w:val="1D2C2385"/>
    <w:rsid w:val="1D2F549C"/>
    <w:rsid w:val="1D2F5976"/>
    <w:rsid w:val="1D301FD2"/>
    <w:rsid w:val="1D3377CD"/>
    <w:rsid w:val="1D3B1679"/>
    <w:rsid w:val="1D3B35F7"/>
    <w:rsid w:val="1D40625E"/>
    <w:rsid w:val="1D406F46"/>
    <w:rsid w:val="1D49599E"/>
    <w:rsid w:val="1D59156E"/>
    <w:rsid w:val="1D5A359A"/>
    <w:rsid w:val="1D5A3B39"/>
    <w:rsid w:val="1D5E4FE0"/>
    <w:rsid w:val="1D5F0269"/>
    <w:rsid w:val="1D63695B"/>
    <w:rsid w:val="1D6B478A"/>
    <w:rsid w:val="1D7067EC"/>
    <w:rsid w:val="1D7128E2"/>
    <w:rsid w:val="1D743738"/>
    <w:rsid w:val="1D7517CA"/>
    <w:rsid w:val="1D76623B"/>
    <w:rsid w:val="1D772185"/>
    <w:rsid w:val="1D793285"/>
    <w:rsid w:val="1D7C6142"/>
    <w:rsid w:val="1D8227F9"/>
    <w:rsid w:val="1D9715A1"/>
    <w:rsid w:val="1D984E17"/>
    <w:rsid w:val="1D9C5F76"/>
    <w:rsid w:val="1DA3157B"/>
    <w:rsid w:val="1DA31C59"/>
    <w:rsid w:val="1DA5615F"/>
    <w:rsid w:val="1DA6327F"/>
    <w:rsid w:val="1DA74210"/>
    <w:rsid w:val="1DA93E9B"/>
    <w:rsid w:val="1DAC4B7B"/>
    <w:rsid w:val="1DAD0A72"/>
    <w:rsid w:val="1DBB0624"/>
    <w:rsid w:val="1DBE0203"/>
    <w:rsid w:val="1DC03BB2"/>
    <w:rsid w:val="1DCC26DB"/>
    <w:rsid w:val="1DCE01F1"/>
    <w:rsid w:val="1DD11EB7"/>
    <w:rsid w:val="1DD31E25"/>
    <w:rsid w:val="1DD843E5"/>
    <w:rsid w:val="1DE16CBB"/>
    <w:rsid w:val="1DE20CA2"/>
    <w:rsid w:val="1DE51F32"/>
    <w:rsid w:val="1DE522FB"/>
    <w:rsid w:val="1DE64253"/>
    <w:rsid w:val="1DE93F65"/>
    <w:rsid w:val="1DEC7F8C"/>
    <w:rsid w:val="1DFB29BF"/>
    <w:rsid w:val="1DFC537C"/>
    <w:rsid w:val="1E043C81"/>
    <w:rsid w:val="1E0518A2"/>
    <w:rsid w:val="1E063CB6"/>
    <w:rsid w:val="1E14558F"/>
    <w:rsid w:val="1E147F11"/>
    <w:rsid w:val="1E194927"/>
    <w:rsid w:val="1E247F42"/>
    <w:rsid w:val="1E380C8B"/>
    <w:rsid w:val="1E3A0881"/>
    <w:rsid w:val="1E407A62"/>
    <w:rsid w:val="1E412AAA"/>
    <w:rsid w:val="1E487D2E"/>
    <w:rsid w:val="1E4A7B9A"/>
    <w:rsid w:val="1E5F341B"/>
    <w:rsid w:val="1E612EEB"/>
    <w:rsid w:val="1E614989"/>
    <w:rsid w:val="1E646104"/>
    <w:rsid w:val="1E6F2526"/>
    <w:rsid w:val="1E7A3631"/>
    <w:rsid w:val="1E7A5950"/>
    <w:rsid w:val="1E8806FB"/>
    <w:rsid w:val="1E922536"/>
    <w:rsid w:val="1E952B0D"/>
    <w:rsid w:val="1E9C4E5F"/>
    <w:rsid w:val="1E9F7E3F"/>
    <w:rsid w:val="1EA758E8"/>
    <w:rsid w:val="1EAE2287"/>
    <w:rsid w:val="1EB15EC8"/>
    <w:rsid w:val="1EB27C97"/>
    <w:rsid w:val="1EB832D0"/>
    <w:rsid w:val="1EBC65C1"/>
    <w:rsid w:val="1EBE0771"/>
    <w:rsid w:val="1EBE57C4"/>
    <w:rsid w:val="1EC12EE6"/>
    <w:rsid w:val="1EC14B02"/>
    <w:rsid w:val="1EC97062"/>
    <w:rsid w:val="1ECD5323"/>
    <w:rsid w:val="1ED25FEE"/>
    <w:rsid w:val="1ED50768"/>
    <w:rsid w:val="1EDB0E3B"/>
    <w:rsid w:val="1EE25EFE"/>
    <w:rsid w:val="1EE92678"/>
    <w:rsid w:val="1EED4111"/>
    <w:rsid w:val="1EED4221"/>
    <w:rsid w:val="1EF93864"/>
    <w:rsid w:val="1EFF6D40"/>
    <w:rsid w:val="1F005002"/>
    <w:rsid w:val="1F057911"/>
    <w:rsid w:val="1F064ADE"/>
    <w:rsid w:val="1F0C6342"/>
    <w:rsid w:val="1F0D2F76"/>
    <w:rsid w:val="1F15180D"/>
    <w:rsid w:val="1F151B81"/>
    <w:rsid w:val="1F156836"/>
    <w:rsid w:val="1F1B7A9D"/>
    <w:rsid w:val="1F1D0849"/>
    <w:rsid w:val="1F1D234A"/>
    <w:rsid w:val="1F286A0B"/>
    <w:rsid w:val="1F3200CA"/>
    <w:rsid w:val="1F353AA3"/>
    <w:rsid w:val="1F382483"/>
    <w:rsid w:val="1F3C6787"/>
    <w:rsid w:val="1F3E269D"/>
    <w:rsid w:val="1F3E2E0D"/>
    <w:rsid w:val="1F4333D5"/>
    <w:rsid w:val="1F47030B"/>
    <w:rsid w:val="1F492A50"/>
    <w:rsid w:val="1F4A38BB"/>
    <w:rsid w:val="1F4B2BA6"/>
    <w:rsid w:val="1F4B5410"/>
    <w:rsid w:val="1F4C3235"/>
    <w:rsid w:val="1F530453"/>
    <w:rsid w:val="1F5422E1"/>
    <w:rsid w:val="1F56086F"/>
    <w:rsid w:val="1F57081A"/>
    <w:rsid w:val="1F5857B7"/>
    <w:rsid w:val="1F587685"/>
    <w:rsid w:val="1F5954BB"/>
    <w:rsid w:val="1F5B448C"/>
    <w:rsid w:val="1F5D437B"/>
    <w:rsid w:val="1F5E787F"/>
    <w:rsid w:val="1F615B02"/>
    <w:rsid w:val="1F6B5AB9"/>
    <w:rsid w:val="1F7F5605"/>
    <w:rsid w:val="1F867A44"/>
    <w:rsid w:val="1F891C7E"/>
    <w:rsid w:val="1F89445E"/>
    <w:rsid w:val="1F9207AD"/>
    <w:rsid w:val="1F95722E"/>
    <w:rsid w:val="1F9743E8"/>
    <w:rsid w:val="1F994ED5"/>
    <w:rsid w:val="1F9C591E"/>
    <w:rsid w:val="1FA323CB"/>
    <w:rsid w:val="1FA466D4"/>
    <w:rsid w:val="1FA81DD8"/>
    <w:rsid w:val="1FAF3BF6"/>
    <w:rsid w:val="1FB05C45"/>
    <w:rsid w:val="1FB1349A"/>
    <w:rsid w:val="1FB32DF4"/>
    <w:rsid w:val="1FB46B61"/>
    <w:rsid w:val="1FB5496D"/>
    <w:rsid w:val="1FBD6F50"/>
    <w:rsid w:val="1FCF4E6A"/>
    <w:rsid w:val="1FD017FB"/>
    <w:rsid w:val="1FD2451C"/>
    <w:rsid w:val="1FD5666C"/>
    <w:rsid w:val="1FD70F9C"/>
    <w:rsid w:val="1FDF2F95"/>
    <w:rsid w:val="1FE125DA"/>
    <w:rsid w:val="1FE737CF"/>
    <w:rsid w:val="1FEB6D78"/>
    <w:rsid w:val="1FEC0678"/>
    <w:rsid w:val="1FF67214"/>
    <w:rsid w:val="1FFF517C"/>
    <w:rsid w:val="200C473D"/>
    <w:rsid w:val="200F6BE7"/>
    <w:rsid w:val="20137FA9"/>
    <w:rsid w:val="201B2E4C"/>
    <w:rsid w:val="201D2664"/>
    <w:rsid w:val="20287F86"/>
    <w:rsid w:val="202F0AC1"/>
    <w:rsid w:val="20343C23"/>
    <w:rsid w:val="2035092A"/>
    <w:rsid w:val="203B0A6F"/>
    <w:rsid w:val="203F0446"/>
    <w:rsid w:val="20406A76"/>
    <w:rsid w:val="20464DE8"/>
    <w:rsid w:val="204C2B44"/>
    <w:rsid w:val="204C6A4F"/>
    <w:rsid w:val="204D2936"/>
    <w:rsid w:val="20562B5D"/>
    <w:rsid w:val="205763A4"/>
    <w:rsid w:val="206656DE"/>
    <w:rsid w:val="20693967"/>
    <w:rsid w:val="207375E4"/>
    <w:rsid w:val="20754CFD"/>
    <w:rsid w:val="20760794"/>
    <w:rsid w:val="20766C92"/>
    <w:rsid w:val="207B7C12"/>
    <w:rsid w:val="20810128"/>
    <w:rsid w:val="208A79A9"/>
    <w:rsid w:val="208B1FD8"/>
    <w:rsid w:val="20927D8F"/>
    <w:rsid w:val="20934714"/>
    <w:rsid w:val="20965BD6"/>
    <w:rsid w:val="20A97D1C"/>
    <w:rsid w:val="20B248F8"/>
    <w:rsid w:val="20B81865"/>
    <w:rsid w:val="20BF709C"/>
    <w:rsid w:val="20C000CD"/>
    <w:rsid w:val="20C60EDF"/>
    <w:rsid w:val="20C9520A"/>
    <w:rsid w:val="20D84974"/>
    <w:rsid w:val="20DB0234"/>
    <w:rsid w:val="20DB05D9"/>
    <w:rsid w:val="20DE630F"/>
    <w:rsid w:val="20E50579"/>
    <w:rsid w:val="20E56130"/>
    <w:rsid w:val="20F93467"/>
    <w:rsid w:val="20FA1314"/>
    <w:rsid w:val="20FA6033"/>
    <w:rsid w:val="20FB27AC"/>
    <w:rsid w:val="20FE5A5E"/>
    <w:rsid w:val="2103014B"/>
    <w:rsid w:val="210742CD"/>
    <w:rsid w:val="21092D7F"/>
    <w:rsid w:val="210B0A5C"/>
    <w:rsid w:val="210E65CD"/>
    <w:rsid w:val="21163C05"/>
    <w:rsid w:val="21176A68"/>
    <w:rsid w:val="211A4540"/>
    <w:rsid w:val="211C5E19"/>
    <w:rsid w:val="2123706C"/>
    <w:rsid w:val="21271570"/>
    <w:rsid w:val="213A7C48"/>
    <w:rsid w:val="21416BE2"/>
    <w:rsid w:val="21417A3E"/>
    <w:rsid w:val="21453DF7"/>
    <w:rsid w:val="21486758"/>
    <w:rsid w:val="214F6823"/>
    <w:rsid w:val="215145B4"/>
    <w:rsid w:val="21571E02"/>
    <w:rsid w:val="215B5249"/>
    <w:rsid w:val="215E1C81"/>
    <w:rsid w:val="215F5EC0"/>
    <w:rsid w:val="2166167B"/>
    <w:rsid w:val="21685E8D"/>
    <w:rsid w:val="21691533"/>
    <w:rsid w:val="216C1938"/>
    <w:rsid w:val="21711B50"/>
    <w:rsid w:val="21755CF7"/>
    <w:rsid w:val="217F2F31"/>
    <w:rsid w:val="21810C9F"/>
    <w:rsid w:val="21817A84"/>
    <w:rsid w:val="218369D9"/>
    <w:rsid w:val="218715CE"/>
    <w:rsid w:val="218A0315"/>
    <w:rsid w:val="21943C45"/>
    <w:rsid w:val="21953B4B"/>
    <w:rsid w:val="219B360E"/>
    <w:rsid w:val="21A77754"/>
    <w:rsid w:val="21B25E51"/>
    <w:rsid w:val="21B4496C"/>
    <w:rsid w:val="21BB2460"/>
    <w:rsid w:val="21BE52A8"/>
    <w:rsid w:val="21BE6534"/>
    <w:rsid w:val="21BF4614"/>
    <w:rsid w:val="21C27B42"/>
    <w:rsid w:val="21C340D1"/>
    <w:rsid w:val="21C879AD"/>
    <w:rsid w:val="21C937C2"/>
    <w:rsid w:val="21CE51F2"/>
    <w:rsid w:val="21D26315"/>
    <w:rsid w:val="21D508DB"/>
    <w:rsid w:val="21D81CB2"/>
    <w:rsid w:val="21DB3E0D"/>
    <w:rsid w:val="21E01974"/>
    <w:rsid w:val="21E7559C"/>
    <w:rsid w:val="21F225AF"/>
    <w:rsid w:val="21F677E6"/>
    <w:rsid w:val="21F91117"/>
    <w:rsid w:val="220802EF"/>
    <w:rsid w:val="220862A3"/>
    <w:rsid w:val="220B54F6"/>
    <w:rsid w:val="220C6461"/>
    <w:rsid w:val="220D15F5"/>
    <w:rsid w:val="220D4608"/>
    <w:rsid w:val="220F69E7"/>
    <w:rsid w:val="221965F5"/>
    <w:rsid w:val="22262803"/>
    <w:rsid w:val="222804CF"/>
    <w:rsid w:val="22291E0C"/>
    <w:rsid w:val="223C1C0C"/>
    <w:rsid w:val="224217F8"/>
    <w:rsid w:val="22444323"/>
    <w:rsid w:val="22445508"/>
    <w:rsid w:val="224515E3"/>
    <w:rsid w:val="22472EB1"/>
    <w:rsid w:val="22480BDD"/>
    <w:rsid w:val="224C4097"/>
    <w:rsid w:val="225136C8"/>
    <w:rsid w:val="22513B6F"/>
    <w:rsid w:val="22527941"/>
    <w:rsid w:val="22564517"/>
    <w:rsid w:val="225D153B"/>
    <w:rsid w:val="22615F62"/>
    <w:rsid w:val="22627D09"/>
    <w:rsid w:val="22696032"/>
    <w:rsid w:val="226C60BA"/>
    <w:rsid w:val="226D4CAF"/>
    <w:rsid w:val="226F1A40"/>
    <w:rsid w:val="2271121F"/>
    <w:rsid w:val="22713A34"/>
    <w:rsid w:val="22725DD9"/>
    <w:rsid w:val="22794261"/>
    <w:rsid w:val="2282405D"/>
    <w:rsid w:val="2286051A"/>
    <w:rsid w:val="22873720"/>
    <w:rsid w:val="228965A0"/>
    <w:rsid w:val="229A3E1C"/>
    <w:rsid w:val="22A073B6"/>
    <w:rsid w:val="22A45327"/>
    <w:rsid w:val="22AA3688"/>
    <w:rsid w:val="22AD2A38"/>
    <w:rsid w:val="22B1584F"/>
    <w:rsid w:val="22B33D3D"/>
    <w:rsid w:val="22B449AB"/>
    <w:rsid w:val="22B60464"/>
    <w:rsid w:val="22C97B2D"/>
    <w:rsid w:val="22CA5ED6"/>
    <w:rsid w:val="22CC5F10"/>
    <w:rsid w:val="22CF391C"/>
    <w:rsid w:val="22D450A0"/>
    <w:rsid w:val="22D6298B"/>
    <w:rsid w:val="22D64668"/>
    <w:rsid w:val="22D83F8C"/>
    <w:rsid w:val="22DA0132"/>
    <w:rsid w:val="22E538A6"/>
    <w:rsid w:val="22E731F9"/>
    <w:rsid w:val="22F47727"/>
    <w:rsid w:val="22FC0AD5"/>
    <w:rsid w:val="22FD6A4E"/>
    <w:rsid w:val="230B52B1"/>
    <w:rsid w:val="230F5BB3"/>
    <w:rsid w:val="23114C24"/>
    <w:rsid w:val="2324661D"/>
    <w:rsid w:val="2331700B"/>
    <w:rsid w:val="233335C7"/>
    <w:rsid w:val="23385D71"/>
    <w:rsid w:val="23475ED3"/>
    <w:rsid w:val="23482D77"/>
    <w:rsid w:val="234A3236"/>
    <w:rsid w:val="234B094C"/>
    <w:rsid w:val="234B4099"/>
    <w:rsid w:val="234C5F3C"/>
    <w:rsid w:val="234E18F4"/>
    <w:rsid w:val="23503C30"/>
    <w:rsid w:val="235A3AE8"/>
    <w:rsid w:val="235F3561"/>
    <w:rsid w:val="23637EAD"/>
    <w:rsid w:val="23661E3B"/>
    <w:rsid w:val="2367136E"/>
    <w:rsid w:val="236B3B51"/>
    <w:rsid w:val="236E7F2D"/>
    <w:rsid w:val="237521F4"/>
    <w:rsid w:val="237D02C7"/>
    <w:rsid w:val="23867229"/>
    <w:rsid w:val="2386723E"/>
    <w:rsid w:val="23877716"/>
    <w:rsid w:val="238C043D"/>
    <w:rsid w:val="238F7470"/>
    <w:rsid w:val="23A06039"/>
    <w:rsid w:val="23A24D5B"/>
    <w:rsid w:val="23A4182C"/>
    <w:rsid w:val="23A80A72"/>
    <w:rsid w:val="23AB786F"/>
    <w:rsid w:val="23AC2065"/>
    <w:rsid w:val="23AC7B42"/>
    <w:rsid w:val="23AD041D"/>
    <w:rsid w:val="23B81CDA"/>
    <w:rsid w:val="23B95149"/>
    <w:rsid w:val="23BA1AC9"/>
    <w:rsid w:val="23C05621"/>
    <w:rsid w:val="23C3790C"/>
    <w:rsid w:val="23C8083F"/>
    <w:rsid w:val="23D25762"/>
    <w:rsid w:val="23D9789A"/>
    <w:rsid w:val="23DA45DB"/>
    <w:rsid w:val="23DB76A9"/>
    <w:rsid w:val="23E25F83"/>
    <w:rsid w:val="23E44F02"/>
    <w:rsid w:val="23E52C0F"/>
    <w:rsid w:val="23E95E82"/>
    <w:rsid w:val="23F76613"/>
    <w:rsid w:val="23FC7707"/>
    <w:rsid w:val="23FE08FF"/>
    <w:rsid w:val="24024464"/>
    <w:rsid w:val="240249AA"/>
    <w:rsid w:val="240B1014"/>
    <w:rsid w:val="240B5171"/>
    <w:rsid w:val="24101266"/>
    <w:rsid w:val="24142164"/>
    <w:rsid w:val="24152B6D"/>
    <w:rsid w:val="24166353"/>
    <w:rsid w:val="241C228E"/>
    <w:rsid w:val="241E22C3"/>
    <w:rsid w:val="24243394"/>
    <w:rsid w:val="242502D3"/>
    <w:rsid w:val="242A3410"/>
    <w:rsid w:val="242C4C66"/>
    <w:rsid w:val="243A7B99"/>
    <w:rsid w:val="243B58B8"/>
    <w:rsid w:val="244019EC"/>
    <w:rsid w:val="24434141"/>
    <w:rsid w:val="244A0BF9"/>
    <w:rsid w:val="245056AA"/>
    <w:rsid w:val="24596293"/>
    <w:rsid w:val="24597CB1"/>
    <w:rsid w:val="245D40D2"/>
    <w:rsid w:val="245D7F90"/>
    <w:rsid w:val="245E355E"/>
    <w:rsid w:val="2463564C"/>
    <w:rsid w:val="24637C17"/>
    <w:rsid w:val="246B5E8B"/>
    <w:rsid w:val="246C0FD5"/>
    <w:rsid w:val="246D4636"/>
    <w:rsid w:val="247D2FB1"/>
    <w:rsid w:val="24827CA0"/>
    <w:rsid w:val="248B6EF7"/>
    <w:rsid w:val="248D5A33"/>
    <w:rsid w:val="248D5FD2"/>
    <w:rsid w:val="249425D8"/>
    <w:rsid w:val="24943594"/>
    <w:rsid w:val="24953946"/>
    <w:rsid w:val="2499245E"/>
    <w:rsid w:val="249B1307"/>
    <w:rsid w:val="249C5890"/>
    <w:rsid w:val="24A417E3"/>
    <w:rsid w:val="24B12C60"/>
    <w:rsid w:val="24B15B26"/>
    <w:rsid w:val="24B15F7C"/>
    <w:rsid w:val="24B60A75"/>
    <w:rsid w:val="24B8759B"/>
    <w:rsid w:val="24B87BA2"/>
    <w:rsid w:val="24BE62D8"/>
    <w:rsid w:val="24C400A4"/>
    <w:rsid w:val="24C81595"/>
    <w:rsid w:val="24D75606"/>
    <w:rsid w:val="24DC2AC0"/>
    <w:rsid w:val="24DD3CFB"/>
    <w:rsid w:val="24E134C8"/>
    <w:rsid w:val="24E51965"/>
    <w:rsid w:val="24E52E94"/>
    <w:rsid w:val="24EF2E4E"/>
    <w:rsid w:val="24F3712F"/>
    <w:rsid w:val="24F412C4"/>
    <w:rsid w:val="24FA4EEB"/>
    <w:rsid w:val="2502520F"/>
    <w:rsid w:val="250E1C2E"/>
    <w:rsid w:val="25144548"/>
    <w:rsid w:val="251A1541"/>
    <w:rsid w:val="251D358F"/>
    <w:rsid w:val="251F037F"/>
    <w:rsid w:val="25247553"/>
    <w:rsid w:val="25294787"/>
    <w:rsid w:val="25297CB4"/>
    <w:rsid w:val="252F7AFA"/>
    <w:rsid w:val="253749E1"/>
    <w:rsid w:val="2538696E"/>
    <w:rsid w:val="25396922"/>
    <w:rsid w:val="253E19B3"/>
    <w:rsid w:val="25423FB4"/>
    <w:rsid w:val="25466965"/>
    <w:rsid w:val="2548789F"/>
    <w:rsid w:val="254A3F23"/>
    <w:rsid w:val="254F0299"/>
    <w:rsid w:val="2554747C"/>
    <w:rsid w:val="255D660B"/>
    <w:rsid w:val="25656C51"/>
    <w:rsid w:val="25672E3D"/>
    <w:rsid w:val="25691D82"/>
    <w:rsid w:val="256A0FE4"/>
    <w:rsid w:val="256C4773"/>
    <w:rsid w:val="25763007"/>
    <w:rsid w:val="258514C6"/>
    <w:rsid w:val="25874E77"/>
    <w:rsid w:val="258D381A"/>
    <w:rsid w:val="259128F7"/>
    <w:rsid w:val="25914EA1"/>
    <w:rsid w:val="25925E4E"/>
    <w:rsid w:val="25937A93"/>
    <w:rsid w:val="25991737"/>
    <w:rsid w:val="259E0E92"/>
    <w:rsid w:val="259E27F7"/>
    <w:rsid w:val="25AA6324"/>
    <w:rsid w:val="25B1128D"/>
    <w:rsid w:val="25BC7F46"/>
    <w:rsid w:val="25BD7DE8"/>
    <w:rsid w:val="25C24D70"/>
    <w:rsid w:val="25D367EB"/>
    <w:rsid w:val="25D4349B"/>
    <w:rsid w:val="25D50377"/>
    <w:rsid w:val="25E544D4"/>
    <w:rsid w:val="25E6221D"/>
    <w:rsid w:val="25E714F8"/>
    <w:rsid w:val="25E75D5B"/>
    <w:rsid w:val="25E82F83"/>
    <w:rsid w:val="25EA28C0"/>
    <w:rsid w:val="25EC6D50"/>
    <w:rsid w:val="25EC74BC"/>
    <w:rsid w:val="25EE3828"/>
    <w:rsid w:val="25F126A1"/>
    <w:rsid w:val="25F307AC"/>
    <w:rsid w:val="25F45615"/>
    <w:rsid w:val="25F75186"/>
    <w:rsid w:val="25F84FE2"/>
    <w:rsid w:val="25FD2022"/>
    <w:rsid w:val="25FE6BA1"/>
    <w:rsid w:val="260E106D"/>
    <w:rsid w:val="26121F1B"/>
    <w:rsid w:val="261A11CE"/>
    <w:rsid w:val="261A32F6"/>
    <w:rsid w:val="261B5CAE"/>
    <w:rsid w:val="261F17F9"/>
    <w:rsid w:val="261F64DB"/>
    <w:rsid w:val="262A0B89"/>
    <w:rsid w:val="262C4031"/>
    <w:rsid w:val="26347B78"/>
    <w:rsid w:val="263638D2"/>
    <w:rsid w:val="263770F9"/>
    <w:rsid w:val="26391E44"/>
    <w:rsid w:val="263F3F4F"/>
    <w:rsid w:val="26416401"/>
    <w:rsid w:val="2644386E"/>
    <w:rsid w:val="2646166C"/>
    <w:rsid w:val="264A6C47"/>
    <w:rsid w:val="264C5B5F"/>
    <w:rsid w:val="2652721E"/>
    <w:rsid w:val="265807A2"/>
    <w:rsid w:val="265B3139"/>
    <w:rsid w:val="265E0501"/>
    <w:rsid w:val="26610BFD"/>
    <w:rsid w:val="26636703"/>
    <w:rsid w:val="26651BFA"/>
    <w:rsid w:val="26664A47"/>
    <w:rsid w:val="26690F4E"/>
    <w:rsid w:val="266D4384"/>
    <w:rsid w:val="2672599C"/>
    <w:rsid w:val="26765E36"/>
    <w:rsid w:val="267A1802"/>
    <w:rsid w:val="267D5C3C"/>
    <w:rsid w:val="2683263E"/>
    <w:rsid w:val="268A2D71"/>
    <w:rsid w:val="268C0091"/>
    <w:rsid w:val="268D3282"/>
    <w:rsid w:val="268F727D"/>
    <w:rsid w:val="269411B2"/>
    <w:rsid w:val="26943D08"/>
    <w:rsid w:val="269A0C6A"/>
    <w:rsid w:val="269E1BCD"/>
    <w:rsid w:val="269E3035"/>
    <w:rsid w:val="269E5569"/>
    <w:rsid w:val="26A91FAF"/>
    <w:rsid w:val="26B725B4"/>
    <w:rsid w:val="26B972F5"/>
    <w:rsid w:val="26BB0CDA"/>
    <w:rsid w:val="26C075E5"/>
    <w:rsid w:val="26D05257"/>
    <w:rsid w:val="26D236B1"/>
    <w:rsid w:val="26D27EB1"/>
    <w:rsid w:val="26DE2FF3"/>
    <w:rsid w:val="26E151A2"/>
    <w:rsid w:val="26E43591"/>
    <w:rsid w:val="26E444CC"/>
    <w:rsid w:val="26E52062"/>
    <w:rsid w:val="26E52D06"/>
    <w:rsid w:val="26E579D9"/>
    <w:rsid w:val="26E93268"/>
    <w:rsid w:val="26EE1B59"/>
    <w:rsid w:val="26EF33BA"/>
    <w:rsid w:val="270037F2"/>
    <w:rsid w:val="270D01B1"/>
    <w:rsid w:val="270F603D"/>
    <w:rsid w:val="27183871"/>
    <w:rsid w:val="271A17F6"/>
    <w:rsid w:val="27227193"/>
    <w:rsid w:val="273375F4"/>
    <w:rsid w:val="27462470"/>
    <w:rsid w:val="27462478"/>
    <w:rsid w:val="2747312A"/>
    <w:rsid w:val="274B5F05"/>
    <w:rsid w:val="274E2A22"/>
    <w:rsid w:val="27586F30"/>
    <w:rsid w:val="275C3B30"/>
    <w:rsid w:val="275C6322"/>
    <w:rsid w:val="27637E17"/>
    <w:rsid w:val="276563AB"/>
    <w:rsid w:val="276B52A9"/>
    <w:rsid w:val="277038E5"/>
    <w:rsid w:val="2772479D"/>
    <w:rsid w:val="27773562"/>
    <w:rsid w:val="278121C4"/>
    <w:rsid w:val="27827B2A"/>
    <w:rsid w:val="27861997"/>
    <w:rsid w:val="27862000"/>
    <w:rsid w:val="278A44F3"/>
    <w:rsid w:val="279B137F"/>
    <w:rsid w:val="279B1918"/>
    <w:rsid w:val="279D17B7"/>
    <w:rsid w:val="279E7653"/>
    <w:rsid w:val="27A1064E"/>
    <w:rsid w:val="27A11052"/>
    <w:rsid w:val="27A2563E"/>
    <w:rsid w:val="27A41FE0"/>
    <w:rsid w:val="27A442D7"/>
    <w:rsid w:val="27AE4E85"/>
    <w:rsid w:val="27B36B22"/>
    <w:rsid w:val="27B571B2"/>
    <w:rsid w:val="27B6581E"/>
    <w:rsid w:val="27B867DC"/>
    <w:rsid w:val="27C200DA"/>
    <w:rsid w:val="27C52FA3"/>
    <w:rsid w:val="27C7722C"/>
    <w:rsid w:val="27CB4A90"/>
    <w:rsid w:val="27CB4C51"/>
    <w:rsid w:val="27CD7B0C"/>
    <w:rsid w:val="27D72383"/>
    <w:rsid w:val="27DE10A4"/>
    <w:rsid w:val="27F0476C"/>
    <w:rsid w:val="27F11F33"/>
    <w:rsid w:val="27F51C63"/>
    <w:rsid w:val="27F52915"/>
    <w:rsid w:val="27FB2C8C"/>
    <w:rsid w:val="27FE510D"/>
    <w:rsid w:val="280004A4"/>
    <w:rsid w:val="28080783"/>
    <w:rsid w:val="28092E39"/>
    <w:rsid w:val="280A0E8E"/>
    <w:rsid w:val="28134797"/>
    <w:rsid w:val="28205F1C"/>
    <w:rsid w:val="28291411"/>
    <w:rsid w:val="282F3EE8"/>
    <w:rsid w:val="283574B2"/>
    <w:rsid w:val="283E3430"/>
    <w:rsid w:val="28415CAA"/>
    <w:rsid w:val="28457B5D"/>
    <w:rsid w:val="28466625"/>
    <w:rsid w:val="28472975"/>
    <w:rsid w:val="284B61BE"/>
    <w:rsid w:val="28620D8D"/>
    <w:rsid w:val="28634E11"/>
    <w:rsid w:val="28651DB3"/>
    <w:rsid w:val="286763F8"/>
    <w:rsid w:val="286870F1"/>
    <w:rsid w:val="286A2DF7"/>
    <w:rsid w:val="286A7397"/>
    <w:rsid w:val="286D3111"/>
    <w:rsid w:val="287A4E6E"/>
    <w:rsid w:val="287F03A3"/>
    <w:rsid w:val="28801388"/>
    <w:rsid w:val="28801ABC"/>
    <w:rsid w:val="28820560"/>
    <w:rsid w:val="28844B72"/>
    <w:rsid w:val="2886454B"/>
    <w:rsid w:val="288A0C35"/>
    <w:rsid w:val="288A51A8"/>
    <w:rsid w:val="28943D1D"/>
    <w:rsid w:val="2897337F"/>
    <w:rsid w:val="2899475F"/>
    <w:rsid w:val="28995400"/>
    <w:rsid w:val="289C55D3"/>
    <w:rsid w:val="289E6902"/>
    <w:rsid w:val="28AE308C"/>
    <w:rsid w:val="28B0189D"/>
    <w:rsid w:val="28B0482A"/>
    <w:rsid w:val="28B1593B"/>
    <w:rsid w:val="28B5040E"/>
    <w:rsid w:val="28B87ECE"/>
    <w:rsid w:val="28BA2E9E"/>
    <w:rsid w:val="28C514E8"/>
    <w:rsid w:val="28C85CBD"/>
    <w:rsid w:val="28CC64A8"/>
    <w:rsid w:val="28CF3343"/>
    <w:rsid w:val="28D74CDC"/>
    <w:rsid w:val="28DD3910"/>
    <w:rsid w:val="28E22DA3"/>
    <w:rsid w:val="28E51A1A"/>
    <w:rsid w:val="28E6527C"/>
    <w:rsid w:val="28EA68FA"/>
    <w:rsid w:val="28EB564A"/>
    <w:rsid w:val="28EC5DF3"/>
    <w:rsid w:val="28EE4614"/>
    <w:rsid w:val="28F704BC"/>
    <w:rsid w:val="28F806B5"/>
    <w:rsid w:val="29020D39"/>
    <w:rsid w:val="290E57E4"/>
    <w:rsid w:val="29124E9C"/>
    <w:rsid w:val="291D7E23"/>
    <w:rsid w:val="291E78C7"/>
    <w:rsid w:val="291F72A1"/>
    <w:rsid w:val="292437C4"/>
    <w:rsid w:val="29277B8D"/>
    <w:rsid w:val="292A70BE"/>
    <w:rsid w:val="292B10F8"/>
    <w:rsid w:val="292D3582"/>
    <w:rsid w:val="29355637"/>
    <w:rsid w:val="293C6F49"/>
    <w:rsid w:val="293D655E"/>
    <w:rsid w:val="294878CE"/>
    <w:rsid w:val="294935C7"/>
    <w:rsid w:val="294D28E7"/>
    <w:rsid w:val="294E3E4A"/>
    <w:rsid w:val="294F6825"/>
    <w:rsid w:val="29513612"/>
    <w:rsid w:val="29514078"/>
    <w:rsid w:val="295267F5"/>
    <w:rsid w:val="295334BE"/>
    <w:rsid w:val="29533D99"/>
    <w:rsid w:val="29553D64"/>
    <w:rsid w:val="295D1384"/>
    <w:rsid w:val="29634F3C"/>
    <w:rsid w:val="2967044D"/>
    <w:rsid w:val="29712EC4"/>
    <w:rsid w:val="29752179"/>
    <w:rsid w:val="29762DE2"/>
    <w:rsid w:val="297823CF"/>
    <w:rsid w:val="297D3548"/>
    <w:rsid w:val="29831EB6"/>
    <w:rsid w:val="29850B99"/>
    <w:rsid w:val="2985686F"/>
    <w:rsid w:val="298A71FC"/>
    <w:rsid w:val="298E2AF2"/>
    <w:rsid w:val="2991148E"/>
    <w:rsid w:val="299E532E"/>
    <w:rsid w:val="299F4B52"/>
    <w:rsid w:val="29A076B2"/>
    <w:rsid w:val="29A171A8"/>
    <w:rsid w:val="29A7194C"/>
    <w:rsid w:val="29A86021"/>
    <w:rsid w:val="29AF0CF2"/>
    <w:rsid w:val="29B40582"/>
    <w:rsid w:val="29B75B62"/>
    <w:rsid w:val="29B8789C"/>
    <w:rsid w:val="29BB48F9"/>
    <w:rsid w:val="29BE7F70"/>
    <w:rsid w:val="29C72F0E"/>
    <w:rsid w:val="29C851FA"/>
    <w:rsid w:val="29CA5DDA"/>
    <w:rsid w:val="29CC1E18"/>
    <w:rsid w:val="29D03958"/>
    <w:rsid w:val="29D055A3"/>
    <w:rsid w:val="29D85DA6"/>
    <w:rsid w:val="29D87D59"/>
    <w:rsid w:val="29DB7C2A"/>
    <w:rsid w:val="29E109BC"/>
    <w:rsid w:val="29E24BDC"/>
    <w:rsid w:val="29EA3EFA"/>
    <w:rsid w:val="29EC4068"/>
    <w:rsid w:val="29ED0386"/>
    <w:rsid w:val="29F30402"/>
    <w:rsid w:val="29F32663"/>
    <w:rsid w:val="29F6710E"/>
    <w:rsid w:val="29FA03BB"/>
    <w:rsid w:val="29FC23BD"/>
    <w:rsid w:val="29FE4D62"/>
    <w:rsid w:val="2A0B2978"/>
    <w:rsid w:val="2A0B34D1"/>
    <w:rsid w:val="2A1246A5"/>
    <w:rsid w:val="2A15033C"/>
    <w:rsid w:val="2A1516B7"/>
    <w:rsid w:val="2A165422"/>
    <w:rsid w:val="2A2059B6"/>
    <w:rsid w:val="2A237FD2"/>
    <w:rsid w:val="2A260037"/>
    <w:rsid w:val="2A2743B1"/>
    <w:rsid w:val="2A2C3888"/>
    <w:rsid w:val="2A2E3546"/>
    <w:rsid w:val="2A3413CE"/>
    <w:rsid w:val="2A342135"/>
    <w:rsid w:val="2A34509D"/>
    <w:rsid w:val="2A38359A"/>
    <w:rsid w:val="2A3D6F10"/>
    <w:rsid w:val="2A4B5E49"/>
    <w:rsid w:val="2A4D1B1B"/>
    <w:rsid w:val="2A5053AB"/>
    <w:rsid w:val="2A563F12"/>
    <w:rsid w:val="2A5E2B2D"/>
    <w:rsid w:val="2A612882"/>
    <w:rsid w:val="2A68693B"/>
    <w:rsid w:val="2A6C35D8"/>
    <w:rsid w:val="2A7019CE"/>
    <w:rsid w:val="2A786D52"/>
    <w:rsid w:val="2A7A703C"/>
    <w:rsid w:val="2A7C23A1"/>
    <w:rsid w:val="2A7E1F3F"/>
    <w:rsid w:val="2A7F3D3E"/>
    <w:rsid w:val="2A801F32"/>
    <w:rsid w:val="2A822ABC"/>
    <w:rsid w:val="2A85786F"/>
    <w:rsid w:val="2A8A534B"/>
    <w:rsid w:val="2A90596F"/>
    <w:rsid w:val="2A9216C7"/>
    <w:rsid w:val="2A93621F"/>
    <w:rsid w:val="2A9413C4"/>
    <w:rsid w:val="2A9415C5"/>
    <w:rsid w:val="2A9859E7"/>
    <w:rsid w:val="2A997220"/>
    <w:rsid w:val="2AA07070"/>
    <w:rsid w:val="2AA260FE"/>
    <w:rsid w:val="2AA3228C"/>
    <w:rsid w:val="2AA62AF5"/>
    <w:rsid w:val="2AAD0B4D"/>
    <w:rsid w:val="2AB02580"/>
    <w:rsid w:val="2AB25EC7"/>
    <w:rsid w:val="2AB55453"/>
    <w:rsid w:val="2AB8475F"/>
    <w:rsid w:val="2ABA3858"/>
    <w:rsid w:val="2AC84725"/>
    <w:rsid w:val="2AC91AE3"/>
    <w:rsid w:val="2ACB1FF9"/>
    <w:rsid w:val="2ACD044E"/>
    <w:rsid w:val="2ACE5477"/>
    <w:rsid w:val="2AD471B8"/>
    <w:rsid w:val="2AE17222"/>
    <w:rsid w:val="2AF10EB0"/>
    <w:rsid w:val="2AF21A5B"/>
    <w:rsid w:val="2AF33DCC"/>
    <w:rsid w:val="2AF7486E"/>
    <w:rsid w:val="2B0A5DD1"/>
    <w:rsid w:val="2B0B5320"/>
    <w:rsid w:val="2B0D409D"/>
    <w:rsid w:val="2B0E49C5"/>
    <w:rsid w:val="2B124505"/>
    <w:rsid w:val="2B153406"/>
    <w:rsid w:val="2B1B28CB"/>
    <w:rsid w:val="2B2F0672"/>
    <w:rsid w:val="2B315C7E"/>
    <w:rsid w:val="2B362168"/>
    <w:rsid w:val="2B3A31EF"/>
    <w:rsid w:val="2B3A4242"/>
    <w:rsid w:val="2B3D133B"/>
    <w:rsid w:val="2B3E7DDF"/>
    <w:rsid w:val="2B4017D5"/>
    <w:rsid w:val="2B403AFD"/>
    <w:rsid w:val="2B405CE6"/>
    <w:rsid w:val="2B4437B8"/>
    <w:rsid w:val="2B475A97"/>
    <w:rsid w:val="2B484B46"/>
    <w:rsid w:val="2B4F74D4"/>
    <w:rsid w:val="2B4F7D03"/>
    <w:rsid w:val="2B502E99"/>
    <w:rsid w:val="2B5300C8"/>
    <w:rsid w:val="2B582F46"/>
    <w:rsid w:val="2B5D22D3"/>
    <w:rsid w:val="2B5E22B4"/>
    <w:rsid w:val="2B68468E"/>
    <w:rsid w:val="2B7366FF"/>
    <w:rsid w:val="2B753E21"/>
    <w:rsid w:val="2B7573CD"/>
    <w:rsid w:val="2B7B56C1"/>
    <w:rsid w:val="2B835265"/>
    <w:rsid w:val="2B883A74"/>
    <w:rsid w:val="2B8C0955"/>
    <w:rsid w:val="2B90766E"/>
    <w:rsid w:val="2B9B2DAA"/>
    <w:rsid w:val="2B9B5260"/>
    <w:rsid w:val="2B9F4C14"/>
    <w:rsid w:val="2B9F679E"/>
    <w:rsid w:val="2BA20210"/>
    <w:rsid w:val="2BA40EC7"/>
    <w:rsid w:val="2BAE076B"/>
    <w:rsid w:val="2BAF0025"/>
    <w:rsid w:val="2BB61217"/>
    <w:rsid w:val="2BB74B77"/>
    <w:rsid w:val="2BBA132E"/>
    <w:rsid w:val="2BBC252F"/>
    <w:rsid w:val="2BC85A41"/>
    <w:rsid w:val="2BC9013E"/>
    <w:rsid w:val="2BCE0252"/>
    <w:rsid w:val="2BCE6299"/>
    <w:rsid w:val="2BCE6CA6"/>
    <w:rsid w:val="2BD10B3E"/>
    <w:rsid w:val="2BD447BA"/>
    <w:rsid w:val="2BD45B66"/>
    <w:rsid w:val="2BD53030"/>
    <w:rsid w:val="2BD806D3"/>
    <w:rsid w:val="2BDE38E5"/>
    <w:rsid w:val="2BE5585F"/>
    <w:rsid w:val="2BEF0B00"/>
    <w:rsid w:val="2BF37A52"/>
    <w:rsid w:val="2BF57E32"/>
    <w:rsid w:val="2BF65BD4"/>
    <w:rsid w:val="2BF91BF0"/>
    <w:rsid w:val="2BFA63ED"/>
    <w:rsid w:val="2BFB3DC9"/>
    <w:rsid w:val="2BFC3938"/>
    <w:rsid w:val="2C0114A6"/>
    <w:rsid w:val="2C023DF0"/>
    <w:rsid w:val="2C0A4A47"/>
    <w:rsid w:val="2C18158A"/>
    <w:rsid w:val="2C1A6A3E"/>
    <w:rsid w:val="2C2629A8"/>
    <w:rsid w:val="2C2911EA"/>
    <w:rsid w:val="2C39551B"/>
    <w:rsid w:val="2C3B5A37"/>
    <w:rsid w:val="2C3E7ACD"/>
    <w:rsid w:val="2C493675"/>
    <w:rsid w:val="2C494595"/>
    <w:rsid w:val="2C510F87"/>
    <w:rsid w:val="2C5449C3"/>
    <w:rsid w:val="2C645919"/>
    <w:rsid w:val="2C7072C4"/>
    <w:rsid w:val="2C792628"/>
    <w:rsid w:val="2C7B7FFE"/>
    <w:rsid w:val="2C7F22AD"/>
    <w:rsid w:val="2C857791"/>
    <w:rsid w:val="2C876EBE"/>
    <w:rsid w:val="2C9364D4"/>
    <w:rsid w:val="2C973390"/>
    <w:rsid w:val="2CA6419C"/>
    <w:rsid w:val="2CA96743"/>
    <w:rsid w:val="2CAB6AB0"/>
    <w:rsid w:val="2CB075C8"/>
    <w:rsid w:val="2CB70D27"/>
    <w:rsid w:val="2CB927CE"/>
    <w:rsid w:val="2CBB6F29"/>
    <w:rsid w:val="2CC434DD"/>
    <w:rsid w:val="2CC8210B"/>
    <w:rsid w:val="2CC934EC"/>
    <w:rsid w:val="2CD17F0A"/>
    <w:rsid w:val="2CD22E00"/>
    <w:rsid w:val="2CD421B3"/>
    <w:rsid w:val="2CDE5C93"/>
    <w:rsid w:val="2CE650DA"/>
    <w:rsid w:val="2CE95148"/>
    <w:rsid w:val="2CEA0918"/>
    <w:rsid w:val="2CF2123B"/>
    <w:rsid w:val="2CF32383"/>
    <w:rsid w:val="2CF55C93"/>
    <w:rsid w:val="2CFA1B72"/>
    <w:rsid w:val="2D027A33"/>
    <w:rsid w:val="2D1B5A88"/>
    <w:rsid w:val="2D27036B"/>
    <w:rsid w:val="2D2A4E41"/>
    <w:rsid w:val="2D314D77"/>
    <w:rsid w:val="2D322E2D"/>
    <w:rsid w:val="2D350F66"/>
    <w:rsid w:val="2D363BD8"/>
    <w:rsid w:val="2D373C61"/>
    <w:rsid w:val="2D3B626A"/>
    <w:rsid w:val="2D3C3804"/>
    <w:rsid w:val="2D3C51F8"/>
    <w:rsid w:val="2D3D0229"/>
    <w:rsid w:val="2D3D0CFB"/>
    <w:rsid w:val="2D404F1E"/>
    <w:rsid w:val="2D481925"/>
    <w:rsid w:val="2D4840D6"/>
    <w:rsid w:val="2D4F58A3"/>
    <w:rsid w:val="2D50057A"/>
    <w:rsid w:val="2D532620"/>
    <w:rsid w:val="2D55577E"/>
    <w:rsid w:val="2D57108E"/>
    <w:rsid w:val="2D58781C"/>
    <w:rsid w:val="2D5A2240"/>
    <w:rsid w:val="2D5E76CC"/>
    <w:rsid w:val="2D65434E"/>
    <w:rsid w:val="2D672CDC"/>
    <w:rsid w:val="2D73570E"/>
    <w:rsid w:val="2D763778"/>
    <w:rsid w:val="2D783C0D"/>
    <w:rsid w:val="2D7927F2"/>
    <w:rsid w:val="2D7A056D"/>
    <w:rsid w:val="2D7E133E"/>
    <w:rsid w:val="2D7F5928"/>
    <w:rsid w:val="2D811831"/>
    <w:rsid w:val="2D87544D"/>
    <w:rsid w:val="2D8946F4"/>
    <w:rsid w:val="2D8D666A"/>
    <w:rsid w:val="2D933331"/>
    <w:rsid w:val="2D956247"/>
    <w:rsid w:val="2D965A35"/>
    <w:rsid w:val="2D9D203C"/>
    <w:rsid w:val="2D9F5053"/>
    <w:rsid w:val="2DA12AB8"/>
    <w:rsid w:val="2DA43DA0"/>
    <w:rsid w:val="2DA80FF3"/>
    <w:rsid w:val="2DAC40EE"/>
    <w:rsid w:val="2DAD5CCA"/>
    <w:rsid w:val="2DB639E7"/>
    <w:rsid w:val="2DC24AC0"/>
    <w:rsid w:val="2DC37EE5"/>
    <w:rsid w:val="2DC87D83"/>
    <w:rsid w:val="2DCE09F5"/>
    <w:rsid w:val="2DD078B7"/>
    <w:rsid w:val="2DD11745"/>
    <w:rsid w:val="2DD43C71"/>
    <w:rsid w:val="2DD81A54"/>
    <w:rsid w:val="2DD96C1E"/>
    <w:rsid w:val="2DDA6039"/>
    <w:rsid w:val="2DDE7064"/>
    <w:rsid w:val="2DE15ECD"/>
    <w:rsid w:val="2DE433C7"/>
    <w:rsid w:val="2DF12C5A"/>
    <w:rsid w:val="2DF47F79"/>
    <w:rsid w:val="2DF51334"/>
    <w:rsid w:val="2DFD3D35"/>
    <w:rsid w:val="2DFE1CD4"/>
    <w:rsid w:val="2DFF7CB2"/>
    <w:rsid w:val="2E04420D"/>
    <w:rsid w:val="2E0B4421"/>
    <w:rsid w:val="2E0D76B1"/>
    <w:rsid w:val="2E1215B0"/>
    <w:rsid w:val="2E153DB5"/>
    <w:rsid w:val="2E2404C4"/>
    <w:rsid w:val="2E2D2BC8"/>
    <w:rsid w:val="2E31781E"/>
    <w:rsid w:val="2E3373C0"/>
    <w:rsid w:val="2E3D4CA8"/>
    <w:rsid w:val="2E3F6F72"/>
    <w:rsid w:val="2E416A97"/>
    <w:rsid w:val="2E47064B"/>
    <w:rsid w:val="2E580D08"/>
    <w:rsid w:val="2E5C7742"/>
    <w:rsid w:val="2E5C795A"/>
    <w:rsid w:val="2E5D58B3"/>
    <w:rsid w:val="2E5E0D12"/>
    <w:rsid w:val="2E605F65"/>
    <w:rsid w:val="2E623259"/>
    <w:rsid w:val="2E681DA7"/>
    <w:rsid w:val="2E6C3EC6"/>
    <w:rsid w:val="2E6F606B"/>
    <w:rsid w:val="2E755F09"/>
    <w:rsid w:val="2E783C7B"/>
    <w:rsid w:val="2E7D0C08"/>
    <w:rsid w:val="2E7E7634"/>
    <w:rsid w:val="2E7E7D58"/>
    <w:rsid w:val="2E822701"/>
    <w:rsid w:val="2E825209"/>
    <w:rsid w:val="2E827635"/>
    <w:rsid w:val="2E845365"/>
    <w:rsid w:val="2E851A25"/>
    <w:rsid w:val="2E887424"/>
    <w:rsid w:val="2E892395"/>
    <w:rsid w:val="2E893450"/>
    <w:rsid w:val="2E8B1841"/>
    <w:rsid w:val="2E8B5365"/>
    <w:rsid w:val="2E912691"/>
    <w:rsid w:val="2E93234D"/>
    <w:rsid w:val="2E933937"/>
    <w:rsid w:val="2E956E76"/>
    <w:rsid w:val="2E9A6DB0"/>
    <w:rsid w:val="2E9B5BAC"/>
    <w:rsid w:val="2EA02815"/>
    <w:rsid w:val="2EA1668E"/>
    <w:rsid w:val="2EA36B52"/>
    <w:rsid w:val="2EA91B2D"/>
    <w:rsid w:val="2EAE6213"/>
    <w:rsid w:val="2EB33C1A"/>
    <w:rsid w:val="2EB9222D"/>
    <w:rsid w:val="2EC53A6E"/>
    <w:rsid w:val="2EC64FF5"/>
    <w:rsid w:val="2ED67B22"/>
    <w:rsid w:val="2ED86AB9"/>
    <w:rsid w:val="2ED9433C"/>
    <w:rsid w:val="2EF025D0"/>
    <w:rsid w:val="2EF24B58"/>
    <w:rsid w:val="2EF31367"/>
    <w:rsid w:val="2EF403C1"/>
    <w:rsid w:val="2EFA0BDC"/>
    <w:rsid w:val="2EFC2E1C"/>
    <w:rsid w:val="2F055299"/>
    <w:rsid w:val="2F093861"/>
    <w:rsid w:val="2F0B08A9"/>
    <w:rsid w:val="2F0C75DF"/>
    <w:rsid w:val="2F103033"/>
    <w:rsid w:val="2F1941AF"/>
    <w:rsid w:val="2F1D385E"/>
    <w:rsid w:val="2F246EB6"/>
    <w:rsid w:val="2F2B6DC0"/>
    <w:rsid w:val="2F2F1B6F"/>
    <w:rsid w:val="2F2F1D9C"/>
    <w:rsid w:val="2F3415A7"/>
    <w:rsid w:val="2F353AE8"/>
    <w:rsid w:val="2F3B63A2"/>
    <w:rsid w:val="2F4174F5"/>
    <w:rsid w:val="2F4406AA"/>
    <w:rsid w:val="2F44328A"/>
    <w:rsid w:val="2F4D0DA4"/>
    <w:rsid w:val="2F4F3FB5"/>
    <w:rsid w:val="2F51072B"/>
    <w:rsid w:val="2F513FA4"/>
    <w:rsid w:val="2F63266B"/>
    <w:rsid w:val="2F78287E"/>
    <w:rsid w:val="2F7D2472"/>
    <w:rsid w:val="2F806284"/>
    <w:rsid w:val="2F85623E"/>
    <w:rsid w:val="2F8E0A8A"/>
    <w:rsid w:val="2F8F1CF8"/>
    <w:rsid w:val="2F93371F"/>
    <w:rsid w:val="2F9376E4"/>
    <w:rsid w:val="2F9378B4"/>
    <w:rsid w:val="2F95510F"/>
    <w:rsid w:val="2F9757C2"/>
    <w:rsid w:val="2F9D1FA5"/>
    <w:rsid w:val="2FA147FC"/>
    <w:rsid w:val="2FA43562"/>
    <w:rsid w:val="2FA4421A"/>
    <w:rsid w:val="2FAF151B"/>
    <w:rsid w:val="2FB12512"/>
    <w:rsid w:val="2FB30E0E"/>
    <w:rsid w:val="2FB370E1"/>
    <w:rsid w:val="2FB8112A"/>
    <w:rsid w:val="2FBF3D92"/>
    <w:rsid w:val="2FC35DAF"/>
    <w:rsid w:val="2FC619A1"/>
    <w:rsid w:val="2FCA2819"/>
    <w:rsid w:val="2FCF3F2F"/>
    <w:rsid w:val="2FD23F03"/>
    <w:rsid w:val="2FD80E22"/>
    <w:rsid w:val="2FDA2844"/>
    <w:rsid w:val="2FDC3642"/>
    <w:rsid w:val="2FDE5889"/>
    <w:rsid w:val="2FDE6FCE"/>
    <w:rsid w:val="2FE20AD5"/>
    <w:rsid w:val="2FEB1579"/>
    <w:rsid w:val="2FEF5567"/>
    <w:rsid w:val="2FF85B0D"/>
    <w:rsid w:val="2FFE5FE1"/>
    <w:rsid w:val="300846FA"/>
    <w:rsid w:val="300A766E"/>
    <w:rsid w:val="300E0423"/>
    <w:rsid w:val="3016102D"/>
    <w:rsid w:val="30165F02"/>
    <w:rsid w:val="302D566F"/>
    <w:rsid w:val="303312B5"/>
    <w:rsid w:val="303A4614"/>
    <w:rsid w:val="3040270E"/>
    <w:rsid w:val="30417260"/>
    <w:rsid w:val="30470CBF"/>
    <w:rsid w:val="30526179"/>
    <w:rsid w:val="30546C18"/>
    <w:rsid w:val="30553324"/>
    <w:rsid w:val="305B7F51"/>
    <w:rsid w:val="30610169"/>
    <w:rsid w:val="3061430C"/>
    <w:rsid w:val="306467C0"/>
    <w:rsid w:val="306C5389"/>
    <w:rsid w:val="306D3C30"/>
    <w:rsid w:val="30701A8F"/>
    <w:rsid w:val="30703A54"/>
    <w:rsid w:val="307043BA"/>
    <w:rsid w:val="30730787"/>
    <w:rsid w:val="30742EA2"/>
    <w:rsid w:val="30776694"/>
    <w:rsid w:val="307E1365"/>
    <w:rsid w:val="307F1DF4"/>
    <w:rsid w:val="307F51A7"/>
    <w:rsid w:val="308002FB"/>
    <w:rsid w:val="3082367A"/>
    <w:rsid w:val="30847166"/>
    <w:rsid w:val="308844B8"/>
    <w:rsid w:val="309B7A0A"/>
    <w:rsid w:val="309D7E73"/>
    <w:rsid w:val="309F39CF"/>
    <w:rsid w:val="30A11BED"/>
    <w:rsid w:val="30A53229"/>
    <w:rsid w:val="30A76689"/>
    <w:rsid w:val="30A811F0"/>
    <w:rsid w:val="30A910EB"/>
    <w:rsid w:val="30AE2FD2"/>
    <w:rsid w:val="30B5382F"/>
    <w:rsid w:val="30B67C1C"/>
    <w:rsid w:val="30B807C9"/>
    <w:rsid w:val="30B96626"/>
    <w:rsid w:val="30C564DF"/>
    <w:rsid w:val="30CA6C1E"/>
    <w:rsid w:val="30CE2544"/>
    <w:rsid w:val="30CF679D"/>
    <w:rsid w:val="30CF7748"/>
    <w:rsid w:val="30E11759"/>
    <w:rsid w:val="30E20F2D"/>
    <w:rsid w:val="30E30B9C"/>
    <w:rsid w:val="30E93461"/>
    <w:rsid w:val="30EE7C12"/>
    <w:rsid w:val="30F2087D"/>
    <w:rsid w:val="30F62BCE"/>
    <w:rsid w:val="30F95A1D"/>
    <w:rsid w:val="30FB454C"/>
    <w:rsid w:val="30FB70EE"/>
    <w:rsid w:val="3100708C"/>
    <w:rsid w:val="3106758B"/>
    <w:rsid w:val="310933FC"/>
    <w:rsid w:val="310A6E30"/>
    <w:rsid w:val="310B7C7E"/>
    <w:rsid w:val="310C10E3"/>
    <w:rsid w:val="310F3DF1"/>
    <w:rsid w:val="31162FEA"/>
    <w:rsid w:val="311C4E40"/>
    <w:rsid w:val="31214A03"/>
    <w:rsid w:val="312D60C8"/>
    <w:rsid w:val="312F4B20"/>
    <w:rsid w:val="31374361"/>
    <w:rsid w:val="31394259"/>
    <w:rsid w:val="313B4B11"/>
    <w:rsid w:val="313D3585"/>
    <w:rsid w:val="31420A5D"/>
    <w:rsid w:val="31446B1F"/>
    <w:rsid w:val="314B629F"/>
    <w:rsid w:val="315263A5"/>
    <w:rsid w:val="31532083"/>
    <w:rsid w:val="31584E56"/>
    <w:rsid w:val="315C17BB"/>
    <w:rsid w:val="31613464"/>
    <w:rsid w:val="31657D36"/>
    <w:rsid w:val="31670F19"/>
    <w:rsid w:val="316771CC"/>
    <w:rsid w:val="31685A2A"/>
    <w:rsid w:val="31693BB2"/>
    <w:rsid w:val="316B230A"/>
    <w:rsid w:val="31755198"/>
    <w:rsid w:val="317771F5"/>
    <w:rsid w:val="31795C51"/>
    <w:rsid w:val="317E45C9"/>
    <w:rsid w:val="31850201"/>
    <w:rsid w:val="318B7925"/>
    <w:rsid w:val="318E5740"/>
    <w:rsid w:val="31940711"/>
    <w:rsid w:val="31950279"/>
    <w:rsid w:val="31967E81"/>
    <w:rsid w:val="31973D54"/>
    <w:rsid w:val="31986E19"/>
    <w:rsid w:val="319D399E"/>
    <w:rsid w:val="319F74E9"/>
    <w:rsid w:val="31A611C2"/>
    <w:rsid w:val="31AA3C94"/>
    <w:rsid w:val="31AB7E71"/>
    <w:rsid w:val="31AD38C7"/>
    <w:rsid w:val="31B34135"/>
    <w:rsid w:val="31B64A61"/>
    <w:rsid w:val="31B66168"/>
    <w:rsid w:val="31BA627E"/>
    <w:rsid w:val="31BD65A7"/>
    <w:rsid w:val="31BE5F46"/>
    <w:rsid w:val="31BF6512"/>
    <w:rsid w:val="31C11E94"/>
    <w:rsid w:val="31C27726"/>
    <w:rsid w:val="31C4150D"/>
    <w:rsid w:val="31CB0552"/>
    <w:rsid w:val="31CD2AE7"/>
    <w:rsid w:val="31CF466C"/>
    <w:rsid w:val="31D21EF1"/>
    <w:rsid w:val="31D8371B"/>
    <w:rsid w:val="31DD2C39"/>
    <w:rsid w:val="31E13483"/>
    <w:rsid w:val="31EB75C3"/>
    <w:rsid w:val="31EE1058"/>
    <w:rsid w:val="31F54BF8"/>
    <w:rsid w:val="31FB3986"/>
    <w:rsid w:val="31FD1117"/>
    <w:rsid w:val="31FE2265"/>
    <w:rsid w:val="31FF5CB0"/>
    <w:rsid w:val="32033E8B"/>
    <w:rsid w:val="3203466D"/>
    <w:rsid w:val="32080A5F"/>
    <w:rsid w:val="320E7D48"/>
    <w:rsid w:val="32103B19"/>
    <w:rsid w:val="3212415C"/>
    <w:rsid w:val="321B44EA"/>
    <w:rsid w:val="32271CB5"/>
    <w:rsid w:val="322A281E"/>
    <w:rsid w:val="322B58D2"/>
    <w:rsid w:val="322C7A4D"/>
    <w:rsid w:val="322D0DFE"/>
    <w:rsid w:val="322E7C23"/>
    <w:rsid w:val="323A4554"/>
    <w:rsid w:val="323E36CC"/>
    <w:rsid w:val="32484EEE"/>
    <w:rsid w:val="324A1A3B"/>
    <w:rsid w:val="324C624D"/>
    <w:rsid w:val="324E1753"/>
    <w:rsid w:val="3251108B"/>
    <w:rsid w:val="325654D9"/>
    <w:rsid w:val="325B3B7E"/>
    <w:rsid w:val="325C3E34"/>
    <w:rsid w:val="325D2F81"/>
    <w:rsid w:val="325F3A62"/>
    <w:rsid w:val="32612470"/>
    <w:rsid w:val="32627142"/>
    <w:rsid w:val="32645F4A"/>
    <w:rsid w:val="32671024"/>
    <w:rsid w:val="32697544"/>
    <w:rsid w:val="326B1841"/>
    <w:rsid w:val="32706A1B"/>
    <w:rsid w:val="32756AA2"/>
    <w:rsid w:val="32767E46"/>
    <w:rsid w:val="32770930"/>
    <w:rsid w:val="327D22E0"/>
    <w:rsid w:val="327F5417"/>
    <w:rsid w:val="32815B24"/>
    <w:rsid w:val="328365AF"/>
    <w:rsid w:val="3283673A"/>
    <w:rsid w:val="32842BA2"/>
    <w:rsid w:val="32865F78"/>
    <w:rsid w:val="328A4C50"/>
    <w:rsid w:val="329F27F3"/>
    <w:rsid w:val="32A06369"/>
    <w:rsid w:val="32A25988"/>
    <w:rsid w:val="32A32319"/>
    <w:rsid w:val="32A50A25"/>
    <w:rsid w:val="32A8495B"/>
    <w:rsid w:val="32A92FA1"/>
    <w:rsid w:val="32A975EF"/>
    <w:rsid w:val="32AA74E7"/>
    <w:rsid w:val="32AB54BB"/>
    <w:rsid w:val="32AC4560"/>
    <w:rsid w:val="32AD6AB6"/>
    <w:rsid w:val="32B16D21"/>
    <w:rsid w:val="32B2301A"/>
    <w:rsid w:val="32B91F54"/>
    <w:rsid w:val="32B92A0E"/>
    <w:rsid w:val="32C0513D"/>
    <w:rsid w:val="32C50EF6"/>
    <w:rsid w:val="32CF2FF5"/>
    <w:rsid w:val="32D10B34"/>
    <w:rsid w:val="32D836FE"/>
    <w:rsid w:val="32D91FB1"/>
    <w:rsid w:val="32DC554D"/>
    <w:rsid w:val="32DF235F"/>
    <w:rsid w:val="32E03425"/>
    <w:rsid w:val="32E27DDC"/>
    <w:rsid w:val="32E329D7"/>
    <w:rsid w:val="32E50DE5"/>
    <w:rsid w:val="32E546E0"/>
    <w:rsid w:val="32E931E4"/>
    <w:rsid w:val="32F2157D"/>
    <w:rsid w:val="32F36562"/>
    <w:rsid w:val="32F46EC0"/>
    <w:rsid w:val="32FC6142"/>
    <w:rsid w:val="330A5DE5"/>
    <w:rsid w:val="330B7B76"/>
    <w:rsid w:val="330E36CE"/>
    <w:rsid w:val="330F27C3"/>
    <w:rsid w:val="330F5D59"/>
    <w:rsid w:val="33135F87"/>
    <w:rsid w:val="33161B43"/>
    <w:rsid w:val="331978F9"/>
    <w:rsid w:val="331C6569"/>
    <w:rsid w:val="331C6BFC"/>
    <w:rsid w:val="331C7085"/>
    <w:rsid w:val="33212AC8"/>
    <w:rsid w:val="332F39D4"/>
    <w:rsid w:val="33311A44"/>
    <w:rsid w:val="33330460"/>
    <w:rsid w:val="33352038"/>
    <w:rsid w:val="333853B7"/>
    <w:rsid w:val="33420C8A"/>
    <w:rsid w:val="334573AE"/>
    <w:rsid w:val="33470C14"/>
    <w:rsid w:val="33544D43"/>
    <w:rsid w:val="335837DD"/>
    <w:rsid w:val="335A5B9B"/>
    <w:rsid w:val="335D0CF9"/>
    <w:rsid w:val="336354CB"/>
    <w:rsid w:val="33654B05"/>
    <w:rsid w:val="33740D7C"/>
    <w:rsid w:val="3374225A"/>
    <w:rsid w:val="337F10C3"/>
    <w:rsid w:val="339373D9"/>
    <w:rsid w:val="33A62A8B"/>
    <w:rsid w:val="33A75780"/>
    <w:rsid w:val="33AC170C"/>
    <w:rsid w:val="33BA277B"/>
    <w:rsid w:val="33BD636C"/>
    <w:rsid w:val="33CE7F87"/>
    <w:rsid w:val="33D11554"/>
    <w:rsid w:val="33D64C57"/>
    <w:rsid w:val="33D66C4A"/>
    <w:rsid w:val="33D7577F"/>
    <w:rsid w:val="33DE0615"/>
    <w:rsid w:val="33E307A2"/>
    <w:rsid w:val="33E349FF"/>
    <w:rsid w:val="33E404BC"/>
    <w:rsid w:val="33E421BF"/>
    <w:rsid w:val="33E45A4C"/>
    <w:rsid w:val="33E61403"/>
    <w:rsid w:val="33E7005C"/>
    <w:rsid w:val="33EB1AFD"/>
    <w:rsid w:val="33EB6DF8"/>
    <w:rsid w:val="33F4245F"/>
    <w:rsid w:val="33F951D9"/>
    <w:rsid w:val="33FA40B8"/>
    <w:rsid w:val="340463BB"/>
    <w:rsid w:val="34081374"/>
    <w:rsid w:val="340A5C0F"/>
    <w:rsid w:val="340D7916"/>
    <w:rsid w:val="341149CE"/>
    <w:rsid w:val="34114D86"/>
    <w:rsid w:val="34136FDA"/>
    <w:rsid w:val="341D2353"/>
    <w:rsid w:val="341D592C"/>
    <w:rsid w:val="341E1958"/>
    <w:rsid w:val="342627D5"/>
    <w:rsid w:val="34285AA4"/>
    <w:rsid w:val="34294082"/>
    <w:rsid w:val="34294575"/>
    <w:rsid w:val="342A14B3"/>
    <w:rsid w:val="34307612"/>
    <w:rsid w:val="343B4E08"/>
    <w:rsid w:val="343C7E9C"/>
    <w:rsid w:val="343E45DE"/>
    <w:rsid w:val="34434DD7"/>
    <w:rsid w:val="3445545B"/>
    <w:rsid w:val="344865E5"/>
    <w:rsid w:val="344975C9"/>
    <w:rsid w:val="344B1281"/>
    <w:rsid w:val="344E78DE"/>
    <w:rsid w:val="345004D9"/>
    <w:rsid w:val="34526871"/>
    <w:rsid w:val="345904F9"/>
    <w:rsid w:val="346037E1"/>
    <w:rsid w:val="34690AFA"/>
    <w:rsid w:val="346C2F4A"/>
    <w:rsid w:val="346E7DBF"/>
    <w:rsid w:val="34725455"/>
    <w:rsid w:val="34733F92"/>
    <w:rsid w:val="34770B5F"/>
    <w:rsid w:val="34794007"/>
    <w:rsid w:val="347F1F08"/>
    <w:rsid w:val="348236FF"/>
    <w:rsid w:val="348641EB"/>
    <w:rsid w:val="34865CF3"/>
    <w:rsid w:val="34877A82"/>
    <w:rsid w:val="348925DF"/>
    <w:rsid w:val="348B042D"/>
    <w:rsid w:val="348B7E81"/>
    <w:rsid w:val="348F038F"/>
    <w:rsid w:val="349A1EB4"/>
    <w:rsid w:val="349B15A1"/>
    <w:rsid w:val="349D40CC"/>
    <w:rsid w:val="34A1352C"/>
    <w:rsid w:val="34AD5EAE"/>
    <w:rsid w:val="34AE0E99"/>
    <w:rsid w:val="34AF52D6"/>
    <w:rsid w:val="34B964C1"/>
    <w:rsid w:val="34BB0CD3"/>
    <w:rsid w:val="34BD7F00"/>
    <w:rsid w:val="34C35CDA"/>
    <w:rsid w:val="34C57694"/>
    <w:rsid w:val="34CC2C24"/>
    <w:rsid w:val="34CF2A91"/>
    <w:rsid w:val="34D51F51"/>
    <w:rsid w:val="34D62BF4"/>
    <w:rsid w:val="34D768F7"/>
    <w:rsid w:val="34D90FCC"/>
    <w:rsid w:val="34DA39C3"/>
    <w:rsid w:val="34DD1C8C"/>
    <w:rsid w:val="34DF2F82"/>
    <w:rsid w:val="34E13DD5"/>
    <w:rsid w:val="34E2522A"/>
    <w:rsid w:val="34E345D4"/>
    <w:rsid w:val="34ED13FE"/>
    <w:rsid w:val="34F018AD"/>
    <w:rsid w:val="34F34D3D"/>
    <w:rsid w:val="34F56FDE"/>
    <w:rsid w:val="34F62EEB"/>
    <w:rsid w:val="34F9315F"/>
    <w:rsid w:val="34F97BFF"/>
    <w:rsid w:val="35011028"/>
    <w:rsid w:val="350179AF"/>
    <w:rsid w:val="3506299E"/>
    <w:rsid w:val="35067877"/>
    <w:rsid w:val="35074561"/>
    <w:rsid w:val="35085581"/>
    <w:rsid w:val="350C0F07"/>
    <w:rsid w:val="3512587F"/>
    <w:rsid w:val="35164732"/>
    <w:rsid w:val="35184D00"/>
    <w:rsid w:val="351E7D09"/>
    <w:rsid w:val="351F34A4"/>
    <w:rsid w:val="352B2813"/>
    <w:rsid w:val="35381620"/>
    <w:rsid w:val="35383575"/>
    <w:rsid w:val="3539536D"/>
    <w:rsid w:val="353A5405"/>
    <w:rsid w:val="353A7F2E"/>
    <w:rsid w:val="353E65A1"/>
    <w:rsid w:val="354109E4"/>
    <w:rsid w:val="3544649F"/>
    <w:rsid w:val="35446E02"/>
    <w:rsid w:val="35452391"/>
    <w:rsid w:val="354979E5"/>
    <w:rsid w:val="354C6904"/>
    <w:rsid w:val="3551211C"/>
    <w:rsid w:val="3551794E"/>
    <w:rsid w:val="355F4F12"/>
    <w:rsid w:val="356603C8"/>
    <w:rsid w:val="356B0990"/>
    <w:rsid w:val="35833C30"/>
    <w:rsid w:val="358527B7"/>
    <w:rsid w:val="35897DD6"/>
    <w:rsid w:val="358A2B65"/>
    <w:rsid w:val="358D5B96"/>
    <w:rsid w:val="358E2BDB"/>
    <w:rsid w:val="35916398"/>
    <w:rsid w:val="359C1ACB"/>
    <w:rsid w:val="35A012EC"/>
    <w:rsid w:val="35A9102D"/>
    <w:rsid w:val="35B7486F"/>
    <w:rsid w:val="35B944FC"/>
    <w:rsid w:val="35BC1D02"/>
    <w:rsid w:val="35C07319"/>
    <w:rsid w:val="35C63453"/>
    <w:rsid w:val="35C95F3F"/>
    <w:rsid w:val="35D64392"/>
    <w:rsid w:val="35DA6BAE"/>
    <w:rsid w:val="35DF4821"/>
    <w:rsid w:val="35E16912"/>
    <w:rsid w:val="35E668FD"/>
    <w:rsid w:val="35E677D4"/>
    <w:rsid w:val="35E77980"/>
    <w:rsid w:val="35E915BC"/>
    <w:rsid w:val="35E950AE"/>
    <w:rsid w:val="35F41147"/>
    <w:rsid w:val="35F652CE"/>
    <w:rsid w:val="35FE338E"/>
    <w:rsid w:val="36026A32"/>
    <w:rsid w:val="360603F0"/>
    <w:rsid w:val="360918D1"/>
    <w:rsid w:val="36113EA6"/>
    <w:rsid w:val="36154B36"/>
    <w:rsid w:val="36185134"/>
    <w:rsid w:val="36226B45"/>
    <w:rsid w:val="362542DA"/>
    <w:rsid w:val="3630532A"/>
    <w:rsid w:val="36355C99"/>
    <w:rsid w:val="363901FA"/>
    <w:rsid w:val="363A1065"/>
    <w:rsid w:val="363C284E"/>
    <w:rsid w:val="364227A8"/>
    <w:rsid w:val="36433132"/>
    <w:rsid w:val="36450A2C"/>
    <w:rsid w:val="364514DB"/>
    <w:rsid w:val="364C1DB6"/>
    <w:rsid w:val="36503D28"/>
    <w:rsid w:val="365041E4"/>
    <w:rsid w:val="3654655B"/>
    <w:rsid w:val="36557F7E"/>
    <w:rsid w:val="36585BFB"/>
    <w:rsid w:val="365C5B35"/>
    <w:rsid w:val="365D6405"/>
    <w:rsid w:val="36607E81"/>
    <w:rsid w:val="36670789"/>
    <w:rsid w:val="3674137E"/>
    <w:rsid w:val="36782E8C"/>
    <w:rsid w:val="367F76AF"/>
    <w:rsid w:val="368231C9"/>
    <w:rsid w:val="36895A48"/>
    <w:rsid w:val="368D5697"/>
    <w:rsid w:val="36971AEE"/>
    <w:rsid w:val="369905C1"/>
    <w:rsid w:val="36994DA9"/>
    <w:rsid w:val="36997EE9"/>
    <w:rsid w:val="369B0E3F"/>
    <w:rsid w:val="36B33727"/>
    <w:rsid w:val="36B41D74"/>
    <w:rsid w:val="36B83F3C"/>
    <w:rsid w:val="36BB20B8"/>
    <w:rsid w:val="36C564CF"/>
    <w:rsid w:val="36E135C3"/>
    <w:rsid w:val="36E2414D"/>
    <w:rsid w:val="36E92F68"/>
    <w:rsid w:val="36EE2B5D"/>
    <w:rsid w:val="36F24E5C"/>
    <w:rsid w:val="36F33E58"/>
    <w:rsid w:val="37022D74"/>
    <w:rsid w:val="37042D14"/>
    <w:rsid w:val="3705734B"/>
    <w:rsid w:val="370666A2"/>
    <w:rsid w:val="37067EE5"/>
    <w:rsid w:val="370826AE"/>
    <w:rsid w:val="370B6CB2"/>
    <w:rsid w:val="370E1405"/>
    <w:rsid w:val="370E1CCB"/>
    <w:rsid w:val="37121E23"/>
    <w:rsid w:val="37141168"/>
    <w:rsid w:val="37143882"/>
    <w:rsid w:val="3716414D"/>
    <w:rsid w:val="371B2A6A"/>
    <w:rsid w:val="371D6F1B"/>
    <w:rsid w:val="371F65FA"/>
    <w:rsid w:val="3720717A"/>
    <w:rsid w:val="37234BAA"/>
    <w:rsid w:val="37241F85"/>
    <w:rsid w:val="37256715"/>
    <w:rsid w:val="372A5244"/>
    <w:rsid w:val="372B1A4B"/>
    <w:rsid w:val="372C3F4E"/>
    <w:rsid w:val="372D79B8"/>
    <w:rsid w:val="372F21BF"/>
    <w:rsid w:val="374423B7"/>
    <w:rsid w:val="37466517"/>
    <w:rsid w:val="375176BA"/>
    <w:rsid w:val="375D762D"/>
    <w:rsid w:val="3768123B"/>
    <w:rsid w:val="376B27A4"/>
    <w:rsid w:val="376F0FA8"/>
    <w:rsid w:val="377568D8"/>
    <w:rsid w:val="37822FE3"/>
    <w:rsid w:val="378620C1"/>
    <w:rsid w:val="378A5B8A"/>
    <w:rsid w:val="378E7977"/>
    <w:rsid w:val="37994C36"/>
    <w:rsid w:val="37A00631"/>
    <w:rsid w:val="37A40437"/>
    <w:rsid w:val="37A51533"/>
    <w:rsid w:val="37A80874"/>
    <w:rsid w:val="37A84F13"/>
    <w:rsid w:val="37B54754"/>
    <w:rsid w:val="37BD6DA4"/>
    <w:rsid w:val="37BF0C23"/>
    <w:rsid w:val="37C53C06"/>
    <w:rsid w:val="37CA23DE"/>
    <w:rsid w:val="37CA69F5"/>
    <w:rsid w:val="37CD1FC5"/>
    <w:rsid w:val="37CE1828"/>
    <w:rsid w:val="37CF10E9"/>
    <w:rsid w:val="37CF1D8E"/>
    <w:rsid w:val="37CF40CF"/>
    <w:rsid w:val="37D25CBB"/>
    <w:rsid w:val="37D5406D"/>
    <w:rsid w:val="37D662B0"/>
    <w:rsid w:val="37DF7732"/>
    <w:rsid w:val="37E25DC6"/>
    <w:rsid w:val="37E54996"/>
    <w:rsid w:val="37E650E0"/>
    <w:rsid w:val="37EA4D80"/>
    <w:rsid w:val="37ED52A1"/>
    <w:rsid w:val="37F244C2"/>
    <w:rsid w:val="37F90E31"/>
    <w:rsid w:val="37FB529D"/>
    <w:rsid w:val="380E20E7"/>
    <w:rsid w:val="381700AE"/>
    <w:rsid w:val="381C70FC"/>
    <w:rsid w:val="381D0D22"/>
    <w:rsid w:val="381E266F"/>
    <w:rsid w:val="38200AEA"/>
    <w:rsid w:val="38220324"/>
    <w:rsid w:val="382837EC"/>
    <w:rsid w:val="382A576C"/>
    <w:rsid w:val="382A75B8"/>
    <w:rsid w:val="382D09E6"/>
    <w:rsid w:val="382F6825"/>
    <w:rsid w:val="382F6903"/>
    <w:rsid w:val="383D0366"/>
    <w:rsid w:val="38413EED"/>
    <w:rsid w:val="384D1169"/>
    <w:rsid w:val="384F2A69"/>
    <w:rsid w:val="38504F20"/>
    <w:rsid w:val="38505836"/>
    <w:rsid w:val="385274D7"/>
    <w:rsid w:val="3855368B"/>
    <w:rsid w:val="38587504"/>
    <w:rsid w:val="385E070C"/>
    <w:rsid w:val="385E1859"/>
    <w:rsid w:val="38680EBB"/>
    <w:rsid w:val="387A1EF6"/>
    <w:rsid w:val="387B28F9"/>
    <w:rsid w:val="38834827"/>
    <w:rsid w:val="38853AB8"/>
    <w:rsid w:val="388542C2"/>
    <w:rsid w:val="3886296C"/>
    <w:rsid w:val="3895668E"/>
    <w:rsid w:val="38960D57"/>
    <w:rsid w:val="38984052"/>
    <w:rsid w:val="389C730F"/>
    <w:rsid w:val="389F7E58"/>
    <w:rsid w:val="38A85F62"/>
    <w:rsid w:val="38AA7493"/>
    <w:rsid w:val="38AF59BF"/>
    <w:rsid w:val="38B6035F"/>
    <w:rsid w:val="38BF61D2"/>
    <w:rsid w:val="38C05FB3"/>
    <w:rsid w:val="38C42156"/>
    <w:rsid w:val="38CA0EAC"/>
    <w:rsid w:val="38CC625A"/>
    <w:rsid w:val="38D20CC8"/>
    <w:rsid w:val="38D26D29"/>
    <w:rsid w:val="38D73B55"/>
    <w:rsid w:val="38DA66B8"/>
    <w:rsid w:val="38DE62E8"/>
    <w:rsid w:val="38E24579"/>
    <w:rsid w:val="38E34A47"/>
    <w:rsid w:val="38E71107"/>
    <w:rsid w:val="38F50D77"/>
    <w:rsid w:val="38FB4B6B"/>
    <w:rsid w:val="38FB6407"/>
    <w:rsid w:val="39022AFE"/>
    <w:rsid w:val="39051F91"/>
    <w:rsid w:val="39057DD2"/>
    <w:rsid w:val="3909302B"/>
    <w:rsid w:val="390A510A"/>
    <w:rsid w:val="3918136F"/>
    <w:rsid w:val="391C1F15"/>
    <w:rsid w:val="391E2DFB"/>
    <w:rsid w:val="392C26C2"/>
    <w:rsid w:val="392E766B"/>
    <w:rsid w:val="392F456C"/>
    <w:rsid w:val="393956EF"/>
    <w:rsid w:val="393C6F0A"/>
    <w:rsid w:val="393E5154"/>
    <w:rsid w:val="393E6548"/>
    <w:rsid w:val="393E7B0F"/>
    <w:rsid w:val="394774D8"/>
    <w:rsid w:val="394B4749"/>
    <w:rsid w:val="394E5223"/>
    <w:rsid w:val="39500EFC"/>
    <w:rsid w:val="3957021F"/>
    <w:rsid w:val="395751A6"/>
    <w:rsid w:val="395D59E7"/>
    <w:rsid w:val="39614A9D"/>
    <w:rsid w:val="397114CB"/>
    <w:rsid w:val="39775B2D"/>
    <w:rsid w:val="397966F0"/>
    <w:rsid w:val="397C3C38"/>
    <w:rsid w:val="397E713E"/>
    <w:rsid w:val="3998390E"/>
    <w:rsid w:val="3998417F"/>
    <w:rsid w:val="399F50DC"/>
    <w:rsid w:val="39A51F61"/>
    <w:rsid w:val="39A80F95"/>
    <w:rsid w:val="39A86AC3"/>
    <w:rsid w:val="39A87E38"/>
    <w:rsid w:val="39AD0B6B"/>
    <w:rsid w:val="39B30F3B"/>
    <w:rsid w:val="39B334EE"/>
    <w:rsid w:val="39BD4319"/>
    <w:rsid w:val="39C508DC"/>
    <w:rsid w:val="39C66534"/>
    <w:rsid w:val="39D3473E"/>
    <w:rsid w:val="39D42C32"/>
    <w:rsid w:val="39DF5608"/>
    <w:rsid w:val="39E20DBE"/>
    <w:rsid w:val="39E42BD5"/>
    <w:rsid w:val="39F17857"/>
    <w:rsid w:val="39F3062E"/>
    <w:rsid w:val="39F44D01"/>
    <w:rsid w:val="39F54DC3"/>
    <w:rsid w:val="3A071A45"/>
    <w:rsid w:val="3A11755D"/>
    <w:rsid w:val="3A120099"/>
    <w:rsid w:val="3A160C4E"/>
    <w:rsid w:val="3A193C7B"/>
    <w:rsid w:val="3A1A6471"/>
    <w:rsid w:val="3A1F5EA9"/>
    <w:rsid w:val="3A2827E6"/>
    <w:rsid w:val="3A283EE3"/>
    <w:rsid w:val="3A2B09D5"/>
    <w:rsid w:val="3A2C6BB5"/>
    <w:rsid w:val="3A313D30"/>
    <w:rsid w:val="3A3201D8"/>
    <w:rsid w:val="3A3231E1"/>
    <w:rsid w:val="3A3A3D32"/>
    <w:rsid w:val="3A3B55D4"/>
    <w:rsid w:val="3A3F3104"/>
    <w:rsid w:val="3A3F325D"/>
    <w:rsid w:val="3A40630C"/>
    <w:rsid w:val="3A406A93"/>
    <w:rsid w:val="3A433806"/>
    <w:rsid w:val="3A4369B2"/>
    <w:rsid w:val="3A476310"/>
    <w:rsid w:val="3A515B93"/>
    <w:rsid w:val="3A5230FA"/>
    <w:rsid w:val="3A53694F"/>
    <w:rsid w:val="3A582613"/>
    <w:rsid w:val="3A582E00"/>
    <w:rsid w:val="3A58763B"/>
    <w:rsid w:val="3A5D3E84"/>
    <w:rsid w:val="3A5E124D"/>
    <w:rsid w:val="3A5F5B7C"/>
    <w:rsid w:val="3A615311"/>
    <w:rsid w:val="3A6400F1"/>
    <w:rsid w:val="3A685B31"/>
    <w:rsid w:val="3A6D5F43"/>
    <w:rsid w:val="3A6E772D"/>
    <w:rsid w:val="3A6F6F3B"/>
    <w:rsid w:val="3A710B37"/>
    <w:rsid w:val="3A71144B"/>
    <w:rsid w:val="3A790E57"/>
    <w:rsid w:val="3A796560"/>
    <w:rsid w:val="3A7B365C"/>
    <w:rsid w:val="3A855562"/>
    <w:rsid w:val="3A875DEE"/>
    <w:rsid w:val="3A8A0F69"/>
    <w:rsid w:val="3A902739"/>
    <w:rsid w:val="3A9F2911"/>
    <w:rsid w:val="3AA3614A"/>
    <w:rsid w:val="3AA57365"/>
    <w:rsid w:val="3AA65378"/>
    <w:rsid w:val="3AB46703"/>
    <w:rsid w:val="3AB50F76"/>
    <w:rsid w:val="3ABD71D3"/>
    <w:rsid w:val="3ABF6228"/>
    <w:rsid w:val="3AC04DDB"/>
    <w:rsid w:val="3AC45727"/>
    <w:rsid w:val="3AC63648"/>
    <w:rsid w:val="3AC6654C"/>
    <w:rsid w:val="3ACD7AB0"/>
    <w:rsid w:val="3ACE27E6"/>
    <w:rsid w:val="3ACE4ECE"/>
    <w:rsid w:val="3ACF28F6"/>
    <w:rsid w:val="3ADF0D1D"/>
    <w:rsid w:val="3ADF32AE"/>
    <w:rsid w:val="3AE06B51"/>
    <w:rsid w:val="3AE1063B"/>
    <w:rsid w:val="3AE10B66"/>
    <w:rsid w:val="3AE476DC"/>
    <w:rsid w:val="3AE61C11"/>
    <w:rsid w:val="3AE84E4F"/>
    <w:rsid w:val="3AE95BF0"/>
    <w:rsid w:val="3AE9601F"/>
    <w:rsid w:val="3AEC0721"/>
    <w:rsid w:val="3AED2F8A"/>
    <w:rsid w:val="3AF04A0B"/>
    <w:rsid w:val="3AF150C5"/>
    <w:rsid w:val="3AF1692A"/>
    <w:rsid w:val="3AF323E2"/>
    <w:rsid w:val="3AF74A7E"/>
    <w:rsid w:val="3AF7586D"/>
    <w:rsid w:val="3AFE33A6"/>
    <w:rsid w:val="3B0001D8"/>
    <w:rsid w:val="3B037488"/>
    <w:rsid w:val="3B047B82"/>
    <w:rsid w:val="3B0513FB"/>
    <w:rsid w:val="3B056908"/>
    <w:rsid w:val="3B080543"/>
    <w:rsid w:val="3B0A01DC"/>
    <w:rsid w:val="3B160443"/>
    <w:rsid w:val="3B166274"/>
    <w:rsid w:val="3B2667C2"/>
    <w:rsid w:val="3B2D4432"/>
    <w:rsid w:val="3B2E631A"/>
    <w:rsid w:val="3B4137AE"/>
    <w:rsid w:val="3B4B0726"/>
    <w:rsid w:val="3B532815"/>
    <w:rsid w:val="3B551129"/>
    <w:rsid w:val="3B5555DA"/>
    <w:rsid w:val="3B570666"/>
    <w:rsid w:val="3B57331B"/>
    <w:rsid w:val="3B5D7AAF"/>
    <w:rsid w:val="3B5E2C6E"/>
    <w:rsid w:val="3B64301A"/>
    <w:rsid w:val="3B652A55"/>
    <w:rsid w:val="3B653172"/>
    <w:rsid w:val="3B7000D6"/>
    <w:rsid w:val="3B7159A8"/>
    <w:rsid w:val="3B752CA8"/>
    <w:rsid w:val="3B762AF7"/>
    <w:rsid w:val="3B784DE5"/>
    <w:rsid w:val="3B825024"/>
    <w:rsid w:val="3B834B5B"/>
    <w:rsid w:val="3B871DC4"/>
    <w:rsid w:val="3B886347"/>
    <w:rsid w:val="3B894C91"/>
    <w:rsid w:val="3B8B480E"/>
    <w:rsid w:val="3B8B756F"/>
    <w:rsid w:val="3B8C7E9F"/>
    <w:rsid w:val="3B9910D4"/>
    <w:rsid w:val="3B9D5ECB"/>
    <w:rsid w:val="3BA20468"/>
    <w:rsid w:val="3BA2285E"/>
    <w:rsid w:val="3BA22FF5"/>
    <w:rsid w:val="3BA337F4"/>
    <w:rsid w:val="3BA406ED"/>
    <w:rsid w:val="3BA55685"/>
    <w:rsid w:val="3BA66C78"/>
    <w:rsid w:val="3BA703C2"/>
    <w:rsid w:val="3BAA1500"/>
    <w:rsid w:val="3BAA2282"/>
    <w:rsid w:val="3BB10D7F"/>
    <w:rsid w:val="3BB33056"/>
    <w:rsid w:val="3BB46356"/>
    <w:rsid w:val="3BB545F3"/>
    <w:rsid w:val="3BB74736"/>
    <w:rsid w:val="3BBB2583"/>
    <w:rsid w:val="3BBC0DCA"/>
    <w:rsid w:val="3BCA10ED"/>
    <w:rsid w:val="3BCD15B8"/>
    <w:rsid w:val="3BD036B8"/>
    <w:rsid w:val="3BD3796D"/>
    <w:rsid w:val="3BD65A73"/>
    <w:rsid w:val="3BDA260E"/>
    <w:rsid w:val="3BDD5884"/>
    <w:rsid w:val="3BE227FF"/>
    <w:rsid w:val="3BE76D91"/>
    <w:rsid w:val="3BEF71F0"/>
    <w:rsid w:val="3BEF7C1D"/>
    <w:rsid w:val="3BF25654"/>
    <w:rsid w:val="3BF35326"/>
    <w:rsid w:val="3BF36C0F"/>
    <w:rsid w:val="3BF827E0"/>
    <w:rsid w:val="3BFC1681"/>
    <w:rsid w:val="3BFE6628"/>
    <w:rsid w:val="3C0629DD"/>
    <w:rsid w:val="3C085799"/>
    <w:rsid w:val="3C09318A"/>
    <w:rsid w:val="3C0A2332"/>
    <w:rsid w:val="3C0B567A"/>
    <w:rsid w:val="3C0F58A5"/>
    <w:rsid w:val="3C120E6E"/>
    <w:rsid w:val="3C161696"/>
    <w:rsid w:val="3C1A5E47"/>
    <w:rsid w:val="3C1E5618"/>
    <w:rsid w:val="3C1F0922"/>
    <w:rsid w:val="3C200E8F"/>
    <w:rsid w:val="3C223873"/>
    <w:rsid w:val="3C285353"/>
    <w:rsid w:val="3C31262B"/>
    <w:rsid w:val="3C3918CE"/>
    <w:rsid w:val="3C3A0226"/>
    <w:rsid w:val="3C3E415F"/>
    <w:rsid w:val="3C40225F"/>
    <w:rsid w:val="3C463C09"/>
    <w:rsid w:val="3C4C3999"/>
    <w:rsid w:val="3C4D6675"/>
    <w:rsid w:val="3C564175"/>
    <w:rsid w:val="3C5E5D64"/>
    <w:rsid w:val="3C5F2120"/>
    <w:rsid w:val="3C63110E"/>
    <w:rsid w:val="3C6968CF"/>
    <w:rsid w:val="3C6C554E"/>
    <w:rsid w:val="3C6C7034"/>
    <w:rsid w:val="3C6F04AB"/>
    <w:rsid w:val="3C70365F"/>
    <w:rsid w:val="3C707952"/>
    <w:rsid w:val="3C731D3F"/>
    <w:rsid w:val="3C877E87"/>
    <w:rsid w:val="3C881B67"/>
    <w:rsid w:val="3C8B46F1"/>
    <w:rsid w:val="3C8F6AB0"/>
    <w:rsid w:val="3C960E27"/>
    <w:rsid w:val="3C975F1A"/>
    <w:rsid w:val="3C980156"/>
    <w:rsid w:val="3C9A4EF1"/>
    <w:rsid w:val="3CA36119"/>
    <w:rsid w:val="3CA47513"/>
    <w:rsid w:val="3CA82200"/>
    <w:rsid w:val="3CAC0B47"/>
    <w:rsid w:val="3CAD6E68"/>
    <w:rsid w:val="3CAE7817"/>
    <w:rsid w:val="3CBD6B8F"/>
    <w:rsid w:val="3CBF6DE6"/>
    <w:rsid w:val="3CCA1243"/>
    <w:rsid w:val="3CCE4FAD"/>
    <w:rsid w:val="3CCE584C"/>
    <w:rsid w:val="3CCF7B2E"/>
    <w:rsid w:val="3CD03E29"/>
    <w:rsid w:val="3CD1792F"/>
    <w:rsid w:val="3CD8337D"/>
    <w:rsid w:val="3CDB6A65"/>
    <w:rsid w:val="3CDD32A1"/>
    <w:rsid w:val="3CDD36FC"/>
    <w:rsid w:val="3CDE50AF"/>
    <w:rsid w:val="3CDF2809"/>
    <w:rsid w:val="3CE35C05"/>
    <w:rsid w:val="3CE84095"/>
    <w:rsid w:val="3CEB7E6C"/>
    <w:rsid w:val="3CEC3316"/>
    <w:rsid w:val="3CEE1E3C"/>
    <w:rsid w:val="3CEE5359"/>
    <w:rsid w:val="3CF01160"/>
    <w:rsid w:val="3CF15178"/>
    <w:rsid w:val="3CF51058"/>
    <w:rsid w:val="3CFD5B24"/>
    <w:rsid w:val="3D026305"/>
    <w:rsid w:val="3D05345C"/>
    <w:rsid w:val="3D07424F"/>
    <w:rsid w:val="3D0E1878"/>
    <w:rsid w:val="3D0F0988"/>
    <w:rsid w:val="3D127810"/>
    <w:rsid w:val="3D173969"/>
    <w:rsid w:val="3D197D10"/>
    <w:rsid w:val="3D1E7512"/>
    <w:rsid w:val="3D1F791E"/>
    <w:rsid w:val="3D201748"/>
    <w:rsid w:val="3D224394"/>
    <w:rsid w:val="3D274970"/>
    <w:rsid w:val="3D2D541B"/>
    <w:rsid w:val="3D2F1FAB"/>
    <w:rsid w:val="3D336A37"/>
    <w:rsid w:val="3D3440BF"/>
    <w:rsid w:val="3D365562"/>
    <w:rsid w:val="3D397998"/>
    <w:rsid w:val="3D440D9E"/>
    <w:rsid w:val="3D492A72"/>
    <w:rsid w:val="3D4D3093"/>
    <w:rsid w:val="3D535F52"/>
    <w:rsid w:val="3D590A54"/>
    <w:rsid w:val="3D5D7B1B"/>
    <w:rsid w:val="3D633C7C"/>
    <w:rsid w:val="3D68412E"/>
    <w:rsid w:val="3D6D533E"/>
    <w:rsid w:val="3D6F2FFC"/>
    <w:rsid w:val="3D755F3A"/>
    <w:rsid w:val="3D781938"/>
    <w:rsid w:val="3D7D3E9F"/>
    <w:rsid w:val="3D812BF6"/>
    <w:rsid w:val="3D8255FA"/>
    <w:rsid w:val="3D85502F"/>
    <w:rsid w:val="3D8A3FDE"/>
    <w:rsid w:val="3D8D3E3A"/>
    <w:rsid w:val="3D907947"/>
    <w:rsid w:val="3D994124"/>
    <w:rsid w:val="3D995F83"/>
    <w:rsid w:val="3D9A152C"/>
    <w:rsid w:val="3DA51E7F"/>
    <w:rsid w:val="3DB30BD1"/>
    <w:rsid w:val="3DB82306"/>
    <w:rsid w:val="3DBD1D18"/>
    <w:rsid w:val="3DC10B44"/>
    <w:rsid w:val="3DC13DD3"/>
    <w:rsid w:val="3DC325B0"/>
    <w:rsid w:val="3DC64E71"/>
    <w:rsid w:val="3DC95328"/>
    <w:rsid w:val="3DD20817"/>
    <w:rsid w:val="3DD730F9"/>
    <w:rsid w:val="3DD83D37"/>
    <w:rsid w:val="3DDB48F1"/>
    <w:rsid w:val="3DDF29A7"/>
    <w:rsid w:val="3DE30383"/>
    <w:rsid w:val="3DE8411F"/>
    <w:rsid w:val="3DEC3A45"/>
    <w:rsid w:val="3DEF3A3A"/>
    <w:rsid w:val="3DF37C51"/>
    <w:rsid w:val="3DFC01CF"/>
    <w:rsid w:val="3E000E7B"/>
    <w:rsid w:val="3E074E7C"/>
    <w:rsid w:val="3E075EE4"/>
    <w:rsid w:val="3E082EB9"/>
    <w:rsid w:val="3E1116ED"/>
    <w:rsid w:val="3E202116"/>
    <w:rsid w:val="3E22391D"/>
    <w:rsid w:val="3E2767B9"/>
    <w:rsid w:val="3E27765E"/>
    <w:rsid w:val="3E2B0EC3"/>
    <w:rsid w:val="3E2B1CD8"/>
    <w:rsid w:val="3E2C1AD2"/>
    <w:rsid w:val="3E2C6E91"/>
    <w:rsid w:val="3E2D08C3"/>
    <w:rsid w:val="3E34071F"/>
    <w:rsid w:val="3E3D3F04"/>
    <w:rsid w:val="3E3E6C68"/>
    <w:rsid w:val="3E40646A"/>
    <w:rsid w:val="3E4C725A"/>
    <w:rsid w:val="3E501C51"/>
    <w:rsid w:val="3E525E10"/>
    <w:rsid w:val="3E5F3723"/>
    <w:rsid w:val="3E631423"/>
    <w:rsid w:val="3E637192"/>
    <w:rsid w:val="3E6769D7"/>
    <w:rsid w:val="3E6812F0"/>
    <w:rsid w:val="3E712270"/>
    <w:rsid w:val="3E737F68"/>
    <w:rsid w:val="3E7A5208"/>
    <w:rsid w:val="3E7C1E7F"/>
    <w:rsid w:val="3E7C3ADF"/>
    <w:rsid w:val="3E822B19"/>
    <w:rsid w:val="3E8558AD"/>
    <w:rsid w:val="3E8F5643"/>
    <w:rsid w:val="3E914645"/>
    <w:rsid w:val="3E942CE2"/>
    <w:rsid w:val="3E94319C"/>
    <w:rsid w:val="3E947BA4"/>
    <w:rsid w:val="3E986748"/>
    <w:rsid w:val="3E99749B"/>
    <w:rsid w:val="3E9C6E1D"/>
    <w:rsid w:val="3E9F6272"/>
    <w:rsid w:val="3EA10742"/>
    <w:rsid w:val="3EA23580"/>
    <w:rsid w:val="3EA44312"/>
    <w:rsid w:val="3EA64622"/>
    <w:rsid w:val="3EAA6A84"/>
    <w:rsid w:val="3EAE65D7"/>
    <w:rsid w:val="3EB21E62"/>
    <w:rsid w:val="3EB967D9"/>
    <w:rsid w:val="3EC01517"/>
    <w:rsid w:val="3EC51385"/>
    <w:rsid w:val="3ECA4E68"/>
    <w:rsid w:val="3ED00CB0"/>
    <w:rsid w:val="3ED026B1"/>
    <w:rsid w:val="3ED67956"/>
    <w:rsid w:val="3EE726C9"/>
    <w:rsid w:val="3EE83EF8"/>
    <w:rsid w:val="3EF00331"/>
    <w:rsid w:val="3EF2511F"/>
    <w:rsid w:val="3EFB7087"/>
    <w:rsid w:val="3F001B91"/>
    <w:rsid w:val="3F006FE9"/>
    <w:rsid w:val="3F0F0814"/>
    <w:rsid w:val="3F150004"/>
    <w:rsid w:val="3F1E13DD"/>
    <w:rsid w:val="3F2468A2"/>
    <w:rsid w:val="3F2655CD"/>
    <w:rsid w:val="3F282C95"/>
    <w:rsid w:val="3F2A3F02"/>
    <w:rsid w:val="3F2A4031"/>
    <w:rsid w:val="3F384294"/>
    <w:rsid w:val="3F39277E"/>
    <w:rsid w:val="3F3979EC"/>
    <w:rsid w:val="3F3E4E8D"/>
    <w:rsid w:val="3F4F3456"/>
    <w:rsid w:val="3F507FAE"/>
    <w:rsid w:val="3F54298D"/>
    <w:rsid w:val="3F567683"/>
    <w:rsid w:val="3F5C3CE1"/>
    <w:rsid w:val="3F5F64D3"/>
    <w:rsid w:val="3F604ECF"/>
    <w:rsid w:val="3F697FF1"/>
    <w:rsid w:val="3F717ADF"/>
    <w:rsid w:val="3F76478B"/>
    <w:rsid w:val="3F786462"/>
    <w:rsid w:val="3F7D6096"/>
    <w:rsid w:val="3F8413C6"/>
    <w:rsid w:val="3F86006E"/>
    <w:rsid w:val="3F88428B"/>
    <w:rsid w:val="3F89174F"/>
    <w:rsid w:val="3F8E7B31"/>
    <w:rsid w:val="3F8F38B5"/>
    <w:rsid w:val="3F913CB7"/>
    <w:rsid w:val="3F937455"/>
    <w:rsid w:val="3F9C364A"/>
    <w:rsid w:val="3FA756F5"/>
    <w:rsid w:val="3FAC1006"/>
    <w:rsid w:val="3FB3432F"/>
    <w:rsid w:val="3FBA7D1B"/>
    <w:rsid w:val="3FC232EC"/>
    <w:rsid w:val="3FC30880"/>
    <w:rsid w:val="3FD07CB7"/>
    <w:rsid w:val="3FD17E45"/>
    <w:rsid w:val="3FDE6D50"/>
    <w:rsid w:val="3FE52E8B"/>
    <w:rsid w:val="3FE67899"/>
    <w:rsid w:val="3FE86F68"/>
    <w:rsid w:val="3FEA1600"/>
    <w:rsid w:val="3FEC0A2C"/>
    <w:rsid w:val="3FEF3DF5"/>
    <w:rsid w:val="3FEF51CF"/>
    <w:rsid w:val="3FF12C37"/>
    <w:rsid w:val="3FF22684"/>
    <w:rsid w:val="3FF62010"/>
    <w:rsid w:val="40020DC9"/>
    <w:rsid w:val="400C6AC0"/>
    <w:rsid w:val="40100B1C"/>
    <w:rsid w:val="401468C9"/>
    <w:rsid w:val="40153E6B"/>
    <w:rsid w:val="40162B1D"/>
    <w:rsid w:val="40163102"/>
    <w:rsid w:val="40166412"/>
    <w:rsid w:val="4023317E"/>
    <w:rsid w:val="40254283"/>
    <w:rsid w:val="402D135A"/>
    <w:rsid w:val="403277DF"/>
    <w:rsid w:val="4033616E"/>
    <w:rsid w:val="40375C65"/>
    <w:rsid w:val="4039359C"/>
    <w:rsid w:val="4047349F"/>
    <w:rsid w:val="404C4087"/>
    <w:rsid w:val="404D6A0E"/>
    <w:rsid w:val="405034D0"/>
    <w:rsid w:val="4052061D"/>
    <w:rsid w:val="40522F07"/>
    <w:rsid w:val="4054034F"/>
    <w:rsid w:val="40556EF5"/>
    <w:rsid w:val="405C7E9D"/>
    <w:rsid w:val="405D571B"/>
    <w:rsid w:val="405F7F29"/>
    <w:rsid w:val="40604FE9"/>
    <w:rsid w:val="40674752"/>
    <w:rsid w:val="40767B4B"/>
    <w:rsid w:val="407B1661"/>
    <w:rsid w:val="407B7B97"/>
    <w:rsid w:val="407E3EBC"/>
    <w:rsid w:val="407F7B7B"/>
    <w:rsid w:val="40826514"/>
    <w:rsid w:val="408529D5"/>
    <w:rsid w:val="408803E4"/>
    <w:rsid w:val="40885E67"/>
    <w:rsid w:val="408C4066"/>
    <w:rsid w:val="409577D9"/>
    <w:rsid w:val="40A862F4"/>
    <w:rsid w:val="40AA3E9A"/>
    <w:rsid w:val="40AA4495"/>
    <w:rsid w:val="40AF46A1"/>
    <w:rsid w:val="40B010F3"/>
    <w:rsid w:val="40B34420"/>
    <w:rsid w:val="40B54D41"/>
    <w:rsid w:val="40BA407E"/>
    <w:rsid w:val="40BB4EAE"/>
    <w:rsid w:val="40CF6289"/>
    <w:rsid w:val="40D03819"/>
    <w:rsid w:val="40D45550"/>
    <w:rsid w:val="40DA0DEA"/>
    <w:rsid w:val="40E42B3F"/>
    <w:rsid w:val="40E520CE"/>
    <w:rsid w:val="40EE1C75"/>
    <w:rsid w:val="40F55419"/>
    <w:rsid w:val="40F92063"/>
    <w:rsid w:val="40FF507D"/>
    <w:rsid w:val="41025354"/>
    <w:rsid w:val="41045CD3"/>
    <w:rsid w:val="410A1FB8"/>
    <w:rsid w:val="41107859"/>
    <w:rsid w:val="41137602"/>
    <w:rsid w:val="4114163C"/>
    <w:rsid w:val="41161999"/>
    <w:rsid w:val="411A1E4F"/>
    <w:rsid w:val="411C3611"/>
    <w:rsid w:val="412371C0"/>
    <w:rsid w:val="412C05BA"/>
    <w:rsid w:val="412D361F"/>
    <w:rsid w:val="412E089F"/>
    <w:rsid w:val="412E70CC"/>
    <w:rsid w:val="41453D08"/>
    <w:rsid w:val="4149216A"/>
    <w:rsid w:val="414F1ED4"/>
    <w:rsid w:val="4152400D"/>
    <w:rsid w:val="41560F58"/>
    <w:rsid w:val="415D21DD"/>
    <w:rsid w:val="415F4403"/>
    <w:rsid w:val="416D03B3"/>
    <w:rsid w:val="416D0CE0"/>
    <w:rsid w:val="416E1B52"/>
    <w:rsid w:val="416E4E2A"/>
    <w:rsid w:val="416E59C5"/>
    <w:rsid w:val="416F3197"/>
    <w:rsid w:val="41707D1A"/>
    <w:rsid w:val="41776B19"/>
    <w:rsid w:val="41780F41"/>
    <w:rsid w:val="417E69E6"/>
    <w:rsid w:val="41847FF2"/>
    <w:rsid w:val="418A2814"/>
    <w:rsid w:val="41902746"/>
    <w:rsid w:val="41930DD9"/>
    <w:rsid w:val="419C0184"/>
    <w:rsid w:val="41A21067"/>
    <w:rsid w:val="41A2331A"/>
    <w:rsid w:val="41A42641"/>
    <w:rsid w:val="41A6478C"/>
    <w:rsid w:val="41A7463E"/>
    <w:rsid w:val="41AD2329"/>
    <w:rsid w:val="41AE12EA"/>
    <w:rsid w:val="41AF22BE"/>
    <w:rsid w:val="41B34B78"/>
    <w:rsid w:val="41B44C63"/>
    <w:rsid w:val="41B925A8"/>
    <w:rsid w:val="41B959DF"/>
    <w:rsid w:val="41BA12E5"/>
    <w:rsid w:val="41C72F87"/>
    <w:rsid w:val="41CF0A6A"/>
    <w:rsid w:val="41D47C83"/>
    <w:rsid w:val="41DA6765"/>
    <w:rsid w:val="41E43789"/>
    <w:rsid w:val="41E91499"/>
    <w:rsid w:val="41EB2508"/>
    <w:rsid w:val="41ED4A84"/>
    <w:rsid w:val="41F24B98"/>
    <w:rsid w:val="41F4011B"/>
    <w:rsid w:val="41F86D4B"/>
    <w:rsid w:val="41F92559"/>
    <w:rsid w:val="41FF5A15"/>
    <w:rsid w:val="4202395B"/>
    <w:rsid w:val="42042304"/>
    <w:rsid w:val="420677BE"/>
    <w:rsid w:val="420804DA"/>
    <w:rsid w:val="420C6794"/>
    <w:rsid w:val="420F28E0"/>
    <w:rsid w:val="42143E67"/>
    <w:rsid w:val="421C53B9"/>
    <w:rsid w:val="42241339"/>
    <w:rsid w:val="42241891"/>
    <w:rsid w:val="42283C65"/>
    <w:rsid w:val="42294E8E"/>
    <w:rsid w:val="42304641"/>
    <w:rsid w:val="423A0073"/>
    <w:rsid w:val="42402033"/>
    <w:rsid w:val="42411E2A"/>
    <w:rsid w:val="42467FE3"/>
    <w:rsid w:val="42481295"/>
    <w:rsid w:val="424A0ED5"/>
    <w:rsid w:val="424B6F81"/>
    <w:rsid w:val="424D5F9C"/>
    <w:rsid w:val="42543AD1"/>
    <w:rsid w:val="42562D23"/>
    <w:rsid w:val="42564FDB"/>
    <w:rsid w:val="425A38A0"/>
    <w:rsid w:val="425A4790"/>
    <w:rsid w:val="425F5D88"/>
    <w:rsid w:val="426C43BC"/>
    <w:rsid w:val="426E7DF4"/>
    <w:rsid w:val="42762632"/>
    <w:rsid w:val="427D094B"/>
    <w:rsid w:val="427E3F33"/>
    <w:rsid w:val="42802932"/>
    <w:rsid w:val="428E548D"/>
    <w:rsid w:val="429219B0"/>
    <w:rsid w:val="429631DD"/>
    <w:rsid w:val="42990F75"/>
    <w:rsid w:val="42994E6A"/>
    <w:rsid w:val="429C04F2"/>
    <w:rsid w:val="429D421A"/>
    <w:rsid w:val="42A326AC"/>
    <w:rsid w:val="42AA0BB8"/>
    <w:rsid w:val="42AE11FD"/>
    <w:rsid w:val="42B25306"/>
    <w:rsid w:val="42B26666"/>
    <w:rsid w:val="42B325C9"/>
    <w:rsid w:val="42BC7ECB"/>
    <w:rsid w:val="42BD65A0"/>
    <w:rsid w:val="42BE3E21"/>
    <w:rsid w:val="42CF5989"/>
    <w:rsid w:val="42DC08AE"/>
    <w:rsid w:val="42DF52D6"/>
    <w:rsid w:val="42E13508"/>
    <w:rsid w:val="42E13B12"/>
    <w:rsid w:val="42ED374D"/>
    <w:rsid w:val="42F140B6"/>
    <w:rsid w:val="42F172FB"/>
    <w:rsid w:val="42F467E6"/>
    <w:rsid w:val="42F63966"/>
    <w:rsid w:val="42F83335"/>
    <w:rsid w:val="42FC3D8D"/>
    <w:rsid w:val="43081B78"/>
    <w:rsid w:val="43131117"/>
    <w:rsid w:val="43142B51"/>
    <w:rsid w:val="43196AAC"/>
    <w:rsid w:val="431E36FC"/>
    <w:rsid w:val="43207B28"/>
    <w:rsid w:val="43267028"/>
    <w:rsid w:val="432F49E4"/>
    <w:rsid w:val="43300D30"/>
    <w:rsid w:val="43321900"/>
    <w:rsid w:val="433A0608"/>
    <w:rsid w:val="433F7194"/>
    <w:rsid w:val="43421128"/>
    <w:rsid w:val="434663AF"/>
    <w:rsid w:val="434D2161"/>
    <w:rsid w:val="43505B74"/>
    <w:rsid w:val="43513628"/>
    <w:rsid w:val="43526BD6"/>
    <w:rsid w:val="43532E0E"/>
    <w:rsid w:val="435702AA"/>
    <w:rsid w:val="435A6BC0"/>
    <w:rsid w:val="435D4F25"/>
    <w:rsid w:val="43630EA2"/>
    <w:rsid w:val="43655211"/>
    <w:rsid w:val="43684E95"/>
    <w:rsid w:val="436C0A6C"/>
    <w:rsid w:val="436D1589"/>
    <w:rsid w:val="43702AD0"/>
    <w:rsid w:val="437A05F0"/>
    <w:rsid w:val="437E3FF8"/>
    <w:rsid w:val="43804111"/>
    <w:rsid w:val="4387123F"/>
    <w:rsid w:val="43874BD2"/>
    <w:rsid w:val="43906128"/>
    <w:rsid w:val="439236F9"/>
    <w:rsid w:val="439851FB"/>
    <w:rsid w:val="43986308"/>
    <w:rsid w:val="43994F6A"/>
    <w:rsid w:val="43995F92"/>
    <w:rsid w:val="439E6DDC"/>
    <w:rsid w:val="43A1406D"/>
    <w:rsid w:val="43A51EF7"/>
    <w:rsid w:val="43A64018"/>
    <w:rsid w:val="43B50926"/>
    <w:rsid w:val="43B71E42"/>
    <w:rsid w:val="43BB0449"/>
    <w:rsid w:val="43C8498E"/>
    <w:rsid w:val="43C95B63"/>
    <w:rsid w:val="43CB762C"/>
    <w:rsid w:val="43D101C0"/>
    <w:rsid w:val="43D16BBA"/>
    <w:rsid w:val="43D45AEE"/>
    <w:rsid w:val="43D55CDB"/>
    <w:rsid w:val="43D643A2"/>
    <w:rsid w:val="43D85992"/>
    <w:rsid w:val="43E974F8"/>
    <w:rsid w:val="43EA0BDD"/>
    <w:rsid w:val="43EF64B0"/>
    <w:rsid w:val="43F36572"/>
    <w:rsid w:val="43FA509D"/>
    <w:rsid w:val="440B3EE6"/>
    <w:rsid w:val="440C7E35"/>
    <w:rsid w:val="441965F7"/>
    <w:rsid w:val="441C0287"/>
    <w:rsid w:val="442D1E52"/>
    <w:rsid w:val="442D2E1B"/>
    <w:rsid w:val="4430031C"/>
    <w:rsid w:val="44443BD2"/>
    <w:rsid w:val="44450FBC"/>
    <w:rsid w:val="44457E29"/>
    <w:rsid w:val="444631A3"/>
    <w:rsid w:val="4447093C"/>
    <w:rsid w:val="444A48EA"/>
    <w:rsid w:val="444D221F"/>
    <w:rsid w:val="44500564"/>
    <w:rsid w:val="44502E21"/>
    <w:rsid w:val="44505A80"/>
    <w:rsid w:val="44513F66"/>
    <w:rsid w:val="44575877"/>
    <w:rsid w:val="44583A91"/>
    <w:rsid w:val="4460021B"/>
    <w:rsid w:val="44602DF7"/>
    <w:rsid w:val="44622186"/>
    <w:rsid w:val="4463369D"/>
    <w:rsid w:val="4469311D"/>
    <w:rsid w:val="446E1FE4"/>
    <w:rsid w:val="447417A9"/>
    <w:rsid w:val="44741BE6"/>
    <w:rsid w:val="447E0648"/>
    <w:rsid w:val="447E61E3"/>
    <w:rsid w:val="448020FA"/>
    <w:rsid w:val="44863B9E"/>
    <w:rsid w:val="44871458"/>
    <w:rsid w:val="448979F6"/>
    <w:rsid w:val="448C17B1"/>
    <w:rsid w:val="448E2DC9"/>
    <w:rsid w:val="448F546E"/>
    <w:rsid w:val="44901C14"/>
    <w:rsid w:val="44911031"/>
    <w:rsid w:val="449402C2"/>
    <w:rsid w:val="44974B67"/>
    <w:rsid w:val="449B7270"/>
    <w:rsid w:val="449C50E4"/>
    <w:rsid w:val="449D34A5"/>
    <w:rsid w:val="44A3429E"/>
    <w:rsid w:val="44AB1062"/>
    <w:rsid w:val="44AF5CB0"/>
    <w:rsid w:val="44B035CD"/>
    <w:rsid w:val="44B32F22"/>
    <w:rsid w:val="44C60F17"/>
    <w:rsid w:val="44C67D1A"/>
    <w:rsid w:val="44CD5BAF"/>
    <w:rsid w:val="44D04CD8"/>
    <w:rsid w:val="44D43915"/>
    <w:rsid w:val="44D43C0D"/>
    <w:rsid w:val="44D61430"/>
    <w:rsid w:val="44D66971"/>
    <w:rsid w:val="44D70B7C"/>
    <w:rsid w:val="44D83AE8"/>
    <w:rsid w:val="44DC1390"/>
    <w:rsid w:val="44DE752C"/>
    <w:rsid w:val="44E0204F"/>
    <w:rsid w:val="44E0280D"/>
    <w:rsid w:val="44E22862"/>
    <w:rsid w:val="44EC481A"/>
    <w:rsid w:val="44F10414"/>
    <w:rsid w:val="44F368E3"/>
    <w:rsid w:val="44F80827"/>
    <w:rsid w:val="44F94A28"/>
    <w:rsid w:val="44FA1C3C"/>
    <w:rsid w:val="44FA1EEF"/>
    <w:rsid w:val="45026594"/>
    <w:rsid w:val="45062D56"/>
    <w:rsid w:val="45067FC0"/>
    <w:rsid w:val="450C57CD"/>
    <w:rsid w:val="450D7462"/>
    <w:rsid w:val="452418F5"/>
    <w:rsid w:val="45247AAF"/>
    <w:rsid w:val="45252A54"/>
    <w:rsid w:val="452F6571"/>
    <w:rsid w:val="45317D55"/>
    <w:rsid w:val="453E256A"/>
    <w:rsid w:val="454561F3"/>
    <w:rsid w:val="45462080"/>
    <w:rsid w:val="454B2CB2"/>
    <w:rsid w:val="45520011"/>
    <w:rsid w:val="45541A6B"/>
    <w:rsid w:val="45572355"/>
    <w:rsid w:val="4558500A"/>
    <w:rsid w:val="45587458"/>
    <w:rsid w:val="456639A7"/>
    <w:rsid w:val="45687752"/>
    <w:rsid w:val="4572417F"/>
    <w:rsid w:val="457A66DF"/>
    <w:rsid w:val="457B1EF1"/>
    <w:rsid w:val="457E29B2"/>
    <w:rsid w:val="458C4F78"/>
    <w:rsid w:val="459049FF"/>
    <w:rsid w:val="45946269"/>
    <w:rsid w:val="45977345"/>
    <w:rsid w:val="459B48AB"/>
    <w:rsid w:val="459C05D4"/>
    <w:rsid w:val="459E455A"/>
    <w:rsid w:val="45A83C60"/>
    <w:rsid w:val="45B120CB"/>
    <w:rsid w:val="45B32A6A"/>
    <w:rsid w:val="45B94520"/>
    <w:rsid w:val="45BB4136"/>
    <w:rsid w:val="45BC1569"/>
    <w:rsid w:val="45C13DE3"/>
    <w:rsid w:val="45C37A91"/>
    <w:rsid w:val="45C45176"/>
    <w:rsid w:val="45C47B28"/>
    <w:rsid w:val="45D0101F"/>
    <w:rsid w:val="45D75231"/>
    <w:rsid w:val="45E161C2"/>
    <w:rsid w:val="45E4700E"/>
    <w:rsid w:val="45E57836"/>
    <w:rsid w:val="45EB4C68"/>
    <w:rsid w:val="45EE25BD"/>
    <w:rsid w:val="45F058EA"/>
    <w:rsid w:val="45F53040"/>
    <w:rsid w:val="45F76914"/>
    <w:rsid w:val="45F82271"/>
    <w:rsid w:val="45F9003B"/>
    <w:rsid w:val="45FD2CAE"/>
    <w:rsid w:val="46015A5D"/>
    <w:rsid w:val="46066776"/>
    <w:rsid w:val="4607645F"/>
    <w:rsid w:val="4610578D"/>
    <w:rsid w:val="461472F0"/>
    <w:rsid w:val="46182BD2"/>
    <w:rsid w:val="46184903"/>
    <w:rsid w:val="46196C57"/>
    <w:rsid w:val="461A17FE"/>
    <w:rsid w:val="461F07B4"/>
    <w:rsid w:val="46205042"/>
    <w:rsid w:val="46274BE4"/>
    <w:rsid w:val="462763A9"/>
    <w:rsid w:val="46297C3A"/>
    <w:rsid w:val="463227C8"/>
    <w:rsid w:val="463270E7"/>
    <w:rsid w:val="463E0D22"/>
    <w:rsid w:val="46463699"/>
    <w:rsid w:val="46475288"/>
    <w:rsid w:val="464E36DD"/>
    <w:rsid w:val="464E48DF"/>
    <w:rsid w:val="464E4E4B"/>
    <w:rsid w:val="465247B1"/>
    <w:rsid w:val="46566C38"/>
    <w:rsid w:val="465D43C7"/>
    <w:rsid w:val="466E3DFE"/>
    <w:rsid w:val="466F5F8F"/>
    <w:rsid w:val="467F6C27"/>
    <w:rsid w:val="46831E68"/>
    <w:rsid w:val="468B1DC9"/>
    <w:rsid w:val="469274F3"/>
    <w:rsid w:val="46927504"/>
    <w:rsid w:val="469A263B"/>
    <w:rsid w:val="469E4F41"/>
    <w:rsid w:val="46A0058F"/>
    <w:rsid w:val="46A66B2D"/>
    <w:rsid w:val="46A8710D"/>
    <w:rsid w:val="46AB301D"/>
    <w:rsid w:val="46AB61DD"/>
    <w:rsid w:val="46AD11B8"/>
    <w:rsid w:val="46AD5B35"/>
    <w:rsid w:val="46AE2F00"/>
    <w:rsid w:val="46B4425B"/>
    <w:rsid w:val="46B539E7"/>
    <w:rsid w:val="46BD0522"/>
    <w:rsid w:val="46C94F2B"/>
    <w:rsid w:val="46CD6B41"/>
    <w:rsid w:val="46CE344D"/>
    <w:rsid w:val="46D078B1"/>
    <w:rsid w:val="46D34CE9"/>
    <w:rsid w:val="46E0175B"/>
    <w:rsid w:val="46E0315E"/>
    <w:rsid w:val="46E11AFE"/>
    <w:rsid w:val="46E43386"/>
    <w:rsid w:val="46E91AC4"/>
    <w:rsid w:val="46E938DF"/>
    <w:rsid w:val="46ED0EC8"/>
    <w:rsid w:val="46ED6187"/>
    <w:rsid w:val="46F31F8A"/>
    <w:rsid w:val="46F56448"/>
    <w:rsid w:val="46F627C9"/>
    <w:rsid w:val="46FA1E0D"/>
    <w:rsid w:val="46FB723A"/>
    <w:rsid w:val="4700372E"/>
    <w:rsid w:val="47051F33"/>
    <w:rsid w:val="470608E8"/>
    <w:rsid w:val="47072982"/>
    <w:rsid w:val="47087B95"/>
    <w:rsid w:val="470F33C2"/>
    <w:rsid w:val="47127F75"/>
    <w:rsid w:val="47130422"/>
    <w:rsid w:val="47134059"/>
    <w:rsid w:val="471B712F"/>
    <w:rsid w:val="4723348B"/>
    <w:rsid w:val="472428FD"/>
    <w:rsid w:val="472602E7"/>
    <w:rsid w:val="473872E5"/>
    <w:rsid w:val="473D5832"/>
    <w:rsid w:val="473E03A8"/>
    <w:rsid w:val="4742324C"/>
    <w:rsid w:val="47495C94"/>
    <w:rsid w:val="47496415"/>
    <w:rsid w:val="47497719"/>
    <w:rsid w:val="4751428C"/>
    <w:rsid w:val="47547BAE"/>
    <w:rsid w:val="475D0A81"/>
    <w:rsid w:val="4760385F"/>
    <w:rsid w:val="47623A6E"/>
    <w:rsid w:val="47651315"/>
    <w:rsid w:val="476C7203"/>
    <w:rsid w:val="476F1D7E"/>
    <w:rsid w:val="476F7A65"/>
    <w:rsid w:val="47781497"/>
    <w:rsid w:val="477B22E7"/>
    <w:rsid w:val="477E626F"/>
    <w:rsid w:val="477E6EAA"/>
    <w:rsid w:val="478906F4"/>
    <w:rsid w:val="478F61FF"/>
    <w:rsid w:val="479322B1"/>
    <w:rsid w:val="479A677E"/>
    <w:rsid w:val="479F10E1"/>
    <w:rsid w:val="47A279F8"/>
    <w:rsid w:val="47A46444"/>
    <w:rsid w:val="47AE6A0B"/>
    <w:rsid w:val="47B06210"/>
    <w:rsid w:val="47B26C63"/>
    <w:rsid w:val="47B70D15"/>
    <w:rsid w:val="47BA16E9"/>
    <w:rsid w:val="47BA6295"/>
    <w:rsid w:val="47BF14D3"/>
    <w:rsid w:val="47C109AD"/>
    <w:rsid w:val="47C42B0D"/>
    <w:rsid w:val="47C95E5E"/>
    <w:rsid w:val="47CF6422"/>
    <w:rsid w:val="47DB02A5"/>
    <w:rsid w:val="47DD1ECD"/>
    <w:rsid w:val="47DE035B"/>
    <w:rsid w:val="47DF1F1F"/>
    <w:rsid w:val="47E34752"/>
    <w:rsid w:val="47E54D9D"/>
    <w:rsid w:val="47EA7A8A"/>
    <w:rsid w:val="47F023E4"/>
    <w:rsid w:val="47F93E1E"/>
    <w:rsid w:val="47FB64CC"/>
    <w:rsid w:val="47FB7E64"/>
    <w:rsid w:val="480131A8"/>
    <w:rsid w:val="480142A9"/>
    <w:rsid w:val="480424A7"/>
    <w:rsid w:val="48047858"/>
    <w:rsid w:val="480823BB"/>
    <w:rsid w:val="480D43A8"/>
    <w:rsid w:val="480E181A"/>
    <w:rsid w:val="48122BFF"/>
    <w:rsid w:val="481521A4"/>
    <w:rsid w:val="481B7CD7"/>
    <w:rsid w:val="48216764"/>
    <w:rsid w:val="48297EEC"/>
    <w:rsid w:val="4834776D"/>
    <w:rsid w:val="483A25D5"/>
    <w:rsid w:val="483C7DDD"/>
    <w:rsid w:val="484961C1"/>
    <w:rsid w:val="484A4A5F"/>
    <w:rsid w:val="484D40A4"/>
    <w:rsid w:val="48553554"/>
    <w:rsid w:val="485E139C"/>
    <w:rsid w:val="48627BC1"/>
    <w:rsid w:val="486547C7"/>
    <w:rsid w:val="486C29F6"/>
    <w:rsid w:val="486F10FB"/>
    <w:rsid w:val="48726863"/>
    <w:rsid w:val="488104DE"/>
    <w:rsid w:val="48867827"/>
    <w:rsid w:val="48885BA4"/>
    <w:rsid w:val="488F5D22"/>
    <w:rsid w:val="48963C58"/>
    <w:rsid w:val="489E7AC0"/>
    <w:rsid w:val="48A87633"/>
    <w:rsid w:val="48AB1128"/>
    <w:rsid w:val="48AC3B18"/>
    <w:rsid w:val="48B00B79"/>
    <w:rsid w:val="48B676D9"/>
    <w:rsid w:val="48B76ABE"/>
    <w:rsid w:val="48BC419B"/>
    <w:rsid w:val="48BC6415"/>
    <w:rsid w:val="48BE3568"/>
    <w:rsid w:val="48BF42E4"/>
    <w:rsid w:val="48BF51F1"/>
    <w:rsid w:val="48CA0C73"/>
    <w:rsid w:val="48D349BD"/>
    <w:rsid w:val="48D64DB3"/>
    <w:rsid w:val="48D67BB4"/>
    <w:rsid w:val="48DA56D6"/>
    <w:rsid w:val="48E94573"/>
    <w:rsid w:val="48F02D97"/>
    <w:rsid w:val="48F034DE"/>
    <w:rsid w:val="48F34514"/>
    <w:rsid w:val="48F5362D"/>
    <w:rsid w:val="48F660EA"/>
    <w:rsid w:val="490825FA"/>
    <w:rsid w:val="490D03DD"/>
    <w:rsid w:val="4911554C"/>
    <w:rsid w:val="49184A5F"/>
    <w:rsid w:val="491A5DC6"/>
    <w:rsid w:val="491F1E56"/>
    <w:rsid w:val="49213D99"/>
    <w:rsid w:val="49216371"/>
    <w:rsid w:val="492A350D"/>
    <w:rsid w:val="492F6333"/>
    <w:rsid w:val="493223BF"/>
    <w:rsid w:val="49333A56"/>
    <w:rsid w:val="493954CA"/>
    <w:rsid w:val="49444B11"/>
    <w:rsid w:val="4947338D"/>
    <w:rsid w:val="494867BA"/>
    <w:rsid w:val="4954073C"/>
    <w:rsid w:val="49561C0C"/>
    <w:rsid w:val="4959335B"/>
    <w:rsid w:val="495B0E0B"/>
    <w:rsid w:val="495F6428"/>
    <w:rsid w:val="49692739"/>
    <w:rsid w:val="496A7F06"/>
    <w:rsid w:val="496C712F"/>
    <w:rsid w:val="496D4452"/>
    <w:rsid w:val="49701166"/>
    <w:rsid w:val="49703213"/>
    <w:rsid w:val="49712A4C"/>
    <w:rsid w:val="497817C5"/>
    <w:rsid w:val="498313B1"/>
    <w:rsid w:val="49831F47"/>
    <w:rsid w:val="49872976"/>
    <w:rsid w:val="498F5029"/>
    <w:rsid w:val="49934B77"/>
    <w:rsid w:val="499F2ED4"/>
    <w:rsid w:val="49A376C2"/>
    <w:rsid w:val="49A4551A"/>
    <w:rsid w:val="49A62C56"/>
    <w:rsid w:val="49AD5665"/>
    <w:rsid w:val="49B05FB5"/>
    <w:rsid w:val="49B63AFB"/>
    <w:rsid w:val="49BE09D4"/>
    <w:rsid w:val="49C27E62"/>
    <w:rsid w:val="49C60B0D"/>
    <w:rsid w:val="49C87B0A"/>
    <w:rsid w:val="49CE21E8"/>
    <w:rsid w:val="49CF2D8F"/>
    <w:rsid w:val="49D11017"/>
    <w:rsid w:val="49D179BA"/>
    <w:rsid w:val="49DB3738"/>
    <w:rsid w:val="49DB7C4F"/>
    <w:rsid w:val="49DC0316"/>
    <w:rsid w:val="49DC69C6"/>
    <w:rsid w:val="49EA2FDB"/>
    <w:rsid w:val="49EE7A1D"/>
    <w:rsid w:val="49F5627B"/>
    <w:rsid w:val="49F57DDD"/>
    <w:rsid w:val="49F82E8A"/>
    <w:rsid w:val="49F969F1"/>
    <w:rsid w:val="49FB691E"/>
    <w:rsid w:val="4A005D86"/>
    <w:rsid w:val="4A0422A6"/>
    <w:rsid w:val="4A1B5474"/>
    <w:rsid w:val="4A1B637B"/>
    <w:rsid w:val="4A1D1443"/>
    <w:rsid w:val="4A1D16F4"/>
    <w:rsid w:val="4A1D6CF6"/>
    <w:rsid w:val="4A25243B"/>
    <w:rsid w:val="4A283BDC"/>
    <w:rsid w:val="4A285109"/>
    <w:rsid w:val="4A29239F"/>
    <w:rsid w:val="4A2E70DF"/>
    <w:rsid w:val="4A3129BB"/>
    <w:rsid w:val="4A354A04"/>
    <w:rsid w:val="4A3C0175"/>
    <w:rsid w:val="4A3C54BF"/>
    <w:rsid w:val="4A47757B"/>
    <w:rsid w:val="4A4D4136"/>
    <w:rsid w:val="4A4D601C"/>
    <w:rsid w:val="4A521DDD"/>
    <w:rsid w:val="4A530688"/>
    <w:rsid w:val="4A5465E2"/>
    <w:rsid w:val="4A570A3C"/>
    <w:rsid w:val="4A65292E"/>
    <w:rsid w:val="4A683EC0"/>
    <w:rsid w:val="4A692DE6"/>
    <w:rsid w:val="4A724DF7"/>
    <w:rsid w:val="4A7354E9"/>
    <w:rsid w:val="4A7D78AF"/>
    <w:rsid w:val="4A7F0755"/>
    <w:rsid w:val="4A814C99"/>
    <w:rsid w:val="4A816E7A"/>
    <w:rsid w:val="4A8E408F"/>
    <w:rsid w:val="4A973C1E"/>
    <w:rsid w:val="4A9B7976"/>
    <w:rsid w:val="4A9F1E8A"/>
    <w:rsid w:val="4A9F41D4"/>
    <w:rsid w:val="4AA36A34"/>
    <w:rsid w:val="4AA378B9"/>
    <w:rsid w:val="4AB1487C"/>
    <w:rsid w:val="4AB33ECA"/>
    <w:rsid w:val="4AB50F9B"/>
    <w:rsid w:val="4AC02954"/>
    <w:rsid w:val="4AC207E5"/>
    <w:rsid w:val="4ACC3D79"/>
    <w:rsid w:val="4AD00A5B"/>
    <w:rsid w:val="4AD43941"/>
    <w:rsid w:val="4AD86096"/>
    <w:rsid w:val="4AE14B73"/>
    <w:rsid w:val="4AE332CF"/>
    <w:rsid w:val="4AEA6626"/>
    <w:rsid w:val="4AEE2599"/>
    <w:rsid w:val="4AFA0095"/>
    <w:rsid w:val="4AFC11D0"/>
    <w:rsid w:val="4AFD79DA"/>
    <w:rsid w:val="4B0265FC"/>
    <w:rsid w:val="4B030956"/>
    <w:rsid w:val="4B043D64"/>
    <w:rsid w:val="4B056928"/>
    <w:rsid w:val="4B0A769A"/>
    <w:rsid w:val="4B0C762A"/>
    <w:rsid w:val="4B113F5E"/>
    <w:rsid w:val="4B122B1B"/>
    <w:rsid w:val="4B1553F6"/>
    <w:rsid w:val="4B156DB1"/>
    <w:rsid w:val="4B175877"/>
    <w:rsid w:val="4B1F1CAB"/>
    <w:rsid w:val="4B206855"/>
    <w:rsid w:val="4B256B55"/>
    <w:rsid w:val="4B2A5AE3"/>
    <w:rsid w:val="4B2B1697"/>
    <w:rsid w:val="4B2D0074"/>
    <w:rsid w:val="4B3337E3"/>
    <w:rsid w:val="4B333E19"/>
    <w:rsid w:val="4B453185"/>
    <w:rsid w:val="4B474726"/>
    <w:rsid w:val="4B48402B"/>
    <w:rsid w:val="4B49270D"/>
    <w:rsid w:val="4B552B25"/>
    <w:rsid w:val="4B5A253E"/>
    <w:rsid w:val="4B655EE3"/>
    <w:rsid w:val="4B67648D"/>
    <w:rsid w:val="4B6A399F"/>
    <w:rsid w:val="4B711274"/>
    <w:rsid w:val="4B764BB6"/>
    <w:rsid w:val="4B772B96"/>
    <w:rsid w:val="4B7972BE"/>
    <w:rsid w:val="4B7B0E17"/>
    <w:rsid w:val="4B7E4BD3"/>
    <w:rsid w:val="4B7F5985"/>
    <w:rsid w:val="4B8045C6"/>
    <w:rsid w:val="4B823B70"/>
    <w:rsid w:val="4B8D0878"/>
    <w:rsid w:val="4B9E15AA"/>
    <w:rsid w:val="4B9F1725"/>
    <w:rsid w:val="4BB31DA3"/>
    <w:rsid w:val="4BB352AC"/>
    <w:rsid w:val="4BB35CE8"/>
    <w:rsid w:val="4BB84F80"/>
    <w:rsid w:val="4BB905F9"/>
    <w:rsid w:val="4BC83A58"/>
    <w:rsid w:val="4BC92458"/>
    <w:rsid w:val="4BCA6D11"/>
    <w:rsid w:val="4BCD1BFA"/>
    <w:rsid w:val="4BD11254"/>
    <w:rsid w:val="4BD506F9"/>
    <w:rsid w:val="4BD646BA"/>
    <w:rsid w:val="4BDB522E"/>
    <w:rsid w:val="4BDC205B"/>
    <w:rsid w:val="4BDE1534"/>
    <w:rsid w:val="4BDE7B43"/>
    <w:rsid w:val="4BE06724"/>
    <w:rsid w:val="4BE16300"/>
    <w:rsid w:val="4BE73660"/>
    <w:rsid w:val="4BE83D71"/>
    <w:rsid w:val="4BEB75EA"/>
    <w:rsid w:val="4BEE1939"/>
    <w:rsid w:val="4BF51B69"/>
    <w:rsid w:val="4C022C60"/>
    <w:rsid w:val="4C04616A"/>
    <w:rsid w:val="4C0A3404"/>
    <w:rsid w:val="4C0C2A92"/>
    <w:rsid w:val="4C0D54BF"/>
    <w:rsid w:val="4C13237A"/>
    <w:rsid w:val="4C13306C"/>
    <w:rsid w:val="4C156C3E"/>
    <w:rsid w:val="4C1778D1"/>
    <w:rsid w:val="4C2B0972"/>
    <w:rsid w:val="4C2D30FA"/>
    <w:rsid w:val="4C3934A1"/>
    <w:rsid w:val="4C3B3017"/>
    <w:rsid w:val="4C461D1D"/>
    <w:rsid w:val="4C554D26"/>
    <w:rsid w:val="4C5B1725"/>
    <w:rsid w:val="4C5D2DBF"/>
    <w:rsid w:val="4C6636EE"/>
    <w:rsid w:val="4C68395B"/>
    <w:rsid w:val="4C7502D7"/>
    <w:rsid w:val="4C7B0D8E"/>
    <w:rsid w:val="4C7B6ABF"/>
    <w:rsid w:val="4C7C06D6"/>
    <w:rsid w:val="4C7F14F3"/>
    <w:rsid w:val="4C830FCD"/>
    <w:rsid w:val="4C8A623C"/>
    <w:rsid w:val="4C8B1248"/>
    <w:rsid w:val="4C8C62B3"/>
    <w:rsid w:val="4C8D5DC2"/>
    <w:rsid w:val="4C8E262F"/>
    <w:rsid w:val="4C93437C"/>
    <w:rsid w:val="4C966511"/>
    <w:rsid w:val="4C970853"/>
    <w:rsid w:val="4C976AC9"/>
    <w:rsid w:val="4C980902"/>
    <w:rsid w:val="4C9B0F12"/>
    <w:rsid w:val="4C9B15E8"/>
    <w:rsid w:val="4C9C62AD"/>
    <w:rsid w:val="4C9E0B89"/>
    <w:rsid w:val="4C9E3268"/>
    <w:rsid w:val="4CA22F11"/>
    <w:rsid w:val="4CA6059B"/>
    <w:rsid w:val="4CA65DAE"/>
    <w:rsid w:val="4CA82599"/>
    <w:rsid w:val="4CAA1132"/>
    <w:rsid w:val="4CAA38F5"/>
    <w:rsid w:val="4CAB3A12"/>
    <w:rsid w:val="4CAB479C"/>
    <w:rsid w:val="4CB3118F"/>
    <w:rsid w:val="4CBE58B6"/>
    <w:rsid w:val="4CBF3832"/>
    <w:rsid w:val="4CC77C85"/>
    <w:rsid w:val="4CCA56FB"/>
    <w:rsid w:val="4CCE11C2"/>
    <w:rsid w:val="4CD15CF9"/>
    <w:rsid w:val="4CD35151"/>
    <w:rsid w:val="4CDD59AE"/>
    <w:rsid w:val="4CDE7E61"/>
    <w:rsid w:val="4CDF3691"/>
    <w:rsid w:val="4CEC13CF"/>
    <w:rsid w:val="4CED3781"/>
    <w:rsid w:val="4CF24D04"/>
    <w:rsid w:val="4CFA1CF5"/>
    <w:rsid w:val="4CFC2942"/>
    <w:rsid w:val="4D071AE5"/>
    <w:rsid w:val="4D0B2B4F"/>
    <w:rsid w:val="4D0B7689"/>
    <w:rsid w:val="4D0C3BFF"/>
    <w:rsid w:val="4D0D78FA"/>
    <w:rsid w:val="4D144D16"/>
    <w:rsid w:val="4D177605"/>
    <w:rsid w:val="4D1A3D5B"/>
    <w:rsid w:val="4D1F1968"/>
    <w:rsid w:val="4D203D6E"/>
    <w:rsid w:val="4D220F9F"/>
    <w:rsid w:val="4D251A6A"/>
    <w:rsid w:val="4D276DB5"/>
    <w:rsid w:val="4D292DCF"/>
    <w:rsid w:val="4D296B61"/>
    <w:rsid w:val="4D394A43"/>
    <w:rsid w:val="4D4001FE"/>
    <w:rsid w:val="4D4B5BB8"/>
    <w:rsid w:val="4D4F124F"/>
    <w:rsid w:val="4D524AF3"/>
    <w:rsid w:val="4D5B25DC"/>
    <w:rsid w:val="4D5E3444"/>
    <w:rsid w:val="4D62430F"/>
    <w:rsid w:val="4D6C3EE4"/>
    <w:rsid w:val="4D6E7CE4"/>
    <w:rsid w:val="4D70684F"/>
    <w:rsid w:val="4D72726F"/>
    <w:rsid w:val="4D763EAF"/>
    <w:rsid w:val="4D8562AF"/>
    <w:rsid w:val="4D8750CC"/>
    <w:rsid w:val="4D8D23BF"/>
    <w:rsid w:val="4D967B2C"/>
    <w:rsid w:val="4D9A5989"/>
    <w:rsid w:val="4D9D5756"/>
    <w:rsid w:val="4D9F3411"/>
    <w:rsid w:val="4DA52890"/>
    <w:rsid w:val="4DA93504"/>
    <w:rsid w:val="4DAB180B"/>
    <w:rsid w:val="4DAD645C"/>
    <w:rsid w:val="4DB60E81"/>
    <w:rsid w:val="4DB75B45"/>
    <w:rsid w:val="4DBF4A4A"/>
    <w:rsid w:val="4DC74D20"/>
    <w:rsid w:val="4DCB7A85"/>
    <w:rsid w:val="4DCF083C"/>
    <w:rsid w:val="4DD37860"/>
    <w:rsid w:val="4DD971A9"/>
    <w:rsid w:val="4DDE789D"/>
    <w:rsid w:val="4DDF3CA1"/>
    <w:rsid w:val="4DE50946"/>
    <w:rsid w:val="4DE573AB"/>
    <w:rsid w:val="4DE67ECA"/>
    <w:rsid w:val="4DEC3731"/>
    <w:rsid w:val="4DEC7D73"/>
    <w:rsid w:val="4DF03F3B"/>
    <w:rsid w:val="4DF56E4B"/>
    <w:rsid w:val="4DFA25C3"/>
    <w:rsid w:val="4E0320B4"/>
    <w:rsid w:val="4E08403D"/>
    <w:rsid w:val="4E09094B"/>
    <w:rsid w:val="4E0B0125"/>
    <w:rsid w:val="4E267333"/>
    <w:rsid w:val="4E2B047D"/>
    <w:rsid w:val="4E311AFE"/>
    <w:rsid w:val="4E315973"/>
    <w:rsid w:val="4E333CB4"/>
    <w:rsid w:val="4E3E53EE"/>
    <w:rsid w:val="4E3E7FA6"/>
    <w:rsid w:val="4E4308ED"/>
    <w:rsid w:val="4E451821"/>
    <w:rsid w:val="4E49389B"/>
    <w:rsid w:val="4E4A40DC"/>
    <w:rsid w:val="4E4A72B1"/>
    <w:rsid w:val="4E4B33E3"/>
    <w:rsid w:val="4E4B5BD5"/>
    <w:rsid w:val="4E4C4DEE"/>
    <w:rsid w:val="4E59685F"/>
    <w:rsid w:val="4E5F1C47"/>
    <w:rsid w:val="4E61488B"/>
    <w:rsid w:val="4E62713E"/>
    <w:rsid w:val="4E647BF5"/>
    <w:rsid w:val="4E6A2244"/>
    <w:rsid w:val="4E6B7D62"/>
    <w:rsid w:val="4E6C325B"/>
    <w:rsid w:val="4E6C3B56"/>
    <w:rsid w:val="4E6D48E5"/>
    <w:rsid w:val="4E6F32BF"/>
    <w:rsid w:val="4E714E0E"/>
    <w:rsid w:val="4E82760D"/>
    <w:rsid w:val="4E89301B"/>
    <w:rsid w:val="4E894AFA"/>
    <w:rsid w:val="4E8B5AB9"/>
    <w:rsid w:val="4E93041D"/>
    <w:rsid w:val="4E96699F"/>
    <w:rsid w:val="4E972AE5"/>
    <w:rsid w:val="4EA21A16"/>
    <w:rsid w:val="4EA36291"/>
    <w:rsid w:val="4EA523FF"/>
    <w:rsid w:val="4EA80ABB"/>
    <w:rsid w:val="4EA86B37"/>
    <w:rsid w:val="4EB41544"/>
    <w:rsid w:val="4EB85AFC"/>
    <w:rsid w:val="4EB876FF"/>
    <w:rsid w:val="4EBD23A3"/>
    <w:rsid w:val="4EC41933"/>
    <w:rsid w:val="4EC921DE"/>
    <w:rsid w:val="4EC96608"/>
    <w:rsid w:val="4ECA0154"/>
    <w:rsid w:val="4ECA3992"/>
    <w:rsid w:val="4EDC40CE"/>
    <w:rsid w:val="4EDE1535"/>
    <w:rsid w:val="4EDF58AC"/>
    <w:rsid w:val="4EEC1E1D"/>
    <w:rsid w:val="4EEC30DD"/>
    <w:rsid w:val="4EEF71F5"/>
    <w:rsid w:val="4EF03706"/>
    <w:rsid w:val="4EF131CA"/>
    <w:rsid w:val="4EF21109"/>
    <w:rsid w:val="4EF8053D"/>
    <w:rsid w:val="4EF9135B"/>
    <w:rsid w:val="4F0178BA"/>
    <w:rsid w:val="4F022DBB"/>
    <w:rsid w:val="4F075323"/>
    <w:rsid w:val="4F0B24FF"/>
    <w:rsid w:val="4F0F6F4E"/>
    <w:rsid w:val="4F0F7865"/>
    <w:rsid w:val="4F121835"/>
    <w:rsid w:val="4F127237"/>
    <w:rsid w:val="4F2B2970"/>
    <w:rsid w:val="4F2C26EB"/>
    <w:rsid w:val="4F337018"/>
    <w:rsid w:val="4F34295B"/>
    <w:rsid w:val="4F346648"/>
    <w:rsid w:val="4F362783"/>
    <w:rsid w:val="4F3C7C9B"/>
    <w:rsid w:val="4F4018DB"/>
    <w:rsid w:val="4F426C1E"/>
    <w:rsid w:val="4F4604AD"/>
    <w:rsid w:val="4F476026"/>
    <w:rsid w:val="4F4F3166"/>
    <w:rsid w:val="4F5117E4"/>
    <w:rsid w:val="4F51731E"/>
    <w:rsid w:val="4F5709AA"/>
    <w:rsid w:val="4F5817D5"/>
    <w:rsid w:val="4F5B215A"/>
    <w:rsid w:val="4F5B618C"/>
    <w:rsid w:val="4F5C17A2"/>
    <w:rsid w:val="4F5D15D7"/>
    <w:rsid w:val="4F5E1ECB"/>
    <w:rsid w:val="4F6224A7"/>
    <w:rsid w:val="4F696DB4"/>
    <w:rsid w:val="4F6B6D49"/>
    <w:rsid w:val="4F6B7098"/>
    <w:rsid w:val="4F6C1195"/>
    <w:rsid w:val="4F6C5458"/>
    <w:rsid w:val="4F734B05"/>
    <w:rsid w:val="4F7C1BD8"/>
    <w:rsid w:val="4F7E3D4F"/>
    <w:rsid w:val="4F824BC9"/>
    <w:rsid w:val="4F8305F3"/>
    <w:rsid w:val="4F87102E"/>
    <w:rsid w:val="4F8973A9"/>
    <w:rsid w:val="4F8D60DA"/>
    <w:rsid w:val="4F9A624B"/>
    <w:rsid w:val="4F9F2E11"/>
    <w:rsid w:val="4FA1626D"/>
    <w:rsid w:val="4FA4202A"/>
    <w:rsid w:val="4FAF57EA"/>
    <w:rsid w:val="4FB459FD"/>
    <w:rsid w:val="4FB6302C"/>
    <w:rsid w:val="4FC02045"/>
    <w:rsid w:val="4FC119D0"/>
    <w:rsid w:val="4FC408C4"/>
    <w:rsid w:val="4FC64D40"/>
    <w:rsid w:val="4FCB0DC5"/>
    <w:rsid w:val="4FD334BF"/>
    <w:rsid w:val="4FD46020"/>
    <w:rsid w:val="4FD56F09"/>
    <w:rsid w:val="4FD661CA"/>
    <w:rsid w:val="4FD73EAF"/>
    <w:rsid w:val="4FD94E91"/>
    <w:rsid w:val="4FDA5EB4"/>
    <w:rsid w:val="4FDA7BD6"/>
    <w:rsid w:val="4FDD183F"/>
    <w:rsid w:val="4FDE09FD"/>
    <w:rsid w:val="4FDE3642"/>
    <w:rsid w:val="4FE253FC"/>
    <w:rsid w:val="4FE32E66"/>
    <w:rsid w:val="4FE61946"/>
    <w:rsid w:val="4FE71872"/>
    <w:rsid w:val="4FEA4719"/>
    <w:rsid w:val="4FEE199A"/>
    <w:rsid w:val="4FF1197E"/>
    <w:rsid w:val="4FF653A9"/>
    <w:rsid w:val="4FF663F0"/>
    <w:rsid w:val="4FFE090D"/>
    <w:rsid w:val="50011708"/>
    <w:rsid w:val="50020CD1"/>
    <w:rsid w:val="500408D9"/>
    <w:rsid w:val="500902DF"/>
    <w:rsid w:val="500A6D2A"/>
    <w:rsid w:val="500F6907"/>
    <w:rsid w:val="50185BE1"/>
    <w:rsid w:val="501D6352"/>
    <w:rsid w:val="502338E6"/>
    <w:rsid w:val="50237F10"/>
    <w:rsid w:val="502953F0"/>
    <w:rsid w:val="502B1C85"/>
    <w:rsid w:val="502C014A"/>
    <w:rsid w:val="502F307D"/>
    <w:rsid w:val="503034D3"/>
    <w:rsid w:val="50322583"/>
    <w:rsid w:val="503D4C8A"/>
    <w:rsid w:val="50407249"/>
    <w:rsid w:val="50481372"/>
    <w:rsid w:val="504E773B"/>
    <w:rsid w:val="50514A84"/>
    <w:rsid w:val="50581AE5"/>
    <w:rsid w:val="505D08FF"/>
    <w:rsid w:val="50621FFC"/>
    <w:rsid w:val="5075570D"/>
    <w:rsid w:val="507E3CD4"/>
    <w:rsid w:val="50875E0E"/>
    <w:rsid w:val="5089698C"/>
    <w:rsid w:val="508F5FA0"/>
    <w:rsid w:val="50926C65"/>
    <w:rsid w:val="50985A1B"/>
    <w:rsid w:val="50985FC5"/>
    <w:rsid w:val="50995FBD"/>
    <w:rsid w:val="50A16115"/>
    <w:rsid w:val="50A673CB"/>
    <w:rsid w:val="50AE2E7C"/>
    <w:rsid w:val="50B82806"/>
    <w:rsid w:val="50B93B6F"/>
    <w:rsid w:val="50BA299E"/>
    <w:rsid w:val="50BB04DA"/>
    <w:rsid w:val="50BD76BC"/>
    <w:rsid w:val="50C31288"/>
    <w:rsid w:val="50C35232"/>
    <w:rsid w:val="50C37E9C"/>
    <w:rsid w:val="50C61AC6"/>
    <w:rsid w:val="50C76E13"/>
    <w:rsid w:val="50C808BB"/>
    <w:rsid w:val="50CD53F9"/>
    <w:rsid w:val="50CE69C0"/>
    <w:rsid w:val="50D00EE4"/>
    <w:rsid w:val="50D3664F"/>
    <w:rsid w:val="50D83BF2"/>
    <w:rsid w:val="50DD3026"/>
    <w:rsid w:val="50E00FAA"/>
    <w:rsid w:val="50E43B4B"/>
    <w:rsid w:val="50E51048"/>
    <w:rsid w:val="50E518F3"/>
    <w:rsid w:val="50E601BB"/>
    <w:rsid w:val="50E70CB2"/>
    <w:rsid w:val="50EA18F0"/>
    <w:rsid w:val="50F625A9"/>
    <w:rsid w:val="50F6584A"/>
    <w:rsid w:val="50FA2494"/>
    <w:rsid w:val="510066B1"/>
    <w:rsid w:val="510303DE"/>
    <w:rsid w:val="51065DCD"/>
    <w:rsid w:val="51087240"/>
    <w:rsid w:val="510B3B3D"/>
    <w:rsid w:val="51150178"/>
    <w:rsid w:val="51247428"/>
    <w:rsid w:val="512A4F56"/>
    <w:rsid w:val="512F3391"/>
    <w:rsid w:val="513414E1"/>
    <w:rsid w:val="51350A1F"/>
    <w:rsid w:val="51372A13"/>
    <w:rsid w:val="51387666"/>
    <w:rsid w:val="513A051A"/>
    <w:rsid w:val="51423774"/>
    <w:rsid w:val="51475EB1"/>
    <w:rsid w:val="514C2EFE"/>
    <w:rsid w:val="51532244"/>
    <w:rsid w:val="516054F4"/>
    <w:rsid w:val="51685AE0"/>
    <w:rsid w:val="516A3E5E"/>
    <w:rsid w:val="51705EF8"/>
    <w:rsid w:val="51777D8D"/>
    <w:rsid w:val="517C7CC1"/>
    <w:rsid w:val="51871715"/>
    <w:rsid w:val="51874940"/>
    <w:rsid w:val="51913CEE"/>
    <w:rsid w:val="51924E6C"/>
    <w:rsid w:val="51927FDC"/>
    <w:rsid w:val="51994F22"/>
    <w:rsid w:val="519A5182"/>
    <w:rsid w:val="519B702C"/>
    <w:rsid w:val="51A448D5"/>
    <w:rsid w:val="51A621D6"/>
    <w:rsid w:val="51A7289F"/>
    <w:rsid w:val="51A91D37"/>
    <w:rsid w:val="51B267CD"/>
    <w:rsid w:val="51B404B1"/>
    <w:rsid w:val="51B57180"/>
    <w:rsid w:val="51B67B77"/>
    <w:rsid w:val="51B918F4"/>
    <w:rsid w:val="51BB7D94"/>
    <w:rsid w:val="51C21034"/>
    <w:rsid w:val="51C41C11"/>
    <w:rsid w:val="51CF59A8"/>
    <w:rsid w:val="51D27A12"/>
    <w:rsid w:val="51D52C08"/>
    <w:rsid w:val="51E16212"/>
    <w:rsid w:val="51E55AF1"/>
    <w:rsid w:val="51EA785A"/>
    <w:rsid w:val="51EF1B81"/>
    <w:rsid w:val="51F10A45"/>
    <w:rsid w:val="51F44DF8"/>
    <w:rsid w:val="51FF7392"/>
    <w:rsid w:val="52013186"/>
    <w:rsid w:val="520F74CE"/>
    <w:rsid w:val="52110C33"/>
    <w:rsid w:val="52117771"/>
    <w:rsid w:val="521D063C"/>
    <w:rsid w:val="521D6BC2"/>
    <w:rsid w:val="521F58C7"/>
    <w:rsid w:val="5220345A"/>
    <w:rsid w:val="5223394C"/>
    <w:rsid w:val="52250C6B"/>
    <w:rsid w:val="522A3648"/>
    <w:rsid w:val="52336C01"/>
    <w:rsid w:val="523C7E01"/>
    <w:rsid w:val="524366AF"/>
    <w:rsid w:val="5245586C"/>
    <w:rsid w:val="5246006B"/>
    <w:rsid w:val="52483041"/>
    <w:rsid w:val="52491072"/>
    <w:rsid w:val="524A57A5"/>
    <w:rsid w:val="524B3B2A"/>
    <w:rsid w:val="52581524"/>
    <w:rsid w:val="52584506"/>
    <w:rsid w:val="525C0FE9"/>
    <w:rsid w:val="525C1B18"/>
    <w:rsid w:val="525C7CD5"/>
    <w:rsid w:val="52602591"/>
    <w:rsid w:val="52625319"/>
    <w:rsid w:val="526923C8"/>
    <w:rsid w:val="526C7DA3"/>
    <w:rsid w:val="526E066C"/>
    <w:rsid w:val="526F6801"/>
    <w:rsid w:val="52737644"/>
    <w:rsid w:val="527755DC"/>
    <w:rsid w:val="527929D4"/>
    <w:rsid w:val="5285325A"/>
    <w:rsid w:val="52890A1C"/>
    <w:rsid w:val="52902B89"/>
    <w:rsid w:val="529353E2"/>
    <w:rsid w:val="529E0283"/>
    <w:rsid w:val="529E5A1B"/>
    <w:rsid w:val="52A03C41"/>
    <w:rsid w:val="52A05372"/>
    <w:rsid w:val="52A11971"/>
    <w:rsid w:val="52A36632"/>
    <w:rsid w:val="52A428B2"/>
    <w:rsid w:val="52A93232"/>
    <w:rsid w:val="52AC2AAF"/>
    <w:rsid w:val="52AC7E94"/>
    <w:rsid w:val="52B04C50"/>
    <w:rsid w:val="52B14471"/>
    <w:rsid w:val="52BF3A78"/>
    <w:rsid w:val="52C27D67"/>
    <w:rsid w:val="52C36096"/>
    <w:rsid w:val="52CB0E42"/>
    <w:rsid w:val="52CF74FB"/>
    <w:rsid w:val="52D05D4A"/>
    <w:rsid w:val="52D40BF0"/>
    <w:rsid w:val="52D530E1"/>
    <w:rsid w:val="52D67C96"/>
    <w:rsid w:val="52D94BFF"/>
    <w:rsid w:val="52E33307"/>
    <w:rsid w:val="52E37A11"/>
    <w:rsid w:val="52E46D27"/>
    <w:rsid w:val="52EB6A91"/>
    <w:rsid w:val="52EB7D9B"/>
    <w:rsid w:val="52F16127"/>
    <w:rsid w:val="52F44D07"/>
    <w:rsid w:val="52FA2545"/>
    <w:rsid w:val="52FB1058"/>
    <w:rsid w:val="52FF2DD9"/>
    <w:rsid w:val="52FF39FA"/>
    <w:rsid w:val="5310650C"/>
    <w:rsid w:val="531D2166"/>
    <w:rsid w:val="531E2B90"/>
    <w:rsid w:val="531F15BC"/>
    <w:rsid w:val="53272731"/>
    <w:rsid w:val="532A6BC7"/>
    <w:rsid w:val="532E62C5"/>
    <w:rsid w:val="532F5E23"/>
    <w:rsid w:val="533040D0"/>
    <w:rsid w:val="533210BF"/>
    <w:rsid w:val="533C1D4C"/>
    <w:rsid w:val="533F0728"/>
    <w:rsid w:val="534025D5"/>
    <w:rsid w:val="53404A0C"/>
    <w:rsid w:val="534D6378"/>
    <w:rsid w:val="53565B2C"/>
    <w:rsid w:val="535878A8"/>
    <w:rsid w:val="535A6DCC"/>
    <w:rsid w:val="535B15E3"/>
    <w:rsid w:val="53684685"/>
    <w:rsid w:val="536A2DD8"/>
    <w:rsid w:val="536A6AB0"/>
    <w:rsid w:val="536E6D3B"/>
    <w:rsid w:val="53736519"/>
    <w:rsid w:val="537A64D6"/>
    <w:rsid w:val="53841D43"/>
    <w:rsid w:val="53854D8E"/>
    <w:rsid w:val="53885B3D"/>
    <w:rsid w:val="538D6C1E"/>
    <w:rsid w:val="538F1376"/>
    <w:rsid w:val="53935709"/>
    <w:rsid w:val="5395459A"/>
    <w:rsid w:val="53983153"/>
    <w:rsid w:val="53990C25"/>
    <w:rsid w:val="539B4A45"/>
    <w:rsid w:val="53A9749D"/>
    <w:rsid w:val="53AA33BC"/>
    <w:rsid w:val="53B4425F"/>
    <w:rsid w:val="53BA2EB8"/>
    <w:rsid w:val="53BD38CA"/>
    <w:rsid w:val="53C22E51"/>
    <w:rsid w:val="53D3204A"/>
    <w:rsid w:val="53D739F3"/>
    <w:rsid w:val="53D7679C"/>
    <w:rsid w:val="53DB5E2E"/>
    <w:rsid w:val="53DD4C58"/>
    <w:rsid w:val="53E44A71"/>
    <w:rsid w:val="53E84776"/>
    <w:rsid w:val="53EC3691"/>
    <w:rsid w:val="53EE70F6"/>
    <w:rsid w:val="53F43A13"/>
    <w:rsid w:val="53F9138D"/>
    <w:rsid w:val="53FB5122"/>
    <w:rsid w:val="53FC4571"/>
    <w:rsid w:val="53FF6029"/>
    <w:rsid w:val="54072B70"/>
    <w:rsid w:val="54096ED0"/>
    <w:rsid w:val="540D01D5"/>
    <w:rsid w:val="540D7908"/>
    <w:rsid w:val="54145216"/>
    <w:rsid w:val="54155288"/>
    <w:rsid w:val="54246731"/>
    <w:rsid w:val="54297CAD"/>
    <w:rsid w:val="542A4535"/>
    <w:rsid w:val="542E69F4"/>
    <w:rsid w:val="54345A48"/>
    <w:rsid w:val="54396075"/>
    <w:rsid w:val="543D582B"/>
    <w:rsid w:val="5440732C"/>
    <w:rsid w:val="544276DA"/>
    <w:rsid w:val="54443B8B"/>
    <w:rsid w:val="54460F2A"/>
    <w:rsid w:val="544E6061"/>
    <w:rsid w:val="545218C0"/>
    <w:rsid w:val="54577ABF"/>
    <w:rsid w:val="545E5EC1"/>
    <w:rsid w:val="546131AF"/>
    <w:rsid w:val="54615AD2"/>
    <w:rsid w:val="546553BD"/>
    <w:rsid w:val="54690674"/>
    <w:rsid w:val="54721796"/>
    <w:rsid w:val="54726616"/>
    <w:rsid w:val="54726659"/>
    <w:rsid w:val="54782BC1"/>
    <w:rsid w:val="547A7968"/>
    <w:rsid w:val="547D5261"/>
    <w:rsid w:val="547F3DFB"/>
    <w:rsid w:val="5480682B"/>
    <w:rsid w:val="54810E2C"/>
    <w:rsid w:val="548123EF"/>
    <w:rsid w:val="54897E55"/>
    <w:rsid w:val="548F67EA"/>
    <w:rsid w:val="54913FA8"/>
    <w:rsid w:val="5495080E"/>
    <w:rsid w:val="549C4008"/>
    <w:rsid w:val="54A40FA1"/>
    <w:rsid w:val="54A50956"/>
    <w:rsid w:val="54A93BB0"/>
    <w:rsid w:val="54AD065D"/>
    <w:rsid w:val="54B80EC5"/>
    <w:rsid w:val="54C30CC2"/>
    <w:rsid w:val="54C44A16"/>
    <w:rsid w:val="54C67485"/>
    <w:rsid w:val="54C72546"/>
    <w:rsid w:val="54CE6306"/>
    <w:rsid w:val="54D26546"/>
    <w:rsid w:val="54D26D35"/>
    <w:rsid w:val="54D766D7"/>
    <w:rsid w:val="54D87363"/>
    <w:rsid w:val="54E311F9"/>
    <w:rsid w:val="54E57966"/>
    <w:rsid w:val="54E63D3C"/>
    <w:rsid w:val="54E834DA"/>
    <w:rsid w:val="54E914E4"/>
    <w:rsid w:val="54EC1F33"/>
    <w:rsid w:val="54F17E8D"/>
    <w:rsid w:val="54F221D4"/>
    <w:rsid w:val="54F67AF6"/>
    <w:rsid w:val="54F87092"/>
    <w:rsid w:val="54F95FA9"/>
    <w:rsid w:val="54FA3DF3"/>
    <w:rsid w:val="54FC22B2"/>
    <w:rsid w:val="54FF2912"/>
    <w:rsid w:val="54FF438C"/>
    <w:rsid w:val="5501601C"/>
    <w:rsid w:val="550752A1"/>
    <w:rsid w:val="550801BC"/>
    <w:rsid w:val="55125E05"/>
    <w:rsid w:val="55135101"/>
    <w:rsid w:val="551740FB"/>
    <w:rsid w:val="55175B4F"/>
    <w:rsid w:val="551D1D56"/>
    <w:rsid w:val="551D6EA4"/>
    <w:rsid w:val="55200237"/>
    <w:rsid w:val="55206424"/>
    <w:rsid w:val="55250443"/>
    <w:rsid w:val="55275FA7"/>
    <w:rsid w:val="552A1F52"/>
    <w:rsid w:val="552B439F"/>
    <w:rsid w:val="552B7D12"/>
    <w:rsid w:val="552C1146"/>
    <w:rsid w:val="552D20DD"/>
    <w:rsid w:val="553052B9"/>
    <w:rsid w:val="553262E1"/>
    <w:rsid w:val="55341D1C"/>
    <w:rsid w:val="553521CB"/>
    <w:rsid w:val="55420934"/>
    <w:rsid w:val="5548558F"/>
    <w:rsid w:val="554C5D96"/>
    <w:rsid w:val="555054BB"/>
    <w:rsid w:val="55571F41"/>
    <w:rsid w:val="55620FC3"/>
    <w:rsid w:val="55685D04"/>
    <w:rsid w:val="556C0DE1"/>
    <w:rsid w:val="556C4B52"/>
    <w:rsid w:val="556D4591"/>
    <w:rsid w:val="557006B9"/>
    <w:rsid w:val="55722D03"/>
    <w:rsid w:val="55732712"/>
    <w:rsid w:val="55761C17"/>
    <w:rsid w:val="557C7D21"/>
    <w:rsid w:val="55866AA6"/>
    <w:rsid w:val="558A43B4"/>
    <w:rsid w:val="55924ABD"/>
    <w:rsid w:val="55947E45"/>
    <w:rsid w:val="559D6863"/>
    <w:rsid w:val="55A361D9"/>
    <w:rsid w:val="55A62D51"/>
    <w:rsid w:val="55A7585F"/>
    <w:rsid w:val="55AD2619"/>
    <w:rsid w:val="55B335DE"/>
    <w:rsid w:val="55B772BE"/>
    <w:rsid w:val="55B8789A"/>
    <w:rsid w:val="55BB102F"/>
    <w:rsid w:val="55BB781C"/>
    <w:rsid w:val="55C035F9"/>
    <w:rsid w:val="55C3715D"/>
    <w:rsid w:val="55C41E1B"/>
    <w:rsid w:val="55D06A28"/>
    <w:rsid w:val="55D47976"/>
    <w:rsid w:val="55DB3E4B"/>
    <w:rsid w:val="55DC7FD7"/>
    <w:rsid w:val="55E110FB"/>
    <w:rsid w:val="55E64CE5"/>
    <w:rsid w:val="55EB594C"/>
    <w:rsid w:val="55EF1A63"/>
    <w:rsid w:val="55F346C3"/>
    <w:rsid w:val="55F36905"/>
    <w:rsid w:val="55F75D69"/>
    <w:rsid w:val="55FE2D2E"/>
    <w:rsid w:val="55FF523B"/>
    <w:rsid w:val="56095FA8"/>
    <w:rsid w:val="560B0703"/>
    <w:rsid w:val="560B6FD0"/>
    <w:rsid w:val="56151064"/>
    <w:rsid w:val="561B583D"/>
    <w:rsid w:val="5624337B"/>
    <w:rsid w:val="562472F4"/>
    <w:rsid w:val="5626739C"/>
    <w:rsid w:val="562B6DE2"/>
    <w:rsid w:val="562C681A"/>
    <w:rsid w:val="563052EF"/>
    <w:rsid w:val="5638168A"/>
    <w:rsid w:val="563F3E96"/>
    <w:rsid w:val="564003C4"/>
    <w:rsid w:val="5641618D"/>
    <w:rsid w:val="56446925"/>
    <w:rsid w:val="56586573"/>
    <w:rsid w:val="565919D9"/>
    <w:rsid w:val="565976B6"/>
    <w:rsid w:val="565A0576"/>
    <w:rsid w:val="566166FA"/>
    <w:rsid w:val="56666AD1"/>
    <w:rsid w:val="566D5514"/>
    <w:rsid w:val="56886685"/>
    <w:rsid w:val="568A7305"/>
    <w:rsid w:val="568D1459"/>
    <w:rsid w:val="56924590"/>
    <w:rsid w:val="56982359"/>
    <w:rsid w:val="56984022"/>
    <w:rsid w:val="569A693B"/>
    <w:rsid w:val="569C7CD8"/>
    <w:rsid w:val="569F3FFC"/>
    <w:rsid w:val="56A26B63"/>
    <w:rsid w:val="56AE14FE"/>
    <w:rsid w:val="56B01E81"/>
    <w:rsid w:val="56B71460"/>
    <w:rsid w:val="56B8529C"/>
    <w:rsid w:val="56BC1B62"/>
    <w:rsid w:val="56BF691C"/>
    <w:rsid w:val="56C148F8"/>
    <w:rsid w:val="56C17481"/>
    <w:rsid w:val="56C34CBA"/>
    <w:rsid w:val="56C56B2D"/>
    <w:rsid w:val="56D15EB8"/>
    <w:rsid w:val="56D24A20"/>
    <w:rsid w:val="56D43EC0"/>
    <w:rsid w:val="56D742EB"/>
    <w:rsid w:val="56DA5037"/>
    <w:rsid w:val="56DD7B92"/>
    <w:rsid w:val="56DE41E8"/>
    <w:rsid w:val="56E335D2"/>
    <w:rsid w:val="56E418D2"/>
    <w:rsid w:val="56E47E5B"/>
    <w:rsid w:val="56E64A9D"/>
    <w:rsid w:val="56E67387"/>
    <w:rsid w:val="56F0522F"/>
    <w:rsid w:val="56FE2B50"/>
    <w:rsid w:val="56FE44FA"/>
    <w:rsid w:val="57057195"/>
    <w:rsid w:val="57066BEB"/>
    <w:rsid w:val="570B4501"/>
    <w:rsid w:val="570E1A97"/>
    <w:rsid w:val="570F1DDB"/>
    <w:rsid w:val="57101B49"/>
    <w:rsid w:val="571B444C"/>
    <w:rsid w:val="57222031"/>
    <w:rsid w:val="5723050B"/>
    <w:rsid w:val="57271886"/>
    <w:rsid w:val="572731C2"/>
    <w:rsid w:val="57282CE6"/>
    <w:rsid w:val="57290889"/>
    <w:rsid w:val="572959A2"/>
    <w:rsid w:val="572B3879"/>
    <w:rsid w:val="572E6BEC"/>
    <w:rsid w:val="573163B8"/>
    <w:rsid w:val="573D2446"/>
    <w:rsid w:val="57410684"/>
    <w:rsid w:val="574464F1"/>
    <w:rsid w:val="57455EEE"/>
    <w:rsid w:val="57464B4F"/>
    <w:rsid w:val="574D3EC9"/>
    <w:rsid w:val="575A15AA"/>
    <w:rsid w:val="575B0094"/>
    <w:rsid w:val="57653D35"/>
    <w:rsid w:val="57673CED"/>
    <w:rsid w:val="5768373E"/>
    <w:rsid w:val="576A458D"/>
    <w:rsid w:val="576F4177"/>
    <w:rsid w:val="577B70D9"/>
    <w:rsid w:val="577C71A3"/>
    <w:rsid w:val="577D0634"/>
    <w:rsid w:val="577F0F25"/>
    <w:rsid w:val="57930FE6"/>
    <w:rsid w:val="57942FF9"/>
    <w:rsid w:val="57993386"/>
    <w:rsid w:val="57A132EE"/>
    <w:rsid w:val="57A768D0"/>
    <w:rsid w:val="57A8544B"/>
    <w:rsid w:val="57AD0523"/>
    <w:rsid w:val="57AE6123"/>
    <w:rsid w:val="57BC65EF"/>
    <w:rsid w:val="57BF6693"/>
    <w:rsid w:val="57C4509D"/>
    <w:rsid w:val="57C77A03"/>
    <w:rsid w:val="57C81ED8"/>
    <w:rsid w:val="57CD6716"/>
    <w:rsid w:val="57D05C4D"/>
    <w:rsid w:val="57D622E0"/>
    <w:rsid w:val="57D64280"/>
    <w:rsid w:val="57DD5BDF"/>
    <w:rsid w:val="57DF65CF"/>
    <w:rsid w:val="57DF6E99"/>
    <w:rsid w:val="57DF79F3"/>
    <w:rsid w:val="57E05301"/>
    <w:rsid w:val="57E87DD0"/>
    <w:rsid w:val="57EE3328"/>
    <w:rsid w:val="57F95489"/>
    <w:rsid w:val="57FA6893"/>
    <w:rsid w:val="58057441"/>
    <w:rsid w:val="580C2399"/>
    <w:rsid w:val="58175174"/>
    <w:rsid w:val="582747CA"/>
    <w:rsid w:val="582A2869"/>
    <w:rsid w:val="582C3471"/>
    <w:rsid w:val="582D0AF9"/>
    <w:rsid w:val="582D74CC"/>
    <w:rsid w:val="583A40EF"/>
    <w:rsid w:val="583B11F6"/>
    <w:rsid w:val="583F4DA8"/>
    <w:rsid w:val="58411EB0"/>
    <w:rsid w:val="584A2CA1"/>
    <w:rsid w:val="58540E4B"/>
    <w:rsid w:val="58583C16"/>
    <w:rsid w:val="5861173B"/>
    <w:rsid w:val="5864459D"/>
    <w:rsid w:val="58654681"/>
    <w:rsid w:val="58663811"/>
    <w:rsid w:val="586C74C1"/>
    <w:rsid w:val="587020E7"/>
    <w:rsid w:val="587C5F53"/>
    <w:rsid w:val="587E38B8"/>
    <w:rsid w:val="588568A7"/>
    <w:rsid w:val="588B3C54"/>
    <w:rsid w:val="58975214"/>
    <w:rsid w:val="589777ED"/>
    <w:rsid w:val="58993082"/>
    <w:rsid w:val="589B6B9D"/>
    <w:rsid w:val="58B036AD"/>
    <w:rsid w:val="58B5062F"/>
    <w:rsid w:val="58B601F7"/>
    <w:rsid w:val="58B73423"/>
    <w:rsid w:val="58B80CB2"/>
    <w:rsid w:val="58B85DDE"/>
    <w:rsid w:val="58BC24EE"/>
    <w:rsid w:val="58BE1395"/>
    <w:rsid w:val="58C066AC"/>
    <w:rsid w:val="58C20883"/>
    <w:rsid w:val="58C844C4"/>
    <w:rsid w:val="58CB3E57"/>
    <w:rsid w:val="58D07B6F"/>
    <w:rsid w:val="58D13BE7"/>
    <w:rsid w:val="58D55445"/>
    <w:rsid w:val="58D73D3E"/>
    <w:rsid w:val="58DA4FE6"/>
    <w:rsid w:val="58DD7EE2"/>
    <w:rsid w:val="58E35F94"/>
    <w:rsid w:val="58E636AC"/>
    <w:rsid w:val="58EE02AF"/>
    <w:rsid w:val="58F22BE3"/>
    <w:rsid w:val="58F4236C"/>
    <w:rsid w:val="58F45387"/>
    <w:rsid w:val="58F73CAB"/>
    <w:rsid w:val="58FE6856"/>
    <w:rsid w:val="59010CB2"/>
    <w:rsid w:val="59036867"/>
    <w:rsid w:val="59052046"/>
    <w:rsid w:val="59063D81"/>
    <w:rsid w:val="5907181B"/>
    <w:rsid w:val="59071D62"/>
    <w:rsid w:val="590824D3"/>
    <w:rsid w:val="59084CAF"/>
    <w:rsid w:val="59094453"/>
    <w:rsid w:val="59156CBC"/>
    <w:rsid w:val="5917677B"/>
    <w:rsid w:val="59176C72"/>
    <w:rsid w:val="59183466"/>
    <w:rsid w:val="591F5827"/>
    <w:rsid w:val="591F5C5A"/>
    <w:rsid w:val="59210207"/>
    <w:rsid w:val="5927658F"/>
    <w:rsid w:val="59331EFD"/>
    <w:rsid w:val="5935580F"/>
    <w:rsid w:val="59370DB5"/>
    <w:rsid w:val="593E6E35"/>
    <w:rsid w:val="59467CE1"/>
    <w:rsid w:val="594A229E"/>
    <w:rsid w:val="594C28B9"/>
    <w:rsid w:val="594E4BC5"/>
    <w:rsid w:val="594F6BC9"/>
    <w:rsid w:val="59530254"/>
    <w:rsid w:val="59554AA0"/>
    <w:rsid w:val="595F321A"/>
    <w:rsid w:val="59637998"/>
    <w:rsid w:val="59676C24"/>
    <w:rsid w:val="596A3281"/>
    <w:rsid w:val="596D36CD"/>
    <w:rsid w:val="596E43D2"/>
    <w:rsid w:val="597B746C"/>
    <w:rsid w:val="597C073D"/>
    <w:rsid w:val="5980586F"/>
    <w:rsid w:val="598222FE"/>
    <w:rsid w:val="59824974"/>
    <w:rsid w:val="598966A4"/>
    <w:rsid w:val="5990063C"/>
    <w:rsid w:val="5993234F"/>
    <w:rsid w:val="5994799F"/>
    <w:rsid w:val="59966D81"/>
    <w:rsid w:val="599D1446"/>
    <w:rsid w:val="599F04C8"/>
    <w:rsid w:val="59A03BE1"/>
    <w:rsid w:val="59A47625"/>
    <w:rsid w:val="59A61632"/>
    <w:rsid w:val="59A96442"/>
    <w:rsid w:val="59AB1075"/>
    <w:rsid w:val="59AB699E"/>
    <w:rsid w:val="59AF2E06"/>
    <w:rsid w:val="59B647AB"/>
    <w:rsid w:val="59B72EC5"/>
    <w:rsid w:val="59BA4055"/>
    <w:rsid w:val="59BA5DD0"/>
    <w:rsid w:val="59BB0993"/>
    <w:rsid w:val="59BB5DFF"/>
    <w:rsid w:val="59BC226F"/>
    <w:rsid w:val="59BE3E80"/>
    <w:rsid w:val="59C057A3"/>
    <w:rsid w:val="59C40D70"/>
    <w:rsid w:val="59C51F55"/>
    <w:rsid w:val="59C64FC6"/>
    <w:rsid w:val="59C9212F"/>
    <w:rsid w:val="59C94FA7"/>
    <w:rsid w:val="59DA156F"/>
    <w:rsid w:val="59DA759B"/>
    <w:rsid w:val="59DE53A0"/>
    <w:rsid w:val="59DE69EB"/>
    <w:rsid w:val="59E07C08"/>
    <w:rsid w:val="59EE054C"/>
    <w:rsid w:val="59F0093C"/>
    <w:rsid w:val="59F25A69"/>
    <w:rsid w:val="5A076FF6"/>
    <w:rsid w:val="5A107616"/>
    <w:rsid w:val="5A122D7F"/>
    <w:rsid w:val="5A125BD6"/>
    <w:rsid w:val="5A156901"/>
    <w:rsid w:val="5A1B56C0"/>
    <w:rsid w:val="5A1E3A16"/>
    <w:rsid w:val="5A200F00"/>
    <w:rsid w:val="5A251F53"/>
    <w:rsid w:val="5A2E5601"/>
    <w:rsid w:val="5A3F7792"/>
    <w:rsid w:val="5A4A1D9B"/>
    <w:rsid w:val="5A4E1014"/>
    <w:rsid w:val="5A5115FD"/>
    <w:rsid w:val="5A526E20"/>
    <w:rsid w:val="5A544C65"/>
    <w:rsid w:val="5A570D5D"/>
    <w:rsid w:val="5A5A0229"/>
    <w:rsid w:val="5A5C65AD"/>
    <w:rsid w:val="5A5F5F50"/>
    <w:rsid w:val="5A6B3FCC"/>
    <w:rsid w:val="5A72346E"/>
    <w:rsid w:val="5A724D04"/>
    <w:rsid w:val="5A7A5375"/>
    <w:rsid w:val="5A7A544E"/>
    <w:rsid w:val="5A7A585C"/>
    <w:rsid w:val="5A7B506B"/>
    <w:rsid w:val="5A7D27EA"/>
    <w:rsid w:val="5A805EF4"/>
    <w:rsid w:val="5A853A12"/>
    <w:rsid w:val="5A867659"/>
    <w:rsid w:val="5A877740"/>
    <w:rsid w:val="5A9554ED"/>
    <w:rsid w:val="5A976310"/>
    <w:rsid w:val="5A9D4F40"/>
    <w:rsid w:val="5AA95A72"/>
    <w:rsid w:val="5AAB31F4"/>
    <w:rsid w:val="5AAF2C43"/>
    <w:rsid w:val="5ABB5852"/>
    <w:rsid w:val="5ABF1F62"/>
    <w:rsid w:val="5AC217BA"/>
    <w:rsid w:val="5AC51AAB"/>
    <w:rsid w:val="5ACC4DC4"/>
    <w:rsid w:val="5ACD356B"/>
    <w:rsid w:val="5AD15802"/>
    <w:rsid w:val="5AD70304"/>
    <w:rsid w:val="5ADB2557"/>
    <w:rsid w:val="5ADB5DE1"/>
    <w:rsid w:val="5AE1012B"/>
    <w:rsid w:val="5AE51CF5"/>
    <w:rsid w:val="5AE728BA"/>
    <w:rsid w:val="5AE81A4A"/>
    <w:rsid w:val="5AEE738E"/>
    <w:rsid w:val="5AF45748"/>
    <w:rsid w:val="5AF51C6D"/>
    <w:rsid w:val="5AF628A8"/>
    <w:rsid w:val="5B004E56"/>
    <w:rsid w:val="5B0820A3"/>
    <w:rsid w:val="5B09549F"/>
    <w:rsid w:val="5B0D2DB1"/>
    <w:rsid w:val="5B0D780E"/>
    <w:rsid w:val="5B11519B"/>
    <w:rsid w:val="5B13492B"/>
    <w:rsid w:val="5B151A8A"/>
    <w:rsid w:val="5B177B86"/>
    <w:rsid w:val="5B177ECA"/>
    <w:rsid w:val="5B183F51"/>
    <w:rsid w:val="5B190A7F"/>
    <w:rsid w:val="5B1C5CBF"/>
    <w:rsid w:val="5B2108BD"/>
    <w:rsid w:val="5B21743B"/>
    <w:rsid w:val="5B243CE9"/>
    <w:rsid w:val="5B251B0F"/>
    <w:rsid w:val="5B2F225D"/>
    <w:rsid w:val="5B337A53"/>
    <w:rsid w:val="5B3A5411"/>
    <w:rsid w:val="5B3B144F"/>
    <w:rsid w:val="5B3F45F4"/>
    <w:rsid w:val="5B480205"/>
    <w:rsid w:val="5B480343"/>
    <w:rsid w:val="5B4F10FB"/>
    <w:rsid w:val="5B5416DC"/>
    <w:rsid w:val="5B587CD2"/>
    <w:rsid w:val="5B5B1186"/>
    <w:rsid w:val="5B5B5269"/>
    <w:rsid w:val="5B5F6656"/>
    <w:rsid w:val="5B5F73EC"/>
    <w:rsid w:val="5B6B1E80"/>
    <w:rsid w:val="5B6E3FAF"/>
    <w:rsid w:val="5B815A57"/>
    <w:rsid w:val="5B8A5BA0"/>
    <w:rsid w:val="5B8F4ADC"/>
    <w:rsid w:val="5B93775A"/>
    <w:rsid w:val="5B9528B6"/>
    <w:rsid w:val="5B957F1B"/>
    <w:rsid w:val="5B971C07"/>
    <w:rsid w:val="5B982EA8"/>
    <w:rsid w:val="5B9E1E49"/>
    <w:rsid w:val="5B9F12FB"/>
    <w:rsid w:val="5BA66949"/>
    <w:rsid w:val="5BAA219A"/>
    <w:rsid w:val="5BAB3416"/>
    <w:rsid w:val="5BB11B1A"/>
    <w:rsid w:val="5BB42BEF"/>
    <w:rsid w:val="5BB44C6D"/>
    <w:rsid w:val="5BB71729"/>
    <w:rsid w:val="5BBE73DF"/>
    <w:rsid w:val="5BBF1A93"/>
    <w:rsid w:val="5BC1129E"/>
    <w:rsid w:val="5BC468FD"/>
    <w:rsid w:val="5BC84444"/>
    <w:rsid w:val="5BD25BA1"/>
    <w:rsid w:val="5BD95BC9"/>
    <w:rsid w:val="5BF16627"/>
    <w:rsid w:val="5BF17D31"/>
    <w:rsid w:val="5BF777A0"/>
    <w:rsid w:val="5BFB0A93"/>
    <w:rsid w:val="5C023972"/>
    <w:rsid w:val="5C0551D5"/>
    <w:rsid w:val="5C1535D0"/>
    <w:rsid w:val="5C204799"/>
    <w:rsid w:val="5C215D03"/>
    <w:rsid w:val="5C250FF5"/>
    <w:rsid w:val="5C2B17CC"/>
    <w:rsid w:val="5C351846"/>
    <w:rsid w:val="5C380A7E"/>
    <w:rsid w:val="5C3C0A42"/>
    <w:rsid w:val="5C45355B"/>
    <w:rsid w:val="5C4C6274"/>
    <w:rsid w:val="5C537648"/>
    <w:rsid w:val="5C594ECC"/>
    <w:rsid w:val="5C5977B9"/>
    <w:rsid w:val="5C631117"/>
    <w:rsid w:val="5C651EB1"/>
    <w:rsid w:val="5C656E65"/>
    <w:rsid w:val="5C6808F6"/>
    <w:rsid w:val="5C692DE9"/>
    <w:rsid w:val="5C6E0AED"/>
    <w:rsid w:val="5C7105D4"/>
    <w:rsid w:val="5C78487A"/>
    <w:rsid w:val="5C7F0B1E"/>
    <w:rsid w:val="5C7F76C0"/>
    <w:rsid w:val="5C810906"/>
    <w:rsid w:val="5C812FE9"/>
    <w:rsid w:val="5C872BE1"/>
    <w:rsid w:val="5C9235DC"/>
    <w:rsid w:val="5C941ED6"/>
    <w:rsid w:val="5C944457"/>
    <w:rsid w:val="5C950032"/>
    <w:rsid w:val="5C9B0B01"/>
    <w:rsid w:val="5C9B6C93"/>
    <w:rsid w:val="5C9E7FFA"/>
    <w:rsid w:val="5CA00B54"/>
    <w:rsid w:val="5CA24EA1"/>
    <w:rsid w:val="5CAA4AE7"/>
    <w:rsid w:val="5CBB49B1"/>
    <w:rsid w:val="5CBD3397"/>
    <w:rsid w:val="5CC2291D"/>
    <w:rsid w:val="5CCC62CE"/>
    <w:rsid w:val="5CCE0344"/>
    <w:rsid w:val="5CD017DC"/>
    <w:rsid w:val="5CD3570A"/>
    <w:rsid w:val="5CD71CB6"/>
    <w:rsid w:val="5CE37769"/>
    <w:rsid w:val="5CE94A93"/>
    <w:rsid w:val="5CEC1F3B"/>
    <w:rsid w:val="5CF96138"/>
    <w:rsid w:val="5D020EE6"/>
    <w:rsid w:val="5D0923C5"/>
    <w:rsid w:val="5D1E4772"/>
    <w:rsid w:val="5D1E5616"/>
    <w:rsid w:val="5D23342A"/>
    <w:rsid w:val="5D234B15"/>
    <w:rsid w:val="5D244B01"/>
    <w:rsid w:val="5D2514B3"/>
    <w:rsid w:val="5D28314E"/>
    <w:rsid w:val="5D2C057B"/>
    <w:rsid w:val="5D316044"/>
    <w:rsid w:val="5D4C6240"/>
    <w:rsid w:val="5D4E2985"/>
    <w:rsid w:val="5D5401E7"/>
    <w:rsid w:val="5D560102"/>
    <w:rsid w:val="5D57056F"/>
    <w:rsid w:val="5D577555"/>
    <w:rsid w:val="5D5B0EF0"/>
    <w:rsid w:val="5D631629"/>
    <w:rsid w:val="5D691DD8"/>
    <w:rsid w:val="5D710D0D"/>
    <w:rsid w:val="5D76610C"/>
    <w:rsid w:val="5D785DAA"/>
    <w:rsid w:val="5D7B7AE4"/>
    <w:rsid w:val="5D7D50DE"/>
    <w:rsid w:val="5D7F5B3A"/>
    <w:rsid w:val="5D8762D3"/>
    <w:rsid w:val="5D883C6B"/>
    <w:rsid w:val="5D8C5C9E"/>
    <w:rsid w:val="5D973CFD"/>
    <w:rsid w:val="5D98193C"/>
    <w:rsid w:val="5D9A4837"/>
    <w:rsid w:val="5DA30458"/>
    <w:rsid w:val="5DA40D43"/>
    <w:rsid w:val="5DA43293"/>
    <w:rsid w:val="5DA4449F"/>
    <w:rsid w:val="5DB55E78"/>
    <w:rsid w:val="5DBB33C5"/>
    <w:rsid w:val="5DBB7C7C"/>
    <w:rsid w:val="5DBC2E58"/>
    <w:rsid w:val="5DBC7DBE"/>
    <w:rsid w:val="5DC263B4"/>
    <w:rsid w:val="5DC51006"/>
    <w:rsid w:val="5DC72126"/>
    <w:rsid w:val="5DCE7751"/>
    <w:rsid w:val="5DD06CF0"/>
    <w:rsid w:val="5DD60FEC"/>
    <w:rsid w:val="5DE2255E"/>
    <w:rsid w:val="5DE27A8A"/>
    <w:rsid w:val="5DE41F21"/>
    <w:rsid w:val="5DEB6BED"/>
    <w:rsid w:val="5DF06CBC"/>
    <w:rsid w:val="5DF358A8"/>
    <w:rsid w:val="5DF6149E"/>
    <w:rsid w:val="5E004069"/>
    <w:rsid w:val="5E0F4B8E"/>
    <w:rsid w:val="5E133933"/>
    <w:rsid w:val="5E152084"/>
    <w:rsid w:val="5E16743F"/>
    <w:rsid w:val="5E1D4CCF"/>
    <w:rsid w:val="5E214684"/>
    <w:rsid w:val="5E291E0B"/>
    <w:rsid w:val="5E2C30BB"/>
    <w:rsid w:val="5E306F1C"/>
    <w:rsid w:val="5E31628E"/>
    <w:rsid w:val="5E3451BD"/>
    <w:rsid w:val="5E383CFE"/>
    <w:rsid w:val="5E3D106A"/>
    <w:rsid w:val="5E3E7CBA"/>
    <w:rsid w:val="5E4246EC"/>
    <w:rsid w:val="5E436D18"/>
    <w:rsid w:val="5E490DC8"/>
    <w:rsid w:val="5E4B175E"/>
    <w:rsid w:val="5E4E1319"/>
    <w:rsid w:val="5E4F584C"/>
    <w:rsid w:val="5E516219"/>
    <w:rsid w:val="5E580C80"/>
    <w:rsid w:val="5E5B716F"/>
    <w:rsid w:val="5E623B20"/>
    <w:rsid w:val="5E6A3B0C"/>
    <w:rsid w:val="5E6C4054"/>
    <w:rsid w:val="5E6D19DA"/>
    <w:rsid w:val="5E6D34DF"/>
    <w:rsid w:val="5E6F12AF"/>
    <w:rsid w:val="5E706FDC"/>
    <w:rsid w:val="5E7162D2"/>
    <w:rsid w:val="5E753B58"/>
    <w:rsid w:val="5E753EFB"/>
    <w:rsid w:val="5E756C15"/>
    <w:rsid w:val="5E765789"/>
    <w:rsid w:val="5E771728"/>
    <w:rsid w:val="5E7801E1"/>
    <w:rsid w:val="5E844891"/>
    <w:rsid w:val="5E913BC7"/>
    <w:rsid w:val="5E9235A0"/>
    <w:rsid w:val="5E944C57"/>
    <w:rsid w:val="5E9629C9"/>
    <w:rsid w:val="5E971770"/>
    <w:rsid w:val="5E9E30AF"/>
    <w:rsid w:val="5EA40233"/>
    <w:rsid w:val="5EA44D95"/>
    <w:rsid w:val="5EA47025"/>
    <w:rsid w:val="5EAE5411"/>
    <w:rsid w:val="5EAF0285"/>
    <w:rsid w:val="5EB25569"/>
    <w:rsid w:val="5EB44BDB"/>
    <w:rsid w:val="5EBB43A7"/>
    <w:rsid w:val="5EC20129"/>
    <w:rsid w:val="5EC46A39"/>
    <w:rsid w:val="5EC515E3"/>
    <w:rsid w:val="5EC56931"/>
    <w:rsid w:val="5ECD726C"/>
    <w:rsid w:val="5ED57F4A"/>
    <w:rsid w:val="5ED75D01"/>
    <w:rsid w:val="5EDD100D"/>
    <w:rsid w:val="5EDE6FF5"/>
    <w:rsid w:val="5EE06817"/>
    <w:rsid w:val="5EF23DEF"/>
    <w:rsid w:val="5EF341AC"/>
    <w:rsid w:val="5EF72029"/>
    <w:rsid w:val="5F013A44"/>
    <w:rsid w:val="5F0159CF"/>
    <w:rsid w:val="5F0546D7"/>
    <w:rsid w:val="5F0946B9"/>
    <w:rsid w:val="5F0F12C4"/>
    <w:rsid w:val="5F1A1892"/>
    <w:rsid w:val="5F1E65E9"/>
    <w:rsid w:val="5F206858"/>
    <w:rsid w:val="5F276CB0"/>
    <w:rsid w:val="5F28499E"/>
    <w:rsid w:val="5F291353"/>
    <w:rsid w:val="5F2C5DA0"/>
    <w:rsid w:val="5F332BAE"/>
    <w:rsid w:val="5F451EAA"/>
    <w:rsid w:val="5F4D01B0"/>
    <w:rsid w:val="5F4E3BD0"/>
    <w:rsid w:val="5F5037B1"/>
    <w:rsid w:val="5F541650"/>
    <w:rsid w:val="5F5623F3"/>
    <w:rsid w:val="5F5C668D"/>
    <w:rsid w:val="5F5E02B3"/>
    <w:rsid w:val="5F5E7337"/>
    <w:rsid w:val="5F60175F"/>
    <w:rsid w:val="5F62297B"/>
    <w:rsid w:val="5F625860"/>
    <w:rsid w:val="5F645AD7"/>
    <w:rsid w:val="5F71084A"/>
    <w:rsid w:val="5F726A8B"/>
    <w:rsid w:val="5F727CBC"/>
    <w:rsid w:val="5F782AC5"/>
    <w:rsid w:val="5F7F14A9"/>
    <w:rsid w:val="5F861B9C"/>
    <w:rsid w:val="5F931BDA"/>
    <w:rsid w:val="5F957EC3"/>
    <w:rsid w:val="5F970638"/>
    <w:rsid w:val="5F985825"/>
    <w:rsid w:val="5F9F01C5"/>
    <w:rsid w:val="5F9F59E9"/>
    <w:rsid w:val="5FA0037B"/>
    <w:rsid w:val="5FA17F30"/>
    <w:rsid w:val="5FA208DF"/>
    <w:rsid w:val="5FB617C5"/>
    <w:rsid w:val="5FBB2770"/>
    <w:rsid w:val="5FBD3BE8"/>
    <w:rsid w:val="5FBE0EF6"/>
    <w:rsid w:val="5FC47B75"/>
    <w:rsid w:val="5FCC27C1"/>
    <w:rsid w:val="5FD47CCA"/>
    <w:rsid w:val="5FD730ED"/>
    <w:rsid w:val="5FDC6997"/>
    <w:rsid w:val="5FED6E69"/>
    <w:rsid w:val="5FF20775"/>
    <w:rsid w:val="5FF701FE"/>
    <w:rsid w:val="5FF92759"/>
    <w:rsid w:val="5FFE0E0C"/>
    <w:rsid w:val="5FFE3821"/>
    <w:rsid w:val="600336FD"/>
    <w:rsid w:val="600476E8"/>
    <w:rsid w:val="600525A9"/>
    <w:rsid w:val="60070A68"/>
    <w:rsid w:val="60095DDF"/>
    <w:rsid w:val="60095EBA"/>
    <w:rsid w:val="60097479"/>
    <w:rsid w:val="600C00D2"/>
    <w:rsid w:val="600C6876"/>
    <w:rsid w:val="600D0B33"/>
    <w:rsid w:val="601306E5"/>
    <w:rsid w:val="601C61E1"/>
    <w:rsid w:val="601D2369"/>
    <w:rsid w:val="602E7346"/>
    <w:rsid w:val="603C4971"/>
    <w:rsid w:val="603D004D"/>
    <w:rsid w:val="60441762"/>
    <w:rsid w:val="604456A3"/>
    <w:rsid w:val="604744D3"/>
    <w:rsid w:val="604A296D"/>
    <w:rsid w:val="604D19A9"/>
    <w:rsid w:val="604E5895"/>
    <w:rsid w:val="60511EF2"/>
    <w:rsid w:val="60563F07"/>
    <w:rsid w:val="605C0629"/>
    <w:rsid w:val="605F3896"/>
    <w:rsid w:val="6066140F"/>
    <w:rsid w:val="6068330C"/>
    <w:rsid w:val="60762DC9"/>
    <w:rsid w:val="60851859"/>
    <w:rsid w:val="608929D9"/>
    <w:rsid w:val="608D78EB"/>
    <w:rsid w:val="60973053"/>
    <w:rsid w:val="609764AC"/>
    <w:rsid w:val="60987206"/>
    <w:rsid w:val="6099255D"/>
    <w:rsid w:val="609C7F21"/>
    <w:rsid w:val="609D40C1"/>
    <w:rsid w:val="609E2E2E"/>
    <w:rsid w:val="60AB0F54"/>
    <w:rsid w:val="60AF339F"/>
    <w:rsid w:val="60B0368A"/>
    <w:rsid w:val="60B55B7C"/>
    <w:rsid w:val="60B631E5"/>
    <w:rsid w:val="60B84687"/>
    <w:rsid w:val="60BA2417"/>
    <w:rsid w:val="60BA76A7"/>
    <w:rsid w:val="60BB0D68"/>
    <w:rsid w:val="60C55341"/>
    <w:rsid w:val="60CB7EAA"/>
    <w:rsid w:val="60CD20BB"/>
    <w:rsid w:val="60D109FB"/>
    <w:rsid w:val="60D15169"/>
    <w:rsid w:val="60D33F01"/>
    <w:rsid w:val="60D3751A"/>
    <w:rsid w:val="60D83AB4"/>
    <w:rsid w:val="60DA271E"/>
    <w:rsid w:val="60DB6EEF"/>
    <w:rsid w:val="60DB766B"/>
    <w:rsid w:val="60EC7790"/>
    <w:rsid w:val="60ED605E"/>
    <w:rsid w:val="60EE5835"/>
    <w:rsid w:val="60F22066"/>
    <w:rsid w:val="60F261BC"/>
    <w:rsid w:val="60F92BD9"/>
    <w:rsid w:val="6101785F"/>
    <w:rsid w:val="610605AA"/>
    <w:rsid w:val="61135C72"/>
    <w:rsid w:val="611810BE"/>
    <w:rsid w:val="61186F30"/>
    <w:rsid w:val="61205127"/>
    <w:rsid w:val="61211C10"/>
    <w:rsid w:val="61212344"/>
    <w:rsid w:val="61225E5C"/>
    <w:rsid w:val="613054A1"/>
    <w:rsid w:val="61352054"/>
    <w:rsid w:val="61405DEB"/>
    <w:rsid w:val="614119F2"/>
    <w:rsid w:val="614B3485"/>
    <w:rsid w:val="614E6900"/>
    <w:rsid w:val="6157092E"/>
    <w:rsid w:val="61595342"/>
    <w:rsid w:val="615F2DD5"/>
    <w:rsid w:val="61622290"/>
    <w:rsid w:val="61635290"/>
    <w:rsid w:val="61646087"/>
    <w:rsid w:val="616674D2"/>
    <w:rsid w:val="61694007"/>
    <w:rsid w:val="616B4FA5"/>
    <w:rsid w:val="6171392B"/>
    <w:rsid w:val="61724A12"/>
    <w:rsid w:val="617566F7"/>
    <w:rsid w:val="617F4744"/>
    <w:rsid w:val="618D649D"/>
    <w:rsid w:val="618E693F"/>
    <w:rsid w:val="618F61FE"/>
    <w:rsid w:val="61910E43"/>
    <w:rsid w:val="6193441A"/>
    <w:rsid w:val="61971FD0"/>
    <w:rsid w:val="619B2CC6"/>
    <w:rsid w:val="619C6F35"/>
    <w:rsid w:val="61A718EF"/>
    <w:rsid w:val="61A924EC"/>
    <w:rsid w:val="61AC71DE"/>
    <w:rsid w:val="61AD671E"/>
    <w:rsid w:val="61B16A41"/>
    <w:rsid w:val="61B16D78"/>
    <w:rsid w:val="61B227D5"/>
    <w:rsid w:val="61B33BD1"/>
    <w:rsid w:val="61B879A4"/>
    <w:rsid w:val="61C650D3"/>
    <w:rsid w:val="61D51880"/>
    <w:rsid w:val="61D61F62"/>
    <w:rsid w:val="61E73DBE"/>
    <w:rsid w:val="61ED1E7E"/>
    <w:rsid w:val="61EF527D"/>
    <w:rsid w:val="61F1707A"/>
    <w:rsid w:val="61FA2011"/>
    <w:rsid w:val="62023BAD"/>
    <w:rsid w:val="62085168"/>
    <w:rsid w:val="620D380B"/>
    <w:rsid w:val="620D4244"/>
    <w:rsid w:val="62130ACB"/>
    <w:rsid w:val="62146E09"/>
    <w:rsid w:val="6219476C"/>
    <w:rsid w:val="62241F8C"/>
    <w:rsid w:val="62267669"/>
    <w:rsid w:val="6227331C"/>
    <w:rsid w:val="622845B7"/>
    <w:rsid w:val="623412E7"/>
    <w:rsid w:val="62372667"/>
    <w:rsid w:val="62432746"/>
    <w:rsid w:val="624C1FD2"/>
    <w:rsid w:val="62506690"/>
    <w:rsid w:val="62556D7C"/>
    <w:rsid w:val="62564876"/>
    <w:rsid w:val="625678C6"/>
    <w:rsid w:val="625F177C"/>
    <w:rsid w:val="625F347B"/>
    <w:rsid w:val="62605894"/>
    <w:rsid w:val="62617C2E"/>
    <w:rsid w:val="626B08E5"/>
    <w:rsid w:val="6270572D"/>
    <w:rsid w:val="627249E8"/>
    <w:rsid w:val="628055A5"/>
    <w:rsid w:val="62835DFE"/>
    <w:rsid w:val="62862FE7"/>
    <w:rsid w:val="628A4BEF"/>
    <w:rsid w:val="628E2860"/>
    <w:rsid w:val="6291424B"/>
    <w:rsid w:val="62923CD7"/>
    <w:rsid w:val="62961EC0"/>
    <w:rsid w:val="6297009B"/>
    <w:rsid w:val="62993285"/>
    <w:rsid w:val="62A0039B"/>
    <w:rsid w:val="62A07E7F"/>
    <w:rsid w:val="62A433D4"/>
    <w:rsid w:val="62A46A44"/>
    <w:rsid w:val="62A663A5"/>
    <w:rsid w:val="62B21C98"/>
    <w:rsid w:val="62B41484"/>
    <w:rsid w:val="62B864CF"/>
    <w:rsid w:val="62BA7D6A"/>
    <w:rsid w:val="62BE7D28"/>
    <w:rsid w:val="62C2427C"/>
    <w:rsid w:val="62C24906"/>
    <w:rsid w:val="62C24922"/>
    <w:rsid w:val="62D54F95"/>
    <w:rsid w:val="62DB1346"/>
    <w:rsid w:val="62E443FC"/>
    <w:rsid w:val="62E57135"/>
    <w:rsid w:val="62F727A8"/>
    <w:rsid w:val="62FB1FBA"/>
    <w:rsid w:val="62FE09E3"/>
    <w:rsid w:val="63032300"/>
    <w:rsid w:val="63082AC5"/>
    <w:rsid w:val="63085298"/>
    <w:rsid w:val="630B2B4D"/>
    <w:rsid w:val="630F03CF"/>
    <w:rsid w:val="631A5EA7"/>
    <w:rsid w:val="631B0244"/>
    <w:rsid w:val="631D0F09"/>
    <w:rsid w:val="631E1A83"/>
    <w:rsid w:val="631F0BB7"/>
    <w:rsid w:val="631F516A"/>
    <w:rsid w:val="632014E3"/>
    <w:rsid w:val="632116E2"/>
    <w:rsid w:val="632C6718"/>
    <w:rsid w:val="632D2B28"/>
    <w:rsid w:val="63324998"/>
    <w:rsid w:val="63384DCA"/>
    <w:rsid w:val="634356A0"/>
    <w:rsid w:val="634914B5"/>
    <w:rsid w:val="634B19F9"/>
    <w:rsid w:val="634C0A79"/>
    <w:rsid w:val="634F40A7"/>
    <w:rsid w:val="634F68EB"/>
    <w:rsid w:val="63500E89"/>
    <w:rsid w:val="635623FD"/>
    <w:rsid w:val="635C17A6"/>
    <w:rsid w:val="635C6942"/>
    <w:rsid w:val="635E7485"/>
    <w:rsid w:val="637177C0"/>
    <w:rsid w:val="63795AD7"/>
    <w:rsid w:val="637C080F"/>
    <w:rsid w:val="637C3068"/>
    <w:rsid w:val="637E5EB0"/>
    <w:rsid w:val="638B0BE7"/>
    <w:rsid w:val="638E4168"/>
    <w:rsid w:val="6393343B"/>
    <w:rsid w:val="63A16174"/>
    <w:rsid w:val="63A822EF"/>
    <w:rsid w:val="63A82A3F"/>
    <w:rsid w:val="63AB7DA6"/>
    <w:rsid w:val="63B35549"/>
    <w:rsid w:val="63B94DA1"/>
    <w:rsid w:val="63C55DBD"/>
    <w:rsid w:val="63CC6071"/>
    <w:rsid w:val="63CF0167"/>
    <w:rsid w:val="63D21F77"/>
    <w:rsid w:val="63DA749B"/>
    <w:rsid w:val="63DC0CD9"/>
    <w:rsid w:val="63DE2EE7"/>
    <w:rsid w:val="63F279D2"/>
    <w:rsid w:val="63FB1A0F"/>
    <w:rsid w:val="63FB4E12"/>
    <w:rsid w:val="63FF660E"/>
    <w:rsid w:val="64011070"/>
    <w:rsid w:val="64025EFA"/>
    <w:rsid w:val="640D1462"/>
    <w:rsid w:val="64180F45"/>
    <w:rsid w:val="6418395A"/>
    <w:rsid w:val="641B7393"/>
    <w:rsid w:val="642120AC"/>
    <w:rsid w:val="64271AB8"/>
    <w:rsid w:val="642A4F89"/>
    <w:rsid w:val="642D5A59"/>
    <w:rsid w:val="643973C0"/>
    <w:rsid w:val="643A00D9"/>
    <w:rsid w:val="643D00FF"/>
    <w:rsid w:val="644942D4"/>
    <w:rsid w:val="64497488"/>
    <w:rsid w:val="644D5DED"/>
    <w:rsid w:val="64516F04"/>
    <w:rsid w:val="64547E30"/>
    <w:rsid w:val="64595115"/>
    <w:rsid w:val="64637560"/>
    <w:rsid w:val="64663B7A"/>
    <w:rsid w:val="646C24F7"/>
    <w:rsid w:val="646D5971"/>
    <w:rsid w:val="6471613A"/>
    <w:rsid w:val="64720C2F"/>
    <w:rsid w:val="64746E2F"/>
    <w:rsid w:val="64750B8C"/>
    <w:rsid w:val="6476092E"/>
    <w:rsid w:val="647A13E4"/>
    <w:rsid w:val="647A1BB4"/>
    <w:rsid w:val="647C3039"/>
    <w:rsid w:val="647C7069"/>
    <w:rsid w:val="64811360"/>
    <w:rsid w:val="6483008C"/>
    <w:rsid w:val="64853A41"/>
    <w:rsid w:val="648B62B1"/>
    <w:rsid w:val="648C0894"/>
    <w:rsid w:val="648F3434"/>
    <w:rsid w:val="649643A2"/>
    <w:rsid w:val="64964795"/>
    <w:rsid w:val="6497424E"/>
    <w:rsid w:val="649E3AB0"/>
    <w:rsid w:val="64A127A2"/>
    <w:rsid w:val="64A33655"/>
    <w:rsid w:val="64AB6EA4"/>
    <w:rsid w:val="64AD4B25"/>
    <w:rsid w:val="64AE281D"/>
    <w:rsid w:val="64B276F1"/>
    <w:rsid w:val="64BA5403"/>
    <w:rsid w:val="64BB00F5"/>
    <w:rsid w:val="64BF2E25"/>
    <w:rsid w:val="64C92555"/>
    <w:rsid w:val="64CA515A"/>
    <w:rsid w:val="64CA6432"/>
    <w:rsid w:val="64CF031F"/>
    <w:rsid w:val="64D56FF4"/>
    <w:rsid w:val="64DA148F"/>
    <w:rsid w:val="64DA1E47"/>
    <w:rsid w:val="64E14465"/>
    <w:rsid w:val="64E30F7B"/>
    <w:rsid w:val="64E419AF"/>
    <w:rsid w:val="64EA762E"/>
    <w:rsid w:val="64F003EA"/>
    <w:rsid w:val="64F2696A"/>
    <w:rsid w:val="64F27518"/>
    <w:rsid w:val="64F72C8D"/>
    <w:rsid w:val="65001033"/>
    <w:rsid w:val="65024849"/>
    <w:rsid w:val="65074996"/>
    <w:rsid w:val="650B2473"/>
    <w:rsid w:val="650C0797"/>
    <w:rsid w:val="650C2360"/>
    <w:rsid w:val="651018C3"/>
    <w:rsid w:val="65117098"/>
    <w:rsid w:val="651A251C"/>
    <w:rsid w:val="65216E25"/>
    <w:rsid w:val="6531101A"/>
    <w:rsid w:val="65344F74"/>
    <w:rsid w:val="653503A7"/>
    <w:rsid w:val="653A08F6"/>
    <w:rsid w:val="653B13A2"/>
    <w:rsid w:val="653B5F41"/>
    <w:rsid w:val="653F0322"/>
    <w:rsid w:val="653F1FDC"/>
    <w:rsid w:val="654233A7"/>
    <w:rsid w:val="654616D9"/>
    <w:rsid w:val="654D6169"/>
    <w:rsid w:val="65540BB9"/>
    <w:rsid w:val="65540D5D"/>
    <w:rsid w:val="6555574E"/>
    <w:rsid w:val="655671B3"/>
    <w:rsid w:val="65584B18"/>
    <w:rsid w:val="655A55EE"/>
    <w:rsid w:val="655F01DE"/>
    <w:rsid w:val="655F27B6"/>
    <w:rsid w:val="65673549"/>
    <w:rsid w:val="65691454"/>
    <w:rsid w:val="656D095A"/>
    <w:rsid w:val="65706644"/>
    <w:rsid w:val="65767214"/>
    <w:rsid w:val="657B07CC"/>
    <w:rsid w:val="657E6F2E"/>
    <w:rsid w:val="657F41CA"/>
    <w:rsid w:val="65802783"/>
    <w:rsid w:val="658228F0"/>
    <w:rsid w:val="658A65EB"/>
    <w:rsid w:val="658E17F3"/>
    <w:rsid w:val="658E45A7"/>
    <w:rsid w:val="659D17B5"/>
    <w:rsid w:val="65A066B9"/>
    <w:rsid w:val="65A36CD5"/>
    <w:rsid w:val="65B02D80"/>
    <w:rsid w:val="65B478B6"/>
    <w:rsid w:val="65B73A9C"/>
    <w:rsid w:val="65B74506"/>
    <w:rsid w:val="65BC7FA2"/>
    <w:rsid w:val="65C46FEA"/>
    <w:rsid w:val="65C52709"/>
    <w:rsid w:val="65C83EB8"/>
    <w:rsid w:val="65CC57D7"/>
    <w:rsid w:val="65CE2CD5"/>
    <w:rsid w:val="65D01AF5"/>
    <w:rsid w:val="65DD345D"/>
    <w:rsid w:val="65E36062"/>
    <w:rsid w:val="65E9282E"/>
    <w:rsid w:val="65ED28FD"/>
    <w:rsid w:val="65F23E76"/>
    <w:rsid w:val="65F55134"/>
    <w:rsid w:val="65FA7F7F"/>
    <w:rsid w:val="65FB0DB3"/>
    <w:rsid w:val="65FC0F25"/>
    <w:rsid w:val="65FF6DF8"/>
    <w:rsid w:val="66017313"/>
    <w:rsid w:val="6607040D"/>
    <w:rsid w:val="66120E59"/>
    <w:rsid w:val="66150352"/>
    <w:rsid w:val="66172886"/>
    <w:rsid w:val="66196183"/>
    <w:rsid w:val="66225105"/>
    <w:rsid w:val="662E6FD3"/>
    <w:rsid w:val="662F23B8"/>
    <w:rsid w:val="662F6AC4"/>
    <w:rsid w:val="66331F2F"/>
    <w:rsid w:val="66336588"/>
    <w:rsid w:val="66340032"/>
    <w:rsid w:val="663D2629"/>
    <w:rsid w:val="66446EC5"/>
    <w:rsid w:val="664F5FAC"/>
    <w:rsid w:val="665D2A3C"/>
    <w:rsid w:val="665E4CDD"/>
    <w:rsid w:val="665F1278"/>
    <w:rsid w:val="66606642"/>
    <w:rsid w:val="66697BC5"/>
    <w:rsid w:val="666C31D5"/>
    <w:rsid w:val="666C5839"/>
    <w:rsid w:val="666E0D2F"/>
    <w:rsid w:val="667755BB"/>
    <w:rsid w:val="66805E9F"/>
    <w:rsid w:val="668A1058"/>
    <w:rsid w:val="669252F2"/>
    <w:rsid w:val="66925DDF"/>
    <w:rsid w:val="66971726"/>
    <w:rsid w:val="6698659D"/>
    <w:rsid w:val="669B62DF"/>
    <w:rsid w:val="669C2915"/>
    <w:rsid w:val="669F532C"/>
    <w:rsid w:val="66A03ECE"/>
    <w:rsid w:val="66A53064"/>
    <w:rsid w:val="66A87611"/>
    <w:rsid w:val="66B60C76"/>
    <w:rsid w:val="66B60D63"/>
    <w:rsid w:val="66BC49E1"/>
    <w:rsid w:val="66C00C96"/>
    <w:rsid w:val="66C60964"/>
    <w:rsid w:val="66C90CE0"/>
    <w:rsid w:val="66C95C36"/>
    <w:rsid w:val="66CC1FEA"/>
    <w:rsid w:val="66D520EA"/>
    <w:rsid w:val="66D90CA5"/>
    <w:rsid w:val="66DD5A8F"/>
    <w:rsid w:val="66DF77BD"/>
    <w:rsid w:val="66EE52AB"/>
    <w:rsid w:val="66FF6C68"/>
    <w:rsid w:val="67041718"/>
    <w:rsid w:val="67056169"/>
    <w:rsid w:val="6710540B"/>
    <w:rsid w:val="671114B8"/>
    <w:rsid w:val="67136D61"/>
    <w:rsid w:val="6719611E"/>
    <w:rsid w:val="671C71B3"/>
    <w:rsid w:val="67277E6F"/>
    <w:rsid w:val="672873B2"/>
    <w:rsid w:val="6729792C"/>
    <w:rsid w:val="673126E3"/>
    <w:rsid w:val="673553AA"/>
    <w:rsid w:val="67384F74"/>
    <w:rsid w:val="674734C3"/>
    <w:rsid w:val="674F4267"/>
    <w:rsid w:val="6754273B"/>
    <w:rsid w:val="675A3BB7"/>
    <w:rsid w:val="675A78EF"/>
    <w:rsid w:val="675F7449"/>
    <w:rsid w:val="67612A90"/>
    <w:rsid w:val="67721EB0"/>
    <w:rsid w:val="6772772A"/>
    <w:rsid w:val="677654DD"/>
    <w:rsid w:val="678005AC"/>
    <w:rsid w:val="678026E3"/>
    <w:rsid w:val="678C38CE"/>
    <w:rsid w:val="678E051E"/>
    <w:rsid w:val="678E54AC"/>
    <w:rsid w:val="678F6C17"/>
    <w:rsid w:val="6791410D"/>
    <w:rsid w:val="67923D97"/>
    <w:rsid w:val="679A4C3E"/>
    <w:rsid w:val="679C2434"/>
    <w:rsid w:val="679D6EE4"/>
    <w:rsid w:val="67A81D98"/>
    <w:rsid w:val="67A90F75"/>
    <w:rsid w:val="67A969DB"/>
    <w:rsid w:val="67AF5CA0"/>
    <w:rsid w:val="67B24DC3"/>
    <w:rsid w:val="67B31862"/>
    <w:rsid w:val="67BB4606"/>
    <w:rsid w:val="67BE0124"/>
    <w:rsid w:val="67C04892"/>
    <w:rsid w:val="67C049FE"/>
    <w:rsid w:val="67C10364"/>
    <w:rsid w:val="67C344DC"/>
    <w:rsid w:val="67C51F57"/>
    <w:rsid w:val="67C87FAF"/>
    <w:rsid w:val="67CC5732"/>
    <w:rsid w:val="67CD6E09"/>
    <w:rsid w:val="67CF7D96"/>
    <w:rsid w:val="67DA0714"/>
    <w:rsid w:val="67E74106"/>
    <w:rsid w:val="67E9564C"/>
    <w:rsid w:val="67EB08E9"/>
    <w:rsid w:val="67EB3877"/>
    <w:rsid w:val="67EE34A0"/>
    <w:rsid w:val="67F41000"/>
    <w:rsid w:val="67F74644"/>
    <w:rsid w:val="67F7756A"/>
    <w:rsid w:val="67F93B9C"/>
    <w:rsid w:val="67F945E1"/>
    <w:rsid w:val="67F9606B"/>
    <w:rsid w:val="67FC04D9"/>
    <w:rsid w:val="67FD5235"/>
    <w:rsid w:val="67FD6688"/>
    <w:rsid w:val="680A701B"/>
    <w:rsid w:val="6821726E"/>
    <w:rsid w:val="682178BC"/>
    <w:rsid w:val="6827128C"/>
    <w:rsid w:val="682B1A62"/>
    <w:rsid w:val="68412B7F"/>
    <w:rsid w:val="684A2A34"/>
    <w:rsid w:val="684D1908"/>
    <w:rsid w:val="685141E6"/>
    <w:rsid w:val="68543F73"/>
    <w:rsid w:val="68544006"/>
    <w:rsid w:val="68561BA7"/>
    <w:rsid w:val="68573050"/>
    <w:rsid w:val="685D097C"/>
    <w:rsid w:val="68667FEA"/>
    <w:rsid w:val="686E2BE5"/>
    <w:rsid w:val="68703F96"/>
    <w:rsid w:val="68705E01"/>
    <w:rsid w:val="687243E7"/>
    <w:rsid w:val="687306F3"/>
    <w:rsid w:val="687651B1"/>
    <w:rsid w:val="68781158"/>
    <w:rsid w:val="687C736B"/>
    <w:rsid w:val="68800FE1"/>
    <w:rsid w:val="68802102"/>
    <w:rsid w:val="688736DE"/>
    <w:rsid w:val="68887624"/>
    <w:rsid w:val="688C1E0A"/>
    <w:rsid w:val="6895502A"/>
    <w:rsid w:val="68A32B3C"/>
    <w:rsid w:val="68A663CF"/>
    <w:rsid w:val="68A666EC"/>
    <w:rsid w:val="68A91ABD"/>
    <w:rsid w:val="68AF1310"/>
    <w:rsid w:val="68B648C9"/>
    <w:rsid w:val="68BC0364"/>
    <w:rsid w:val="68C0435A"/>
    <w:rsid w:val="68C7579D"/>
    <w:rsid w:val="68C77A57"/>
    <w:rsid w:val="68D160D2"/>
    <w:rsid w:val="68D35CD0"/>
    <w:rsid w:val="68D606C5"/>
    <w:rsid w:val="68D6183E"/>
    <w:rsid w:val="68DC6E33"/>
    <w:rsid w:val="68DF13A4"/>
    <w:rsid w:val="68E01B64"/>
    <w:rsid w:val="68E726B1"/>
    <w:rsid w:val="68EA1693"/>
    <w:rsid w:val="68F0365E"/>
    <w:rsid w:val="68F10195"/>
    <w:rsid w:val="68F6590C"/>
    <w:rsid w:val="68FA0A2D"/>
    <w:rsid w:val="69044CF8"/>
    <w:rsid w:val="690A3D55"/>
    <w:rsid w:val="690B7FC0"/>
    <w:rsid w:val="691B7BE0"/>
    <w:rsid w:val="691D24A8"/>
    <w:rsid w:val="691D25C2"/>
    <w:rsid w:val="691D329F"/>
    <w:rsid w:val="69263E55"/>
    <w:rsid w:val="692F534F"/>
    <w:rsid w:val="69357FED"/>
    <w:rsid w:val="693A7DC6"/>
    <w:rsid w:val="693E1410"/>
    <w:rsid w:val="6949363F"/>
    <w:rsid w:val="694E201F"/>
    <w:rsid w:val="69531824"/>
    <w:rsid w:val="695D50B1"/>
    <w:rsid w:val="69613106"/>
    <w:rsid w:val="696802E1"/>
    <w:rsid w:val="69706CFE"/>
    <w:rsid w:val="69715B20"/>
    <w:rsid w:val="6976071D"/>
    <w:rsid w:val="697B617B"/>
    <w:rsid w:val="697D52AE"/>
    <w:rsid w:val="698202DE"/>
    <w:rsid w:val="698579AE"/>
    <w:rsid w:val="69950B48"/>
    <w:rsid w:val="69967B63"/>
    <w:rsid w:val="69975D4F"/>
    <w:rsid w:val="69985E36"/>
    <w:rsid w:val="699A62C3"/>
    <w:rsid w:val="699C3D77"/>
    <w:rsid w:val="69A5600E"/>
    <w:rsid w:val="69A67D12"/>
    <w:rsid w:val="69A7147A"/>
    <w:rsid w:val="69B17F50"/>
    <w:rsid w:val="69BB14C1"/>
    <w:rsid w:val="69BC4815"/>
    <w:rsid w:val="69BF031D"/>
    <w:rsid w:val="69C07027"/>
    <w:rsid w:val="69C10324"/>
    <w:rsid w:val="69C255B6"/>
    <w:rsid w:val="69CD137C"/>
    <w:rsid w:val="69D223EA"/>
    <w:rsid w:val="69D37748"/>
    <w:rsid w:val="69D46E7D"/>
    <w:rsid w:val="69D65C83"/>
    <w:rsid w:val="69D72E28"/>
    <w:rsid w:val="69DA026E"/>
    <w:rsid w:val="69DC120A"/>
    <w:rsid w:val="69DE6146"/>
    <w:rsid w:val="69DF364C"/>
    <w:rsid w:val="69E135B9"/>
    <w:rsid w:val="69E74C02"/>
    <w:rsid w:val="69E7613D"/>
    <w:rsid w:val="69F4096E"/>
    <w:rsid w:val="69F87D57"/>
    <w:rsid w:val="6A0800EF"/>
    <w:rsid w:val="6A0C2F9C"/>
    <w:rsid w:val="6A1056DB"/>
    <w:rsid w:val="6A132858"/>
    <w:rsid w:val="6A194EA0"/>
    <w:rsid w:val="6A215C4D"/>
    <w:rsid w:val="6A260FFA"/>
    <w:rsid w:val="6A262A50"/>
    <w:rsid w:val="6A2D2907"/>
    <w:rsid w:val="6A312AD4"/>
    <w:rsid w:val="6A34322D"/>
    <w:rsid w:val="6A3D591C"/>
    <w:rsid w:val="6A431C8C"/>
    <w:rsid w:val="6A434D88"/>
    <w:rsid w:val="6A4B389C"/>
    <w:rsid w:val="6A4C0223"/>
    <w:rsid w:val="6A4F40B1"/>
    <w:rsid w:val="6A5A26DF"/>
    <w:rsid w:val="6A5F3377"/>
    <w:rsid w:val="6A5F68C2"/>
    <w:rsid w:val="6A663180"/>
    <w:rsid w:val="6A687075"/>
    <w:rsid w:val="6A6A7F98"/>
    <w:rsid w:val="6A750202"/>
    <w:rsid w:val="6A762699"/>
    <w:rsid w:val="6A7D3E54"/>
    <w:rsid w:val="6A7E5052"/>
    <w:rsid w:val="6A836661"/>
    <w:rsid w:val="6A857307"/>
    <w:rsid w:val="6A86308F"/>
    <w:rsid w:val="6A8678A2"/>
    <w:rsid w:val="6A89460E"/>
    <w:rsid w:val="6A8C179E"/>
    <w:rsid w:val="6A8C688B"/>
    <w:rsid w:val="6A8D702D"/>
    <w:rsid w:val="6A9236C7"/>
    <w:rsid w:val="6A9864E7"/>
    <w:rsid w:val="6A993F86"/>
    <w:rsid w:val="6AA90D1B"/>
    <w:rsid w:val="6AB4227C"/>
    <w:rsid w:val="6AC1380E"/>
    <w:rsid w:val="6AC20397"/>
    <w:rsid w:val="6AC85666"/>
    <w:rsid w:val="6ACE5649"/>
    <w:rsid w:val="6ACF5F7D"/>
    <w:rsid w:val="6AD516EC"/>
    <w:rsid w:val="6AE210A4"/>
    <w:rsid w:val="6AE43377"/>
    <w:rsid w:val="6AE47DCA"/>
    <w:rsid w:val="6AE8419E"/>
    <w:rsid w:val="6AEB141B"/>
    <w:rsid w:val="6AED52E9"/>
    <w:rsid w:val="6AEE6EF8"/>
    <w:rsid w:val="6AF63489"/>
    <w:rsid w:val="6AF9247D"/>
    <w:rsid w:val="6AF96A12"/>
    <w:rsid w:val="6AFE4DDA"/>
    <w:rsid w:val="6B0151D3"/>
    <w:rsid w:val="6B02247B"/>
    <w:rsid w:val="6B0878D9"/>
    <w:rsid w:val="6B0E6579"/>
    <w:rsid w:val="6B100049"/>
    <w:rsid w:val="6B115A0F"/>
    <w:rsid w:val="6B122A36"/>
    <w:rsid w:val="6B13150A"/>
    <w:rsid w:val="6B1A2961"/>
    <w:rsid w:val="6B1E51AD"/>
    <w:rsid w:val="6B2111CB"/>
    <w:rsid w:val="6B264A66"/>
    <w:rsid w:val="6B28335C"/>
    <w:rsid w:val="6B355DC2"/>
    <w:rsid w:val="6B37780C"/>
    <w:rsid w:val="6B391752"/>
    <w:rsid w:val="6B432BE9"/>
    <w:rsid w:val="6B4358C4"/>
    <w:rsid w:val="6B47396E"/>
    <w:rsid w:val="6B481426"/>
    <w:rsid w:val="6B4D5532"/>
    <w:rsid w:val="6B562911"/>
    <w:rsid w:val="6B5B7D07"/>
    <w:rsid w:val="6B652707"/>
    <w:rsid w:val="6B6922BE"/>
    <w:rsid w:val="6B6B7F33"/>
    <w:rsid w:val="6B704FD8"/>
    <w:rsid w:val="6B743BA4"/>
    <w:rsid w:val="6B843794"/>
    <w:rsid w:val="6B8A7EE2"/>
    <w:rsid w:val="6B903A12"/>
    <w:rsid w:val="6B9871E4"/>
    <w:rsid w:val="6B9E2B3B"/>
    <w:rsid w:val="6BA442E7"/>
    <w:rsid w:val="6BAE5352"/>
    <w:rsid w:val="6BB05931"/>
    <w:rsid w:val="6BB06769"/>
    <w:rsid w:val="6BB54A49"/>
    <w:rsid w:val="6BB677B6"/>
    <w:rsid w:val="6BB864C8"/>
    <w:rsid w:val="6BB91DA4"/>
    <w:rsid w:val="6BC3743B"/>
    <w:rsid w:val="6BC546ED"/>
    <w:rsid w:val="6BCD71E3"/>
    <w:rsid w:val="6BCE10C5"/>
    <w:rsid w:val="6BD02B6A"/>
    <w:rsid w:val="6BD56BA4"/>
    <w:rsid w:val="6BDA1B57"/>
    <w:rsid w:val="6BE15B06"/>
    <w:rsid w:val="6BE34C91"/>
    <w:rsid w:val="6BE71DE3"/>
    <w:rsid w:val="6BF13562"/>
    <w:rsid w:val="6BF266C8"/>
    <w:rsid w:val="6BFB4B2E"/>
    <w:rsid w:val="6C012722"/>
    <w:rsid w:val="6C014F54"/>
    <w:rsid w:val="6C0656A4"/>
    <w:rsid w:val="6C06746D"/>
    <w:rsid w:val="6C0C2992"/>
    <w:rsid w:val="6C113C54"/>
    <w:rsid w:val="6C155045"/>
    <w:rsid w:val="6C166B69"/>
    <w:rsid w:val="6C1C7114"/>
    <w:rsid w:val="6C22002D"/>
    <w:rsid w:val="6C2814C5"/>
    <w:rsid w:val="6C2C724D"/>
    <w:rsid w:val="6C2E3BB7"/>
    <w:rsid w:val="6C35571F"/>
    <w:rsid w:val="6C5B14E7"/>
    <w:rsid w:val="6C5B2395"/>
    <w:rsid w:val="6C634B84"/>
    <w:rsid w:val="6C637157"/>
    <w:rsid w:val="6C666CCC"/>
    <w:rsid w:val="6C6D614D"/>
    <w:rsid w:val="6C711404"/>
    <w:rsid w:val="6C7476FD"/>
    <w:rsid w:val="6C796123"/>
    <w:rsid w:val="6C7F441E"/>
    <w:rsid w:val="6C83552D"/>
    <w:rsid w:val="6C894A19"/>
    <w:rsid w:val="6C8E7B6C"/>
    <w:rsid w:val="6C924457"/>
    <w:rsid w:val="6C9C030F"/>
    <w:rsid w:val="6CA166BE"/>
    <w:rsid w:val="6CA513DC"/>
    <w:rsid w:val="6CAA1693"/>
    <w:rsid w:val="6CB226ED"/>
    <w:rsid w:val="6CB23666"/>
    <w:rsid w:val="6CB344F1"/>
    <w:rsid w:val="6CB40931"/>
    <w:rsid w:val="6CB638D0"/>
    <w:rsid w:val="6CB707D6"/>
    <w:rsid w:val="6CC12C6C"/>
    <w:rsid w:val="6CC43517"/>
    <w:rsid w:val="6CC52FDE"/>
    <w:rsid w:val="6CC867D6"/>
    <w:rsid w:val="6CC977C4"/>
    <w:rsid w:val="6CD11BD9"/>
    <w:rsid w:val="6CD13449"/>
    <w:rsid w:val="6CE935F3"/>
    <w:rsid w:val="6CEA68A2"/>
    <w:rsid w:val="6CF92C27"/>
    <w:rsid w:val="6CFB5DC6"/>
    <w:rsid w:val="6CFC638A"/>
    <w:rsid w:val="6CFD3D03"/>
    <w:rsid w:val="6D010B2A"/>
    <w:rsid w:val="6D01256E"/>
    <w:rsid w:val="6D0457DD"/>
    <w:rsid w:val="6D047EAC"/>
    <w:rsid w:val="6D050491"/>
    <w:rsid w:val="6D052EF9"/>
    <w:rsid w:val="6D06157F"/>
    <w:rsid w:val="6D064EDE"/>
    <w:rsid w:val="6D134C99"/>
    <w:rsid w:val="6D144832"/>
    <w:rsid w:val="6D1736A6"/>
    <w:rsid w:val="6D1955DE"/>
    <w:rsid w:val="6D196221"/>
    <w:rsid w:val="6D1D0904"/>
    <w:rsid w:val="6D1F1D6C"/>
    <w:rsid w:val="6D217334"/>
    <w:rsid w:val="6D2832EA"/>
    <w:rsid w:val="6D2D532D"/>
    <w:rsid w:val="6D2F1CFE"/>
    <w:rsid w:val="6D32272C"/>
    <w:rsid w:val="6D3959EC"/>
    <w:rsid w:val="6D3A61AC"/>
    <w:rsid w:val="6D3C13C5"/>
    <w:rsid w:val="6D4041BB"/>
    <w:rsid w:val="6D44130D"/>
    <w:rsid w:val="6D45714A"/>
    <w:rsid w:val="6D462369"/>
    <w:rsid w:val="6D502729"/>
    <w:rsid w:val="6D526691"/>
    <w:rsid w:val="6D575B6F"/>
    <w:rsid w:val="6D5A4148"/>
    <w:rsid w:val="6D5D5A6F"/>
    <w:rsid w:val="6D6205F1"/>
    <w:rsid w:val="6D675DFA"/>
    <w:rsid w:val="6D6B2350"/>
    <w:rsid w:val="6D6E4932"/>
    <w:rsid w:val="6D706C37"/>
    <w:rsid w:val="6D706C6D"/>
    <w:rsid w:val="6D750941"/>
    <w:rsid w:val="6D78549D"/>
    <w:rsid w:val="6D7C6530"/>
    <w:rsid w:val="6D7E115D"/>
    <w:rsid w:val="6D826488"/>
    <w:rsid w:val="6D83209E"/>
    <w:rsid w:val="6D8F6B22"/>
    <w:rsid w:val="6D91642C"/>
    <w:rsid w:val="6D940B5E"/>
    <w:rsid w:val="6D9A5B6D"/>
    <w:rsid w:val="6D9D2A0E"/>
    <w:rsid w:val="6D9E5A3F"/>
    <w:rsid w:val="6DA47FA7"/>
    <w:rsid w:val="6DAB4D8A"/>
    <w:rsid w:val="6DAC54A6"/>
    <w:rsid w:val="6DAC6771"/>
    <w:rsid w:val="6DB671FB"/>
    <w:rsid w:val="6DBA3D06"/>
    <w:rsid w:val="6DBD7D1F"/>
    <w:rsid w:val="6DC121F7"/>
    <w:rsid w:val="6DC13FFF"/>
    <w:rsid w:val="6DC65C07"/>
    <w:rsid w:val="6DC93B7F"/>
    <w:rsid w:val="6DC97B96"/>
    <w:rsid w:val="6DCE41BA"/>
    <w:rsid w:val="6DDB46A8"/>
    <w:rsid w:val="6DE3575B"/>
    <w:rsid w:val="6DE53D86"/>
    <w:rsid w:val="6DE700C8"/>
    <w:rsid w:val="6DE76812"/>
    <w:rsid w:val="6DE9003C"/>
    <w:rsid w:val="6DE916F8"/>
    <w:rsid w:val="6DEE264A"/>
    <w:rsid w:val="6DF577F7"/>
    <w:rsid w:val="6E00770B"/>
    <w:rsid w:val="6E09067E"/>
    <w:rsid w:val="6E0D7C0F"/>
    <w:rsid w:val="6E0F1580"/>
    <w:rsid w:val="6E113A11"/>
    <w:rsid w:val="6E134691"/>
    <w:rsid w:val="6E1F45A2"/>
    <w:rsid w:val="6E243BE5"/>
    <w:rsid w:val="6E260592"/>
    <w:rsid w:val="6E2B6BFC"/>
    <w:rsid w:val="6E2D208D"/>
    <w:rsid w:val="6E2D3052"/>
    <w:rsid w:val="6E2D3749"/>
    <w:rsid w:val="6E2E5C37"/>
    <w:rsid w:val="6E30558E"/>
    <w:rsid w:val="6E3656E8"/>
    <w:rsid w:val="6E37684B"/>
    <w:rsid w:val="6E376E74"/>
    <w:rsid w:val="6E3858AD"/>
    <w:rsid w:val="6E3D4FAC"/>
    <w:rsid w:val="6E3D79A0"/>
    <w:rsid w:val="6E410DF6"/>
    <w:rsid w:val="6E414EC5"/>
    <w:rsid w:val="6E4854ED"/>
    <w:rsid w:val="6E491F7F"/>
    <w:rsid w:val="6E4959E9"/>
    <w:rsid w:val="6E4D1507"/>
    <w:rsid w:val="6E595C4B"/>
    <w:rsid w:val="6E5C5A24"/>
    <w:rsid w:val="6E5D63AB"/>
    <w:rsid w:val="6E611A9E"/>
    <w:rsid w:val="6E6C623F"/>
    <w:rsid w:val="6E6D1536"/>
    <w:rsid w:val="6E736078"/>
    <w:rsid w:val="6E757DEB"/>
    <w:rsid w:val="6E7A6498"/>
    <w:rsid w:val="6E823ABE"/>
    <w:rsid w:val="6E892A77"/>
    <w:rsid w:val="6E8B2719"/>
    <w:rsid w:val="6E8E08F7"/>
    <w:rsid w:val="6E945E1D"/>
    <w:rsid w:val="6E993914"/>
    <w:rsid w:val="6E994F67"/>
    <w:rsid w:val="6E9D5453"/>
    <w:rsid w:val="6E9E04AA"/>
    <w:rsid w:val="6EA31FBE"/>
    <w:rsid w:val="6EA765CD"/>
    <w:rsid w:val="6EAC1966"/>
    <w:rsid w:val="6EAD5F0F"/>
    <w:rsid w:val="6EB228E2"/>
    <w:rsid w:val="6EB622A1"/>
    <w:rsid w:val="6EB72DC0"/>
    <w:rsid w:val="6ECD7D83"/>
    <w:rsid w:val="6EE21DFA"/>
    <w:rsid w:val="6EE264E8"/>
    <w:rsid w:val="6EE843C4"/>
    <w:rsid w:val="6EF05C57"/>
    <w:rsid w:val="6EF65B00"/>
    <w:rsid w:val="6EF96A7F"/>
    <w:rsid w:val="6EFB3C07"/>
    <w:rsid w:val="6F0304F4"/>
    <w:rsid w:val="6F046643"/>
    <w:rsid w:val="6F050F46"/>
    <w:rsid w:val="6F0B6421"/>
    <w:rsid w:val="6F0C1912"/>
    <w:rsid w:val="6F147CF4"/>
    <w:rsid w:val="6F171088"/>
    <w:rsid w:val="6F173F90"/>
    <w:rsid w:val="6F18202D"/>
    <w:rsid w:val="6F2A65FA"/>
    <w:rsid w:val="6F2D7363"/>
    <w:rsid w:val="6F3171DD"/>
    <w:rsid w:val="6F3315A7"/>
    <w:rsid w:val="6F3406D7"/>
    <w:rsid w:val="6F3B1E92"/>
    <w:rsid w:val="6F3B6823"/>
    <w:rsid w:val="6F4215BC"/>
    <w:rsid w:val="6F4B2009"/>
    <w:rsid w:val="6F4F6761"/>
    <w:rsid w:val="6F5139F9"/>
    <w:rsid w:val="6F54142F"/>
    <w:rsid w:val="6F546444"/>
    <w:rsid w:val="6F5B7FDC"/>
    <w:rsid w:val="6F5D2427"/>
    <w:rsid w:val="6F5F28F5"/>
    <w:rsid w:val="6F6141B8"/>
    <w:rsid w:val="6F6155A7"/>
    <w:rsid w:val="6F615F5E"/>
    <w:rsid w:val="6F67074A"/>
    <w:rsid w:val="6F6B16ED"/>
    <w:rsid w:val="6F6F7748"/>
    <w:rsid w:val="6F7B3B16"/>
    <w:rsid w:val="6F9710A6"/>
    <w:rsid w:val="6F981E00"/>
    <w:rsid w:val="6F9F2CDA"/>
    <w:rsid w:val="6FA605E4"/>
    <w:rsid w:val="6FA72EA0"/>
    <w:rsid w:val="6FAF0AF5"/>
    <w:rsid w:val="6FAF15BD"/>
    <w:rsid w:val="6FBA6707"/>
    <w:rsid w:val="6FC77453"/>
    <w:rsid w:val="6FCB170E"/>
    <w:rsid w:val="6FCB25A4"/>
    <w:rsid w:val="6FCD6218"/>
    <w:rsid w:val="6FCF63E4"/>
    <w:rsid w:val="6FD04545"/>
    <w:rsid w:val="6FD32A5D"/>
    <w:rsid w:val="6FD504C9"/>
    <w:rsid w:val="6FD64EAD"/>
    <w:rsid w:val="6FD779F1"/>
    <w:rsid w:val="6FDB0F1B"/>
    <w:rsid w:val="6FDC4B9D"/>
    <w:rsid w:val="6FDD27D6"/>
    <w:rsid w:val="6FF52B1B"/>
    <w:rsid w:val="6FF61B9F"/>
    <w:rsid w:val="6FF81C1A"/>
    <w:rsid w:val="6FF82FD4"/>
    <w:rsid w:val="6FFB0FF1"/>
    <w:rsid w:val="6FFB40EC"/>
    <w:rsid w:val="70023756"/>
    <w:rsid w:val="700346D4"/>
    <w:rsid w:val="70036BB5"/>
    <w:rsid w:val="70042C6A"/>
    <w:rsid w:val="70097B2E"/>
    <w:rsid w:val="700B0BA2"/>
    <w:rsid w:val="700E45C5"/>
    <w:rsid w:val="70104E00"/>
    <w:rsid w:val="701372BB"/>
    <w:rsid w:val="701956EF"/>
    <w:rsid w:val="701D6153"/>
    <w:rsid w:val="701E4260"/>
    <w:rsid w:val="70224F57"/>
    <w:rsid w:val="702459A8"/>
    <w:rsid w:val="702608E2"/>
    <w:rsid w:val="702B0DCB"/>
    <w:rsid w:val="702F0108"/>
    <w:rsid w:val="70330979"/>
    <w:rsid w:val="70391E13"/>
    <w:rsid w:val="704275CC"/>
    <w:rsid w:val="70441DB4"/>
    <w:rsid w:val="70444793"/>
    <w:rsid w:val="70551138"/>
    <w:rsid w:val="705D6E76"/>
    <w:rsid w:val="706042A3"/>
    <w:rsid w:val="7060638A"/>
    <w:rsid w:val="70687EB7"/>
    <w:rsid w:val="706D0C63"/>
    <w:rsid w:val="70760EFF"/>
    <w:rsid w:val="70786F1D"/>
    <w:rsid w:val="70792E46"/>
    <w:rsid w:val="707F37AA"/>
    <w:rsid w:val="707F5E5A"/>
    <w:rsid w:val="70825A52"/>
    <w:rsid w:val="70833D91"/>
    <w:rsid w:val="70855A0E"/>
    <w:rsid w:val="708C12E1"/>
    <w:rsid w:val="7093476C"/>
    <w:rsid w:val="70984676"/>
    <w:rsid w:val="70994FE0"/>
    <w:rsid w:val="709E55D4"/>
    <w:rsid w:val="709F6035"/>
    <w:rsid w:val="70A34756"/>
    <w:rsid w:val="70A4038A"/>
    <w:rsid w:val="70A506E1"/>
    <w:rsid w:val="70A85273"/>
    <w:rsid w:val="70AB2B12"/>
    <w:rsid w:val="70AC5DF4"/>
    <w:rsid w:val="70AE3E92"/>
    <w:rsid w:val="70AF1CC8"/>
    <w:rsid w:val="70AF2CEA"/>
    <w:rsid w:val="70B066A1"/>
    <w:rsid w:val="70BD75AB"/>
    <w:rsid w:val="70C0191D"/>
    <w:rsid w:val="70CE299B"/>
    <w:rsid w:val="70DB2DEC"/>
    <w:rsid w:val="70E50981"/>
    <w:rsid w:val="70E852C5"/>
    <w:rsid w:val="70E938E1"/>
    <w:rsid w:val="70EA4FB5"/>
    <w:rsid w:val="70F11D54"/>
    <w:rsid w:val="70F301A3"/>
    <w:rsid w:val="70FB6A02"/>
    <w:rsid w:val="70FD54BB"/>
    <w:rsid w:val="71011BD7"/>
    <w:rsid w:val="71097A9D"/>
    <w:rsid w:val="71154581"/>
    <w:rsid w:val="71165C8F"/>
    <w:rsid w:val="711813E4"/>
    <w:rsid w:val="711824AE"/>
    <w:rsid w:val="711A2F36"/>
    <w:rsid w:val="7121413B"/>
    <w:rsid w:val="712142F5"/>
    <w:rsid w:val="7122754B"/>
    <w:rsid w:val="712700C4"/>
    <w:rsid w:val="712D5C8B"/>
    <w:rsid w:val="71307E25"/>
    <w:rsid w:val="713170A0"/>
    <w:rsid w:val="71334AD0"/>
    <w:rsid w:val="7134455D"/>
    <w:rsid w:val="71353F4A"/>
    <w:rsid w:val="713E59CC"/>
    <w:rsid w:val="71490EED"/>
    <w:rsid w:val="714B6C07"/>
    <w:rsid w:val="71524555"/>
    <w:rsid w:val="71530A68"/>
    <w:rsid w:val="71551EDE"/>
    <w:rsid w:val="7155770D"/>
    <w:rsid w:val="715A1587"/>
    <w:rsid w:val="715E0638"/>
    <w:rsid w:val="715F1432"/>
    <w:rsid w:val="7160306C"/>
    <w:rsid w:val="716324EA"/>
    <w:rsid w:val="7166314F"/>
    <w:rsid w:val="71753856"/>
    <w:rsid w:val="71834C32"/>
    <w:rsid w:val="718B2A36"/>
    <w:rsid w:val="718B37D7"/>
    <w:rsid w:val="718D41CC"/>
    <w:rsid w:val="718E2047"/>
    <w:rsid w:val="718E4BC4"/>
    <w:rsid w:val="719D6729"/>
    <w:rsid w:val="71A319BF"/>
    <w:rsid w:val="71A452F8"/>
    <w:rsid w:val="71A45CFB"/>
    <w:rsid w:val="71A561FA"/>
    <w:rsid w:val="71AB45E4"/>
    <w:rsid w:val="71AD018A"/>
    <w:rsid w:val="71BD1F32"/>
    <w:rsid w:val="71BD6D30"/>
    <w:rsid w:val="71C5263E"/>
    <w:rsid w:val="71C560A6"/>
    <w:rsid w:val="71CB0450"/>
    <w:rsid w:val="71CC1372"/>
    <w:rsid w:val="71CD6362"/>
    <w:rsid w:val="71CE145C"/>
    <w:rsid w:val="71D51B0E"/>
    <w:rsid w:val="71DA4F6A"/>
    <w:rsid w:val="71DC5668"/>
    <w:rsid w:val="71E10600"/>
    <w:rsid w:val="71E574F1"/>
    <w:rsid w:val="71F71D1A"/>
    <w:rsid w:val="71FB31A6"/>
    <w:rsid w:val="71FD006C"/>
    <w:rsid w:val="71FF289E"/>
    <w:rsid w:val="72033BCA"/>
    <w:rsid w:val="72063676"/>
    <w:rsid w:val="72081ADB"/>
    <w:rsid w:val="720A1607"/>
    <w:rsid w:val="720C0512"/>
    <w:rsid w:val="721C11BA"/>
    <w:rsid w:val="721F51CD"/>
    <w:rsid w:val="72207433"/>
    <w:rsid w:val="722403BB"/>
    <w:rsid w:val="722C65BC"/>
    <w:rsid w:val="72352AFB"/>
    <w:rsid w:val="7235400B"/>
    <w:rsid w:val="72383B18"/>
    <w:rsid w:val="723A08E3"/>
    <w:rsid w:val="723A0C25"/>
    <w:rsid w:val="723A2377"/>
    <w:rsid w:val="723F1DBA"/>
    <w:rsid w:val="724041C8"/>
    <w:rsid w:val="724605E2"/>
    <w:rsid w:val="72483DE8"/>
    <w:rsid w:val="7258020B"/>
    <w:rsid w:val="725A5C75"/>
    <w:rsid w:val="725C3BA6"/>
    <w:rsid w:val="725C5A2D"/>
    <w:rsid w:val="72604AAF"/>
    <w:rsid w:val="726431F7"/>
    <w:rsid w:val="72674985"/>
    <w:rsid w:val="726A341D"/>
    <w:rsid w:val="726F3072"/>
    <w:rsid w:val="727162C3"/>
    <w:rsid w:val="72761F3C"/>
    <w:rsid w:val="72775C1B"/>
    <w:rsid w:val="727A0474"/>
    <w:rsid w:val="727E15A6"/>
    <w:rsid w:val="72800660"/>
    <w:rsid w:val="72832A6F"/>
    <w:rsid w:val="72844C11"/>
    <w:rsid w:val="728634BC"/>
    <w:rsid w:val="72880B0D"/>
    <w:rsid w:val="72895A22"/>
    <w:rsid w:val="7292212A"/>
    <w:rsid w:val="72954D3B"/>
    <w:rsid w:val="729D635F"/>
    <w:rsid w:val="72A34975"/>
    <w:rsid w:val="72A43974"/>
    <w:rsid w:val="72A83CCB"/>
    <w:rsid w:val="72AB1275"/>
    <w:rsid w:val="72AC6C76"/>
    <w:rsid w:val="72B63E7B"/>
    <w:rsid w:val="72B76A5B"/>
    <w:rsid w:val="72BD3ED6"/>
    <w:rsid w:val="72C05B9A"/>
    <w:rsid w:val="72C12024"/>
    <w:rsid w:val="72C67611"/>
    <w:rsid w:val="72D02567"/>
    <w:rsid w:val="72DF1877"/>
    <w:rsid w:val="72E108B2"/>
    <w:rsid w:val="72E36DC6"/>
    <w:rsid w:val="72ED7F45"/>
    <w:rsid w:val="72F27134"/>
    <w:rsid w:val="72F41577"/>
    <w:rsid w:val="72F76F2B"/>
    <w:rsid w:val="72F91613"/>
    <w:rsid w:val="7301303B"/>
    <w:rsid w:val="730307F0"/>
    <w:rsid w:val="730729D4"/>
    <w:rsid w:val="730D7AB6"/>
    <w:rsid w:val="730E5D0C"/>
    <w:rsid w:val="731A2128"/>
    <w:rsid w:val="731B38ED"/>
    <w:rsid w:val="731E48A3"/>
    <w:rsid w:val="73284685"/>
    <w:rsid w:val="73290132"/>
    <w:rsid w:val="732922BE"/>
    <w:rsid w:val="732A7B5E"/>
    <w:rsid w:val="732B29BF"/>
    <w:rsid w:val="732D181E"/>
    <w:rsid w:val="73307B25"/>
    <w:rsid w:val="73316950"/>
    <w:rsid w:val="73410F47"/>
    <w:rsid w:val="734114F5"/>
    <w:rsid w:val="73412BB6"/>
    <w:rsid w:val="73440E8D"/>
    <w:rsid w:val="734A4D6E"/>
    <w:rsid w:val="73580F9D"/>
    <w:rsid w:val="73602E06"/>
    <w:rsid w:val="73605370"/>
    <w:rsid w:val="73776B84"/>
    <w:rsid w:val="737C55AA"/>
    <w:rsid w:val="7380395B"/>
    <w:rsid w:val="7385440A"/>
    <w:rsid w:val="73871E68"/>
    <w:rsid w:val="738C13B8"/>
    <w:rsid w:val="738F1EF3"/>
    <w:rsid w:val="739D3501"/>
    <w:rsid w:val="73A474E9"/>
    <w:rsid w:val="73A95DBB"/>
    <w:rsid w:val="73B23B3B"/>
    <w:rsid w:val="73B70C74"/>
    <w:rsid w:val="73BB0134"/>
    <w:rsid w:val="73C76759"/>
    <w:rsid w:val="73C832BD"/>
    <w:rsid w:val="73CB3EC2"/>
    <w:rsid w:val="73CD5684"/>
    <w:rsid w:val="73CE1C8F"/>
    <w:rsid w:val="73CE454B"/>
    <w:rsid w:val="73D844F2"/>
    <w:rsid w:val="73DD0578"/>
    <w:rsid w:val="73E46A4C"/>
    <w:rsid w:val="73EB0ABB"/>
    <w:rsid w:val="73F115DC"/>
    <w:rsid w:val="73F46631"/>
    <w:rsid w:val="73FB332F"/>
    <w:rsid w:val="74030560"/>
    <w:rsid w:val="74040366"/>
    <w:rsid w:val="740875C0"/>
    <w:rsid w:val="74093544"/>
    <w:rsid w:val="740A01F7"/>
    <w:rsid w:val="7414307E"/>
    <w:rsid w:val="74260BE5"/>
    <w:rsid w:val="742B3BFC"/>
    <w:rsid w:val="742B76A5"/>
    <w:rsid w:val="742F3296"/>
    <w:rsid w:val="742F73BF"/>
    <w:rsid w:val="743152B7"/>
    <w:rsid w:val="743922CA"/>
    <w:rsid w:val="743A07E8"/>
    <w:rsid w:val="743C79F7"/>
    <w:rsid w:val="74456D0E"/>
    <w:rsid w:val="74464B92"/>
    <w:rsid w:val="744B69DC"/>
    <w:rsid w:val="74502BA3"/>
    <w:rsid w:val="7454392E"/>
    <w:rsid w:val="745A4E67"/>
    <w:rsid w:val="746054FE"/>
    <w:rsid w:val="74663731"/>
    <w:rsid w:val="746F1A8C"/>
    <w:rsid w:val="74726784"/>
    <w:rsid w:val="7473472C"/>
    <w:rsid w:val="747A7F04"/>
    <w:rsid w:val="7482230A"/>
    <w:rsid w:val="74891F2C"/>
    <w:rsid w:val="748A7C5C"/>
    <w:rsid w:val="748B7924"/>
    <w:rsid w:val="748F48EF"/>
    <w:rsid w:val="749144A6"/>
    <w:rsid w:val="74985B15"/>
    <w:rsid w:val="749B1FF5"/>
    <w:rsid w:val="74A4348F"/>
    <w:rsid w:val="74AB09E7"/>
    <w:rsid w:val="74AB1DEF"/>
    <w:rsid w:val="74AB2F48"/>
    <w:rsid w:val="74AC7D62"/>
    <w:rsid w:val="74B00C7A"/>
    <w:rsid w:val="74B16FBD"/>
    <w:rsid w:val="74B331CE"/>
    <w:rsid w:val="74B916B5"/>
    <w:rsid w:val="74BF3E8D"/>
    <w:rsid w:val="74BF7340"/>
    <w:rsid w:val="74C01DA4"/>
    <w:rsid w:val="74C576E8"/>
    <w:rsid w:val="74CA081D"/>
    <w:rsid w:val="74D2728A"/>
    <w:rsid w:val="74F06E9F"/>
    <w:rsid w:val="74F6794E"/>
    <w:rsid w:val="74FE07E9"/>
    <w:rsid w:val="74FE7A9B"/>
    <w:rsid w:val="75070225"/>
    <w:rsid w:val="75134C5F"/>
    <w:rsid w:val="75155079"/>
    <w:rsid w:val="751F7CCE"/>
    <w:rsid w:val="75246385"/>
    <w:rsid w:val="752543BB"/>
    <w:rsid w:val="752C3F97"/>
    <w:rsid w:val="7536158E"/>
    <w:rsid w:val="75394FB4"/>
    <w:rsid w:val="753E54A6"/>
    <w:rsid w:val="75431857"/>
    <w:rsid w:val="75441FAA"/>
    <w:rsid w:val="75492D3F"/>
    <w:rsid w:val="75496994"/>
    <w:rsid w:val="754A0B2A"/>
    <w:rsid w:val="7555337E"/>
    <w:rsid w:val="755565E9"/>
    <w:rsid w:val="755B4F87"/>
    <w:rsid w:val="755F1856"/>
    <w:rsid w:val="756E6FD0"/>
    <w:rsid w:val="75712F6C"/>
    <w:rsid w:val="757A328F"/>
    <w:rsid w:val="757D18CB"/>
    <w:rsid w:val="757D6CBB"/>
    <w:rsid w:val="7580067B"/>
    <w:rsid w:val="75835047"/>
    <w:rsid w:val="75843FA9"/>
    <w:rsid w:val="75866DA9"/>
    <w:rsid w:val="75891A8F"/>
    <w:rsid w:val="759544F3"/>
    <w:rsid w:val="759643E4"/>
    <w:rsid w:val="75A307BB"/>
    <w:rsid w:val="75AB0730"/>
    <w:rsid w:val="75B16B00"/>
    <w:rsid w:val="75B41D19"/>
    <w:rsid w:val="75B528B2"/>
    <w:rsid w:val="75BC080B"/>
    <w:rsid w:val="75BF2563"/>
    <w:rsid w:val="75CF2FEB"/>
    <w:rsid w:val="75D2482D"/>
    <w:rsid w:val="75D35AC0"/>
    <w:rsid w:val="75D56A22"/>
    <w:rsid w:val="75D72B73"/>
    <w:rsid w:val="75DB2E94"/>
    <w:rsid w:val="75DE26BD"/>
    <w:rsid w:val="75DF4876"/>
    <w:rsid w:val="75E9694B"/>
    <w:rsid w:val="75E97A9A"/>
    <w:rsid w:val="75F064A9"/>
    <w:rsid w:val="75F2239E"/>
    <w:rsid w:val="75F506DA"/>
    <w:rsid w:val="75FC43D5"/>
    <w:rsid w:val="7601450C"/>
    <w:rsid w:val="76071C66"/>
    <w:rsid w:val="760730C8"/>
    <w:rsid w:val="760A5F72"/>
    <w:rsid w:val="76171309"/>
    <w:rsid w:val="761E06C2"/>
    <w:rsid w:val="76224381"/>
    <w:rsid w:val="762300CE"/>
    <w:rsid w:val="76254440"/>
    <w:rsid w:val="762875D5"/>
    <w:rsid w:val="762B6ABB"/>
    <w:rsid w:val="762E5AAD"/>
    <w:rsid w:val="76324DEF"/>
    <w:rsid w:val="763562DA"/>
    <w:rsid w:val="76376E41"/>
    <w:rsid w:val="7639297C"/>
    <w:rsid w:val="763C78D1"/>
    <w:rsid w:val="7648616B"/>
    <w:rsid w:val="764A6B7E"/>
    <w:rsid w:val="764C2E71"/>
    <w:rsid w:val="76530380"/>
    <w:rsid w:val="76537915"/>
    <w:rsid w:val="76564499"/>
    <w:rsid w:val="76577B8B"/>
    <w:rsid w:val="765959F6"/>
    <w:rsid w:val="76677285"/>
    <w:rsid w:val="766B11C6"/>
    <w:rsid w:val="766D627F"/>
    <w:rsid w:val="7676797B"/>
    <w:rsid w:val="76775905"/>
    <w:rsid w:val="76864771"/>
    <w:rsid w:val="76864A17"/>
    <w:rsid w:val="7686641F"/>
    <w:rsid w:val="76872C6D"/>
    <w:rsid w:val="76890C02"/>
    <w:rsid w:val="768C7784"/>
    <w:rsid w:val="768F1A51"/>
    <w:rsid w:val="769F1F2A"/>
    <w:rsid w:val="76A27663"/>
    <w:rsid w:val="76A35273"/>
    <w:rsid w:val="76A5438A"/>
    <w:rsid w:val="76A636D6"/>
    <w:rsid w:val="76A76A6D"/>
    <w:rsid w:val="76A87D02"/>
    <w:rsid w:val="76AE297F"/>
    <w:rsid w:val="76AE6517"/>
    <w:rsid w:val="76AF2AC6"/>
    <w:rsid w:val="76B1570B"/>
    <w:rsid w:val="76B26B05"/>
    <w:rsid w:val="76B471F1"/>
    <w:rsid w:val="76B75339"/>
    <w:rsid w:val="76BA1132"/>
    <w:rsid w:val="76C137FA"/>
    <w:rsid w:val="76C25567"/>
    <w:rsid w:val="76CF6FD7"/>
    <w:rsid w:val="76D03D97"/>
    <w:rsid w:val="76D427A6"/>
    <w:rsid w:val="76E05930"/>
    <w:rsid w:val="76E313E5"/>
    <w:rsid w:val="76E72ECE"/>
    <w:rsid w:val="76E73313"/>
    <w:rsid w:val="76EE042D"/>
    <w:rsid w:val="76EE7EFF"/>
    <w:rsid w:val="76F2779F"/>
    <w:rsid w:val="76F46587"/>
    <w:rsid w:val="76F850E9"/>
    <w:rsid w:val="76F8521A"/>
    <w:rsid w:val="76F90AD7"/>
    <w:rsid w:val="76F94E7E"/>
    <w:rsid w:val="76FA49D1"/>
    <w:rsid w:val="77017F9E"/>
    <w:rsid w:val="77080540"/>
    <w:rsid w:val="770B42D4"/>
    <w:rsid w:val="770E5F88"/>
    <w:rsid w:val="77164AE2"/>
    <w:rsid w:val="77191F42"/>
    <w:rsid w:val="7719509D"/>
    <w:rsid w:val="772002DF"/>
    <w:rsid w:val="77213510"/>
    <w:rsid w:val="7725218D"/>
    <w:rsid w:val="772612AF"/>
    <w:rsid w:val="77284D77"/>
    <w:rsid w:val="77296FB5"/>
    <w:rsid w:val="772A51A4"/>
    <w:rsid w:val="772D3299"/>
    <w:rsid w:val="7735150B"/>
    <w:rsid w:val="77367730"/>
    <w:rsid w:val="7737508C"/>
    <w:rsid w:val="773C1716"/>
    <w:rsid w:val="774229E1"/>
    <w:rsid w:val="774527E5"/>
    <w:rsid w:val="77455687"/>
    <w:rsid w:val="77456D82"/>
    <w:rsid w:val="774D6E7A"/>
    <w:rsid w:val="77534854"/>
    <w:rsid w:val="77574E65"/>
    <w:rsid w:val="77741ADC"/>
    <w:rsid w:val="7774393A"/>
    <w:rsid w:val="777F1A53"/>
    <w:rsid w:val="778E0580"/>
    <w:rsid w:val="778E3145"/>
    <w:rsid w:val="779836BD"/>
    <w:rsid w:val="779E51F4"/>
    <w:rsid w:val="77A058BA"/>
    <w:rsid w:val="77A05E6C"/>
    <w:rsid w:val="77A13326"/>
    <w:rsid w:val="77A96A51"/>
    <w:rsid w:val="77AD59DB"/>
    <w:rsid w:val="77AE0728"/>
    <w:rsid w:val="77B42658"/>
    <w:rsid w:val="77B77AB4"/>
    <w:rsid w:val="77B964FD"/>
    <w:rsid w:val="77BC164C"/>
    <w:rsid w:val="77BE28BC"/>
    <w:rsid w:val="77C11911"/>
    <w:rsid w:val="77C6585D"/>
    <w:rsid w:val="77CA1C66"/>
    <w:rsid w:val="77CF6960"/>
    <w:rsid w:val="77D07C98"/>
    <w:rsid w:val="77D3766C"/>
    <w:rsid w:val="77D5113B"/>
    <w:rsid w:val="77D54020"/>
    <w:rsid w:val="77DA5B25"/>
    <w:rsid w:val="77DC2F59"/>
    <w:rsid w:val="77E81FA4"/>
    <w:rsid w:val="77FA382D"/>
    <w:rsid w:val="77FE4867"/>
    <w:rsid w:val="78032A65"/>
    <w:rsid w:val="7803783B"/>
    <w:rsid w:val="780519FC"/>
    <w:rsid w:val="780C4FEB"/>
    <w:rsid w:val="780D35EB"/>
    <w:rsid w:val="781106C5"/>
    <w:rsid w:val="78126318"/>
    <w:rsid w:val="78160CAA"/>
    <w:rsid w:val="781A644B"/>
    <w:rsid w:val="782751A2"/>
    <w:rsid w:val="7829751B"/>
    <w:rsid w:val="78317FD8"/>
    <w:rsid w:val="7833163A"/>
    <w:rsid w:val="78344F9D"/>
    <w:rsid w:val="78360292"/>
    <w:rsid w:val="783B2EFF"/>
    <w:rsid w:val="78484CF6"/>
    <w:rsid w:val="784B12EF"/>
    <w:rsid w:val="784B49E9"/>
    <w:rsid w:val="784C7972"/>
    <w:rsid w:val="7851779D"/>
    <w:rsid w:val="785C6A4E"/>
    <w:rsid w:val="785F6AAB"/>
    <w:rsid w:val="786023E3"/>
    <w:rsid w:val="786845BB"/>
    <w:rsid w:val="7869627C"/>
    <w:rsid w:val="78696B56"/>
    <w:rsid w:val="786B3BB9"/>
    <w:rsid w:val="78731884"/>
    <w:rsid w:val="7878513F"/>
    <w:rsid w:val="787E6DD3"/>
    <w:rsid w:val="78862309"/>
    <w:rsid w:val="788949EC"/>
    <w:rsid w:val="788D38AC"/>
    <w:rsid w:val="789206CF"/>
    <w:rsid w:val="78921351"/>
    <w:rsid w:val="78932D33"/>
    <w:rsid w:val="789944A9"/>
    <w:rsid w:val="789B5BCC"/>
    <w:rsid w:val="789D32E3"/>
    <w:rsid w:val="78B9431E"/>
    <w:rsid w:val="78BD5DF1"/>
    <w:rsid w:val="78BF64FE"/>
    <w:rsid w:val="78C26FB6"/>
    <w:rsid w:val="78C35147"/>
    <w:rsid w:val="78C81FC8"/>
    <w:rsid w:val="78CD4035"/>
    <w:rsid w:val="78D47583"/>
    <w:rsid w:val="78D870A3"/>
    <w:rsid w:val="78D90120"/>
    <w:rsid w:val="78DA3C56"/>
    <w:rsid w:val="78DE39C2"/>
    <w:rsid w:val="78DE67A5"/>
    <w:rsid w:val="78E066A4"/>
    <w:rsid w:val="78E16E2D"/>
    <w:rsid w:val="78F32CBE"/>
    <w:rsid w:val="790A2AD8"/>
    <w:rsid w:val="790D0E80"/>
    <w:rsid w:val="79136097"/>
    <w:rsid w:val="79143985"/>
    <w:rsid w:val="79180818"/>
    <w:rsid w:val="791B43BB"/>
    <w:rsid w:val="791B46C0"/>
    <w:rsid w:val="791B54F4"/>
    <w:rsid w:val="7920267F"/>
    <w:rsid w:val="792569BE"/>
    <w:rsid w:val="792C6E68"/>
    <w:rsid w:val="792D5F1E"/>
    <w:rsid w:val="793262F2"/>
    <w:rsid w:val="793D5E2E"/>
    <w:rsid w:val="79432008"/>
    <w:rsid w:val="7948623A"/>
    <w:rsid w:val="794A3F4F"/>
    <w:rsid w:val="794C1DE1"/>
    <w:rsid w:val="794D202A"/>
    <w:rsid w:val="795611DD"/>
    <w:rsid w:val="79570B04"/>
    <w:rsid w:val="79571433"/>
    <w:rsid w:val="79572BFF"/>
    <w:rsid w:val="795A60AB"/>
    <w:rsid w:val="7963519A"/>
    <w:rsid w:val="79642CC6"/>
    <w:rsid w:val="796632FE"/>
    <w:rsid w:val="796644DA"/>
    <w:rsid w:val="79697570"/>
    <w:rsid w:val="79706502"/>
    <w:rsid w:val="79723D0D"/>
    <w:rsid w:val="79740185"/>
    <w:rsid w:val="79756D0F"/>
    <w:rsid w:val="79796D4F"/>
    <w:rsid w:val="79841C43"/>
    <w:rsid w:val="7984609A"/>
    <w:rsid w:val="799559EE"/>
    <w:rsid w:val="799763E9"/>
    <w:rsid w:val="79A22FCC"/>
    <w:rsid w:val="79B1452F"/>
    <w:rsid w:val="79C04450"/>
    <w:rsid w:val="79CA6881"/>
    <w:rsid w:val="79CC76F6"/>
    <w:rsid w:val="79CD16E6"/>
    <w:rsid w:val="79CD3A71"/>
    <w:rsid w:val="79D833C4"/>
    <w:rsid w:val="79D92170"/>
    <w:rsid w:val="79DA2390"/>
    <w:rsid w:val="79DB3165"/>
    <w:rsid w:val="79DE7531"/>
    <w:rsid w:val="79DF6830"/>
    <w:rsid w:val="79E3376B"/>
    <w:rsid w:val="79EA2FB8"/>
    <w:rsid w:val="79F13FCA"/>
    <w:rsid w:val="79F75952"/>
    <w:rsid w:val="79F83F59"/>
    <w:rsid w:val="79F91C40"/>
    <w:rsid w:val="79FC3536"/>
    <w:rsid w:val="79FE122C"/>
    <w:rsid w:val="79FE669E"/>
    <w:rsid w:val="7A041F6D"/>
    <w:rsid w:val="7A095F46"/>
    <w:rsid w:val="7A13793E"/>
    <w:rsid w:val="7A1976F2"/>
    <w:rsid w:val="7A1B39AE"/>
    <w:rsid w:val="7A1C0142"/>
    <w:rsid w:val="7A1F0E92"/>
    <w:rsid w:val="7A2635DE"/>
    <w:rsid w:val="7A280613"/>
    <w:rsid w:val="7A332FCB"/>
    <w:rsid w:val="7A3A0A36"/>
    <w:rsid w:val="7A440B42"/>
    <w:rsid w:val="7A484CDC"/>
    <w:rsid w:val="7A531516"/>
    <w:rsid w:val="7A5C6B9A"/>
    <w:rsid w:val="7A5E58E8"/>
    <w:rsid w:val="7A6923F0"/>
    <w:rsid w:val="7A6E299B"/>
    <w:rsid w:val="7A6E37F7"/>
    <w:rsid w:val="7A7024A4"/>
    <w:rsid w:val="7A7100C8"/>
    <w:rsid w:val="7A7704BC"/>
    <w:rsid w:val="7A792F84"/>
    <w:rsid w:val="7A793176"/>
    <w:rsid w:val="7A7E1CED"/>
    <w:rsid w:val="7A854DC7"/>
    <w:rsid w:val="7A8A2EDE"/>
    <w:rsid w:val="7A8D6216"/>
    <w:rsid w:val="7A8D7AA8"/>
    <w:rsid w:val="7A9C2623"/>
    <w:rsid w:val="7AA1104B"/>
    <w:rsid w:val="7AA42443"/>
    <w:rsid w:val="7AB30ACD"/>
    <w:rsid w:val="7AB42B7F"/>
    <w:rsid w:val="7AB444E2"/>
    <w:rsid w:val="7ABD4637"/>
    <w:rsid w:val="7AC12A0F"/>
    <w:rsid w:val="7AC43FA0"/>
    <w:rsid w:val="7AC50AFA"/>
    <w:rsid w:val="7AC94D19"/>
    <w:rsid w:val="7AC96108"/>
    <w:rsid w:val="7ACB7C95"/>
    <w:rsid w:val="7ADC177F"/>
    <w:rsid w:val="7ADE3B57"/>
    <w:rsid w:val="7ADE4610"/>
    <w:rsid w:val="7AE00319"/>
    <w:rsid w:val="7AE977BC"/>
    <w:rsid w:val="7AF30787"/>
    <w:rsid w:val="7AF44C5D"/>
    <w:rsid w:val="7AF77804"/>
    <w:rsid w:val="7B1378FB"/>
    <w:rsid w:val="7B146EEE"/>
    <w:rsid w:val="7B150CF8"/>
    <w:rsid w:val="7B2405B2"/>
    <w:rsid w:val="7B2412DC"/>
    <w:rsid w:val="7B261848"/>
    <w:rsid w:val="7B27542E"/>
    <w:rsid w:val="7B281133"/>
    <w:rsid w:val="7B286FAA"/>
    <w:rsid w:val="7B317B25"/>
    <w:rsid w:val="7B3C0B18"/>
    <w:rsid w:val="7B4030FC"/>
    <w:rsid w:val="7B4056A3"/>
    <w:rsid w:val="7B464140"/>
    <w:rsid w:val="7B4B16B2"/>
    <w:rsid w:val="7B59266F"/>
    <w:rsid w:val="7B5A2055"/>
    <w:rsid w:val="7B5F5E48"/>
    <w:rsid w:val="7B684E8B"/>
    <w:rsid w:val="7B697887"/>
    <w:rsid w:val="7B701BF3"/>
    <w:rsid w:val="7B712690"/>
    <w:rsid w:val="7B7147E1"/>
    <w:rsid w:val="7B794623"/>
    <w:rsid w:val="7B7A1E99"/>
    <w:rsid w:val="7B7C749C"/>
    <w:rsid w:val="7B7F3652"/>
    <w:rsid w:val="7B811A80"/>
    <w:rsid w:val="7B851991"/>
    <w:rsid w:val="7B862A70"/>
    <w:rsid w:val="7B900202"/>
    <w:rsid w:val="7B9441EC"/>
    <w:rsid w:val="7B9660E7"/>
    <w:rsid w:val="7B982DE1"/>
    <w:rsid w:val="7B9F140A"/>
    <w:rsid w:val="7BA344D6"/>
    <w:rsid w:val="7BA6353D"/>
    <w:rsid w:val="7BAC396E"/>
    <w:rsid w:val="7BB26DB3"/>
    <w:rsid w:val="7BB9068F"/>
    <w:rsid w:val="7BBA5F8F"/>
    <w:rsid w:val="7BC14493"/>
    <w:rsid w:val="7BC17F69"/>
    <w:rsid w:val="7BC4695B"/>
    <w:rsid w:val="7BC93398"/>
    <w:rsid w:val="7BD0212C"/>
    <w:rsid w:val="7BD02224"/>
    <w:rsid w:val="7BD05102"/>
    <w:rsid w:val="7BD34688"/>
    <w:rsid w:val="7BD41BB9"/>
    <w:rsid w:val="7BD50509"/>
    <w:rsid w:val="7BD60FE4"/>
    <w:rsid w:val="7BE25C93"/>
    <w:rsid w:val="7BE6442E"/>
    <w:rsid w:val="7BE81F54"/>
    <w:rsid w:val="7BF40E20"/>
    <w:rsid w:val="7BFB3FCE"/>
    <w:rsid w:val="7BFE0D1E"/>
    <w:rsid w:val="7BFF0021"/>
    <w:rsid w:val="7BFF7D35"/>
    <w:rsid w:val="7C006E69"/>
    <w:rsid w:val="7C083C55"/>
    <w:rsid w:val="7C085945"/>
    <w:rsid w:val="7C0B6E2D"/>
    <w:rsid w:val="7C0C0081"/>
    <w:rsid w:val="7C187077"/>
    <w:rsid w:val="7C1C3A43"/>
    <w:rsid w:val="7C1D0C7C"/>
    <w:rsid w:val="7C1D6069"/>
    <w:rsid w:val="7C2626B3"/>
    <w:rsid w:val="7C280509"/>
    <w:rsid w:val="7C3001C0"/>
    <w:rsid w:val="7C306FC3"/>
    <w:rsid w:val="7C326073"/>
    <w:rsid w:val="7C345244"/>
    <w:rsid w:val="7C364435"/>
    <w:rsid w:val="7C391D8B"/>
    <w:rsid w:val="7C3D173F"/>
    <w:rsid w:val="7C435D80"/>
    <w:rsid w:val="7C4366E0"/>
    <w:rsid w:val="7C4C347B"/>
    <w:rsid w:val="7C4C3EE3"/>
    <w:rsid w:val="7C4F5E21"/>
    <w:rsid w:val="7C520C55"/>
    <w:rsid w:val="7C5250BF"/>
    <w:rsid w:val="7C5272CA"/>
    <w:rsid w:val="7C5273F1"/>
    <w:rsid w:val="7C562D36"/>
    <w:rsid w:val="7C5B2F20"/>
    <w:rsid w:val="7C5D1350"/>
    <w:rsid w:val="7C65498B"/>
    <w:rsid w:val="7C6A6387"/>
    <w:rsid w:val="7C6B2E24"/>
    <w:rsid w:val="7C6C5283"/>
    <w:rsid w:val="7C6F7D12"/>
    <w:rsid w:val="7C727458"/>
    <w:rsid w:val="7C775ECB"/>
    <w:rsid w:val="7C834A34"/>
    <w:rsid w:val="7C860CB6"/>
    <w:rsid w:val="7C8675C8"/>
    <w:rsid w:val="7C8975CA"/>
    <w:rsid w:val="7C8A2C69"/>
    <w:rsid w:val="7C8C1131"/>
    <w:rsid w:val="7C8D3B1E"/>
    <w:rsid w:val="7C8E4882"/>
    <w:rsid w:val="7C993A30"/>
    <w:rsid w:val="7C9A1A78"/>
    <w:rsid w:val="7CA3347C"/>
    <w:rsid w:val="7CA45313"/>
    <w:rsid w:val="7CA84991"/>
    <w:rsid w:val="7CA97D7D"/>
    <w:rsid w:val="7CAD0A42"/>
    <w:rsid w:val="7CBA42F0"/>
    <w:rsid w:val="7CBB58ED"/>
    <w:rsid w:val="7CBE320E"/>
    <w:rsid w:val="7CC3051D"/>
    <w:rsid w:val="7CC60055"/>
    <w:rsid w:val="7CCA4091"/>
    <w:rsid w:val="7CD0139E"/>
    <w:rsid w:val="7CD50FFB"/>
    <w:rsid w:val="7CD5387C"/>
    <w:rsid w:val="7CDB308A"/>
    <w:rsid w:val="7CDE6EFD"/>
    <w:rsid w:val="7CE05A78"/>
    <w:rsid w:val="7CE166BE"/>
    <w:rsid w:val="7CE52578"/>
    <w:rsid w:val="7CE577D9"/>
    <w:rsid w:val="7CE7048B"/>
    <w:rsid w:val="7CF277A6"/>
    <w:rsid w:val="7CF35B20"/>
    <w:rsid w:val="7CFA0FEE"/>
    <w:rsid w:val="7CFA4897"/>
    <w:rsid w:val="7D055ECB"/>
    <w:rsid w:val="7D0564DB"/>
    <w:rsid w:val="7D084A67"/>
    <w:rsid w:val="7D0A1E42"/>
    <w:rsid w:val="7D0D6C00"/>
    <w:rsid w:val="7D111768"/>
    <w:rsid w:val="7D1E1A11"/>
    <w:rsid w:val="7D207B9C"/>
    <w:rsid w:val="7D2148F6"/>
    <w:rsid w:val="7D216877"/>
    <w:rsid w:val="7D2916FA"/>
    <w:rsid w:val="7D2F550A"/>
    <w:rsid w:val="7D307F1F"/>
    <w:rsid w:val="7D4744D0"/>
    <w:rsid w:val="7D4B6ED5"/>
    <w:rsid w:val="7D4D2838"/>
    <w:rsid w:val="7D512069"/>
    <w:rsid w:val="7D545068"/>
    <w:rsid w:val="7D5859F6"/>
    <w:rsid w:val="7D5927BA"/>
    <w:rsid w:val="7D5940B2"/>
    <w:rsid w:val="7D5C61BA"/>
    <w:rsid w:val="7D5C7534"/>
    <w:rsid w:val="7D5E7BDF"/>
    <w:rsid w:val="7D612983"/>
    <w:rsid w:val="7D670CBA"/>
    <w:rsid w:val="7D6C04A0"/>
    <w:rsid w:val="7D70231F"/>
    <w:rsid w:val="7D741F16"/>
    <w:rsid w:val="7D747288"/>
    <w:rsid w:val="7D797A50"/>
    <w:rsid w:val="7D7B0DB7"/>
    <w:rsid w:val="7D9517AB"/>
    <w:rsid w:val="7D9C3A24"/>
    <w:rsid w:val="7D9C3EF1"/>
    <w:rsid w:val="7D9D489A"/>
    <w:rsid w:val="7DA04785"/>
    <w:rsid w:val="7DA500A7"/>
    <w:rsid w:val="7DA9635F"/>
    <w:rsid w:val="7DB66825"/>
    <w:rsid w:val="7DBC43DD"/>
    <w:rsid w:val="7DC04B5F"/>
    <w:rsid w:val="7DC07183"/>
    <w:rsid w:val="7DC319E5"/>
    <w:rsid w:val="7DCD3F20"/>
    <w:rsid w:val="7DCE3F7B"/>
    <w:rsid w:val="7DDA72F5"/>
    <w:rsid w:val="7DDC076D"/>
    <w:rsid w:val="7DDE7674"/>
    <w:rsid w:val="7DE804E3"/>
    <w:rsid w:val="7DEA161C"/>
    <w:rsid w:val="7DEA41AE"/>
    <w:rsid w:val="7DF17648"/>
    <w:rsid w:val="7DF73F25"/>
    <w:rsid w:val="7DF9657E"/>
    <w:rsid w:val="7DFA6736"/>
    <w:rsid w:val="7DFD7D33"/>
    <w:rsid w:val="7E005074"/>
    <w:rsid w:val="7E036F65"/>
    <w:rsid w:val="7E050BD4"/>
    <w:rsid w:val="7E06711B"/>
    <w:rsid w:val="7E07350D"/>
    <w:rsid w:val="7E0F3A22"/>
    <w:rsid w:val="7E0F57DF"/>
    <w:rsid w:val="7E111FE6"/>
    <w:rsid w:val="7E1541F7"/>
    <w:rsid w:val="7E1820F8"/>
    <w:rsid w:val="7E1A2D7E"/>
    <w:rsid w:val="7E1A3A04"/>
    <w:rsid w:val="7E1F0989"/>
    <w:rsid w:val="7E2125DD"/>
    <w:rsid w:val="7E240D04"/>
    <w:rsid w:val="7E293A20"/>
    <w:rsid w:val="7E3903F3"/>
    <w:rsid w:val="7E392F5A"/>
    <w:rsid w:val="7E3D48A5"/>
    <w:rsid w:val="7E45586F"/>
    <w:rsid w:val="7E457266"/>
    <w:rsid w:val="7E475FAD"/>
    <w:rsid w:val="7E4935A0"/>
    <w:rsid w:val="7E4B05E8"/>
    <w:rsid w:val="7E4D4569"/>
    <w:rsid w:val="7E5513DB"/>
    <w:rsid w:val="7E554E26"/>
    <w:rsid w:val="7E5D518C"/>
    <w:rsid w:val="7E630E3A"/>
    <w:rsid w:val="7E6B1500"/>
    <w:rsid w:val="7E7134C3"/>
    <w:rsid w:val="7E735FB0"/>
    <w:rsid w:val="7E783A67"/>
    <w:rsid w:val="7E7D5D51"/>
    <w:rsid w:val="7E7E0499"/>
    <w:rsid w:val="7E8A680A"/>
    <w:rsid w:val="7E8B3E88"/>
    <w:rsid w:val="7E8F56CC"/>
    <w:rsid w:val="7E924FFA"/>
    <w:rsid w:val="7E991781"/>
    <w:rsid w:val="7EA542CA"/>
    <w:rsid w:val="7EA57D3E"/>
    <w:rsid w:val="7EAD3CD2"/>
    <w:rsid w:val="7EB2745B"/>
    <w:rsid w:val="7EB65352"/>
    <w:rsid w:val="7EBA6CC6"/>
    <w:rsid w:val="7EBB70D2"/>
    <w:rsid w:val="7EC7201E"/>
    <w:rsid w:val="7ECA306E"/>
    <w:rsid w:val="7ECC280E"/>
    <w:rsid w:val="7ECC5B01"/>
    <w:rsid w:val="7ED33362"/>
    <w:rsid w:val="7EDD0ED3"/>
    <w:rsid w:val="7EE22A3C"/>
    <w:rsid w:val="7EE25ABF"/>
    <w:rsid w:val="7EE4501D"/>
    <w:rsid w:val="7EE60045"/>
    <w:rsid w:val="7EE8399A"/>
    <w:rsid w:val="7EE94EF4"/>
    <w:rsid w:val="7EEA5A2C"/>
    <w:rsid w:val="7EEF6E1D"/>
    <w:rsid w:val="7EF50077"/>
    <w:rsid w:val="7EF9179B"/>
    <w:rsid w:val="7EF97286"/>
    <w:rsid w:val="7EFA2C7D"/>
    <w:rsid w:val="7EFB79C7"/>
    <w:rsid w:val="7EFE5E07"/>
    <w:rsid w:val="7F0C1147"/>
    <w:rsid w:val="7F150C33"/>
    <w:rsid w:val="7F15329D"/>
    <w:rsid w:val="7F196FB3"/>
    <w:rsid w:val="7F236C7A"/>
    <w:rsid w:val="7F276E2C"/>
    <w:rsid w:val="7F282A38"/>
    <w:rsid w:val="7F295466"/>
    <w:rsid w:val="7F304A85"/>
    <w:rsid w:val="7F313A0F"/>
    <w:rsid w:val="7F33013E"/>
    <w:rsid w:val="7F347748"/>
    <w:rsid w:val="7F3806D9"/>
    <w:rsid w:val="7F404832"/>
    <w:rsid w:val="7F43076F"/>
    <w:rsid w:val="7F451033"/>
    <w:rsid w:val="7F4C2F52"/>
    <w:rsid w:val="7F4D7AEB"/>
    <w:rsid w:val="7F4E2C0E"/>
    <w:rsid w:val="7F523EE6"/>
    <w:rsid w:val="7F527DA8"/>
    <w:rsid w:val="7F5A46A2"/>
    <w:rsid w:val="7F5F04F4"/>
    <w:rsid w:val="7F654AF0"/>
    <w:rsid w:val="7F6849E0"/>
    <w:rsid w:val="7F690557"/>
    <w:rsid w:val="7F6907C1"/>
    <w:rsid w:val="7F6A2B6F"/>
    <w:rsid w:val="7F6F40E8"/>
    <w:rsid w:val="7F705C1E"/>
    <w:rsid w:val="7F7275AB"/>
    <w:rsid w:val="7F731943"/>
    <w:rsid w:val="7F791011"/>
    <w:rsid w:val="7F7A6981"/>
    <w:rsid w:val="7F874F13"/>
    <w:rsid w:val="7F9045A1"/>
    <w:rsid w:val="7F91675B"/>
    <w:rsid w:val="7FA67015"/>
    <w:rsid w:val="7FAC5754"/>
    <w:rsid w:val="7FAD2D27"/>
    <w:rsid w:val="7FB1701C"/>
    <w:rsid w:val="7FB5037C"/>
    <w:rsid w:val="7FB76642"/>
    <w:rsid w:val="7FBC5ADC"/>
    <w:rsid w:val="7FC21F76"/>
    <w:rsid w:val="7FC55655"/>
    <w:rsid w:val="7FC91C63"/>
    <w:rsid w:val="7FCF589E"/>
    <w:rsid w:val="7FD91E58"/>
    <w:rsid w:val="7FDF1552"/>
    <w:rsid w:val="7FDF7469"/>
    <w:rsid w:val="7FE064AE"/>
    <w:rsid w:val="7FE959CB"/>
    <w:rsid w:val="7FEB7EDB"/>
    <w:rsid w:val="7FEC2BF4"/>
    <w:rsid w:val="7FF52B3B"/>
    <w:rsid w:val="7FFA3C80"/>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99" w:semiHidden="0" w:name="heading 2"/>
    <w:lsdException w:qFormat="1" w:unhideWhenUsed="0" w:uiPriority="99" w:semiHidden="0" w:name="heading 3"/>
    <w:lsdException w:qFormat="1" w:unhideWhenUsed="0" w:uiPriority="99" w:semiHidden="0" w:name="heading 4"/>
    <w:lsdException w:qFormat="1" w:unhideWhenUsed="0" w:uiPriority="99" w:semiHidden="0" w:name="heading 5"/>
    <w:lsdException w:qFormat="1" w:unhideWhenUsed="0" w:uiPriority="99" w:semiHidden="0" w:name="heading 6"/>
    <w:lsdException w:qFormat="1" w:unhideWhenUsed="0" w:uiPriority="99" w:semiHidden="0" w:name="heading 7"/>
    <w:lsdException w:qFormat="1" w:unhideWhenUsed="0" w:uiPriority="99" w:semiHidden="0" w:name="heading 8"/>
    <w:lsdException w:qFormat="1" w:unhideWhenUsed="0" w:uiPriority="99" w:semiHidden="0" w:name="heading 9"/>
    <w:lsdException w:qFormat="1" w:unhideWhenUsed="0" w:uiPriority="99" w:semiHidden="0" w:name="index 1"/>
    <w:lsdException w:qFormat="1" w:unhideWhenUsed="0" w:uiPriority="99" w:semiHidden="0" w:name="index 2"/>
    <w:lsdException w:uiPriority="99" w:name="index 3" w:locked="1"/>
    <w:lsdException w:uiPriority="99" w:name="index 4" w:locked="1"/>
    <w:lsdException w:qFormat="1" w:unhideWhenUsed="0" w:uiPriority="0" w:semiHidden="0" w:name="index 5" w:locked="1"/>
    <w:lsdException w:uiPriority="99" w:name="index 6" w:locked="1"/>
    <w:lsdException w:uiPriority="99" w:name="index 7" w:locked="1"/>
    <w:lsdException w:uiPriority="99" w:name="index 8" w:locked="1"/>
    <w:lsdException w:uiPriority="99" w:name="index 9" w:locked="1"/>
    <w:lsdException w:qFormat="1" w:unhideWhenUsed="0" w:uiPriority="99" w:semiHidden="0" w:name="toc 1"/>
    <w:lsdException w:qFormat="1" w:unhideWhenUsed="0" w:uiPriority="99" w:semiHidden="0" w:name="toc 2"/>
    <w:lsdException w:qFormat="1" w:unhideWhenUsed="0" w:uiPriority="99" w:semiHidden="0" w:name="toc 3"/>
    <w:lsdException w:uiPriority="39" w:name="toc 4" w:locked="1"/>
    <w:lsdException w:uiPriority="39" w:name="toc 5" w:locked="1"/>
    <w:lsdException w:uiPriority="39" w:name="toc 6" w:locked="1"/>
    <w:lsdException w:uiPriority="39" w:name="toc 7" w:locked="1"/>
    <w:lsdException w:uiPriority="39" w:name="toc 8" w:locked="1"/>
    <w:lsdException w:uiPriority="39" w:name="toc 9" w:locked="1"/>
    <w:lsdException w:qFormat="1" w:unhideWhenUsed="0" w:uiPriority="99" w:semiHidden="0" w:name="Normal Indent"/>
    <w:lsdException w:uiPriority="99" w:name="footnote text" w:locked="1"/>
    <w:lsdException w:qFormat="1" w:uiPriority="99" w:semiHidden="0" w:name="annotation text" w:locked="1"/>
    <w:lsdException w:qFormat="1" w:unhideWhenUsed="0" w:uiPriority="99" w:semiHidden="0" w:name="header"/>
    <w:lsdException w:qFormat="1" w:unhideWhenUsed="0" w:uiPriority="99" w:semiHidden="0" w:name="footer"/>
    <w:lsdException w:uiPriority="99" w:name="index heading" w:locked="1"/>
    <w:lsdException w:qFormat="1" w:uiPriority="35" w:name="caption" w:locked="1"/>
    <w:lsdException w:uiPriority="99" w:name="table of figures" w:locked="1"/>
    <w:lsdException w:uiPriority="99" w:name="envelope address" w:locked="1"/>
    <w:lsdException w:uiPriority="99" w:name="envelope return" w:locked="1"/>
    <w:lsdException w:uiPriority="99" w:name="footnote reference" w:locked="1"/>
    <w:lsdException w:uiPriority="99" w:name="annotation reference" w:locked="1"/>
    <w:lsdException w:uiPriority="99" w:name="line number" w:locked="1"/>
    <w:lsdException w:qFormat="1" w:unhideWhenUsed="0" w:uiPriority="99" w:semiHidden="0" w:name="page number"/>
    <w:lsdException w:uiPriority="99" w:name="endnote reference" w:locked="1"/>
    <w:lsdException w:uiPriority="99" w:name="endnote text" w:locked="1"/>
    <w:lsdException w:uiPriority="99" w:name="table of authorities" w:locked="1"/>
    <w:lsdException w:uiPriority="99" w:name="macro" w:locked="1"/>
    <w:lsdException w:uiPriority="99" w:name="toa heading" w:locked="1"/>
    <w:lsdException w:uiPriority="99" w:name="List" w:locked="1"/>
    <w:lsdException w:uiPriority="99" w:name="List Bullet" w:locked="1"/>
    <w:lsdException w:uiPriority="99" w:name="List Number" w:locked="1"/>
    <w:lsdException w:uiPriority="99" w:name="List 2" w:locked="1"/>
    <w:lsdException w:uiPriority="99" w:name="List 3" w:locked="1"/>
    <w:lsdException w:uiPriority="99" w:name="List 4" w:locked="1"/>
    <w:lsdException w:uiPriority="99" w:name="List 5" w:locked="1"/>
    <w:lsdException w:uiPriority="99" w:name="List Bullet 2" w:locked="1"/>
    <w:lsdException w:uiPriority="99" w:name="List Bullet 3" w:locked="1"/>
    <w:lsdException w:uiPriority="99" w:name="List Bullet 4" w:locked="1"/>
    <w:lsdException w:uiPriority="99" w:name="List Bullet 5" w:locked="1"/>
    <w:lsdException w:uiPriority="99" w:name="List Number 2" w:locked="1"/>
    <w:lsdException w:uiPriority="99" w:name="List Number 3" w:locked="1"/>
    <w:lsdException w:uiPriority="99" w:name="List Number 4" w:locked="1"/>
    <w:lsdException w:uiPriority="99" w:name="List Number 5" w:locked="1"/>
    <w:lsdException w:qFormat="1" w:unhideWhenUsed="0" w:uiPriority="99" w:semiHidden="0" w:name="Title"/>
    <w:lsdException w:uiPriority="99" w:name="Closing" w:locked="1"/>
    <w:lsdException w:uiPriority="99" w:name="Signature" w:locked="1"/>
    <w:lsdException w:qFormat="1" w:uiPriority="1" w:name="Default Paragraph Font"/>
    <w:lsdException w:qFormat="1" w:unhideWhenUsed="0" w:uiPriority="99" w:semiHidden="0" w:name="Body Text"/>
    <w:lsdException w:qFormat="1" w:unhideWhenUsed="0" w:uiPriority="99" w:semiHidden="0" w:name="Body Text Indent"/>
    <w:lsdException w:uiPriority="99" w:name="List Continue" w:locked="1"/>
    <w:lsdException w:uiPriority="99" w:name="List Continue 2" w:locked="1"/>
    <w:lsdException w:uiPriority="99" w:name="List Continue 3" w:locked="1"/>
    <w:lsdException w:uiPriority="99" w:name="List Continue 4" w:locked="1"/>
    <w:lsdException w:uiPriority="99" w:name="List Continue 5" w:locked="1"/>
    <w:lsdException w:uiPriority="99" w:name="Message Header" w:locked="1"/>
    <w:lsdException w:qFormat="1" w:unhideWhenUsed="0" w:uiPriority="11" w:semiHidden="0" w:name="Subtitle" w:locked="1"/>
    <w:lsdException w:uiPriority="99" w:name="Salutation" w:locked="1"/>
    <w:lsdException w:qFormat="1" w:unhideWhenUsed="0" w:uiPriority="99" w:semiHidden="0" w:name="Date"/>
    <w:lsdException w:qFormat="1" w:uiPriority="99" w:semiHidden="0" w:name="Body Text First Indent" w:locked="1"/>
    <w:lsdException w:qFormat="1" w:unhideWhenUsed="0" w:uiPriority="0" w:semiHidden="0" w:name="Body Text First Indent 2" w:locked="1"/>
    <w:lsdException w:qFormat="1" w:unhideWhenUsed="0" w:uiPriority="99" w:semiHidden="0" w:name="Note Heading"/>
    <w:lsdException w:uiPriority="99" w:name="Body Text 2" w:locked="1"/>
    <w:lsdException w:uiPriority="99" w:name="Body Text 3" w:locked="1"/>
    <w:lsdException w:qFormat="1" w:unhideWhenUsed="0" w:uiPriority="99" w:semiHidden="0" w:name="Body Text Indent 2"/>
    <w:lsdException w:qFormat="1" w:unhideWhenUsed="0" w:uiPriority="99" w:semiHidden="0" w:name="Body Text Indent 3"/>
    <w:lsdException w:uiPriority="99" w:name="Block Text" w:locked="1"/>
    <w:lsdException w:qFormat="1" w:unhideWhenUsed="0" w:uiPriority="99" w:semiHidden="0" w:name="Hyperlink"/>
    <w:lsdException w:qFormat="1" w:unhideWhenUsed="0" w:uiPriority="99" w:semiHidden="0" w:name="FollowedHyperlink"/>
    <w:lsdException w:qFormat="1" w:unhideWhenUsed="0" w:uiPriority="99" w:semiHidden="0" w:name="Strong"/>
    <w:lsdException w:qFormat="1" w:unhideWhenUsed="0" w:uiPriority="20" w:semiHidden="0" w:name="Emphasis" w:locked="1"/>
    <w:lsdException w:qFormat="1" w:unhideWhenUsed="0" w:uiPriority="99" w:name="Document Map" w:locked="1"/>
    <w:lsdException w:qFormat="1" w:unhideWhenUsed="0" w:uiPriority="99" w:semiHidden="0" w:name="Plain Text"/>
    <w:lsdException w:uiPriority="99" w:name="E-mail Signature" w:locked="1"/>
    <w:lsdException w:qFormat="1" w:unhideWhenUsed="0" w:uiPriority="99" w:semiHidden="0" w:name="Normal (Web)"/>
    <w:lsdException w:qFormat="1" w:uiPriority="99" w:semiHidden="0" w:name="HTML Acronym" w:locked="1"/>
    <w:lsdException w:uiPriority="99" w:name="HTML Address" w:locked="1"/>
    <w:lsdException w:qFormat="1" w:uiPriority="99" w:semiHidden="0" w:name="HTML Cite" w:locked="1"/>
    <w:lsdException w:qFormat="1" w:uiPriority="99" w:semiHidden="0" w:name="HTML Code" w:locked="1"/>
    <w:lsdException w:qFormat="1" w:uiPriority="99" w:semiHidden="0" w:name="HTML Definition" w:locked="1"/>
    <w:lsdException w:uiPriority="99" w:name="HTML Keyboard" w:locked="1"/>
    <w:lsdException w:qFormat="1" w:uiPriority="99" w:semiHidden="0" w:name="HTML Preformatted" w:locked="1"/>
    <w:lsdException w:uiPriority="99" w:name="HTML Sample" w:locked="1"/>
    <w:lsdException w:uiPriority="99" w:name="HTML Typewriter" w:locked="1"/>
    <w:lsdException w:qFormat="1" w:uiPriority="99" w:semiHidden="0" w:name="HTML Variable" w:locked="1"/>
    <w:lsdException w:qFormat="1" w:uiPriority="99" w:name="Normal Table"/>
    <w:lsdException w:uiPriority="99" w:name="annotation subject" w:locked="1"/>
    <w:lsdException w:uiPriority="99" w:name="Table Simple 1" w:locked="1"/>
    <w:lsdException w:uiPriority="99" w:name="Table Simple 2" w:locked="1"/>
    <w:lsdException w:uiPriority="99" w:name="Table Simple 3" w:locked="1"/>
    <w:lsdException w:uiPriority="99" w:name="Table Classic 1" w:locked="1"/>
    <w:lsdException w:uiPriority="99" w:name="Table Classic 2" w:locked="1"/>
    <w:lsdException w:uiPriority="99" w:name="Table Classic 3" w:locked="1"/>
    <w:lsdException w:uiPriority="99" w:name="Table Classic 4" w:locked="1"/>
    <w:lsdException w:uiPriority="99" w:name="Table Colorful 1" w:locked="1"/>
    <w:lsdException w:uiPriority="99" w:name="Table Colorful 2" w:locked="1"/>
    <w:lsdException w:uiPriority="99" w:name="Table Colorful 3" w:locked="1"/>
    <w:lsdException w:uiPriority="99" w:name="Table Columns 1" w:locked="1"/>
    <w:lsdException w:uiPriority="99" w:name="Table Columns 2" w:locked="1"/>
    <w:lsdException w:uiPriority="99" w:name="Table Columns 3" w:locked="1"/>
    <w:lsdException w:uiPriority="99" w:name="Table Columns 4" w:locked="1"/>
    <w:lsdException w:uiPriority="99" w:name="Table Columns 5" w:locked="1"/>
    <w:lsdException w:uiPriority="99" w:name="Table Grid 1" w:locked="1"/>
    <w:lsdException w:uiPriority="99" w:name="Table Grid 2" w:locked="1"/>
    <w:lsdException w:uiPriority="99" w:name="Table Grid 3" w:locked="1"/>
    <w:lsdException w:uiPriority="99" w:name="Table Grid 4" w:locked="1"/>
    <w:lsdException w:uiPriority="99" w:name="Table Grid 5" w:locked="1"/>
    <w:lsdException w:uiPriority="99" w:name="Table Grid 6" w:locked="1"/>
    <w:lsdException w:uiPriority="99" w:name="Table Grid 7" w:locked="1"/>
    <w:lsdException w:uiPriority="99" w:name="Table Grid 8" w:locked="1"/>
    <w:lsdException w:uiPriority="99" w:name="Table List 1" w:locked="1"/>
    <w:lsdException w:uiPriority="99" w:name="Table List 2" w:locked="1"/>
    <w:lsdException w:uiPriority="99" w:name="Table List 3" w:locked="1"/>
    <w:lsdException w:uiPriority="99" w:name="Table List 4" w:locked="1"/>
    <w:lsdException w:uiPriority="99" w:name="Table List 5" w:locked="1"/>
    <w:lsdException w:uiPriority="99" w:name="Table List 6" w:locked="1"/>
    <w:lsdException w:uiPriority="99" w:name="Table List 7" w:locked="1"/>
    <w:lsdException w:uiPriority="99" w:name="Table List 8" w:locked="1"/>
    <w:lsdException w:uiPriority="99" w:name="Table 3D effects 1" w:locked="1"/>
    <w:lsdException w:uiPriority="99" w:name="Table 3D effects 2" w:locked="1"/>
    <w:lsdException w:uiPriority="99" w:name="Table 3D effects 3" w:locked="1"/>
    <w:lsdException w:uiPriority="99" w:name="Table Contemporary" w:locked="1"/>
    <w:lsdException w:uiPriority="99" w:name="Table Elegant" w:locked="1"/>
    <w:lsdException w:uiPriority="99" w:name="Table Professional" w:locked="1"/>
    <w:lsdException w:uiPriority="99" w:name="Table Subtle 1" w:locked="1"/>
    <w:lsdException w:uiPriority="99" w:name="Table Subtle 2" w:locked="1"/>
    <w:lsdException w:uiPriority="99" w:name="Table Web 1" w:locked="1"/>
    <w:lsdException w:uiPriority="99" w:name="Table Web 2" w:locked="1"/>
    <w:lsdException w:uiPriority="99" w:name="Table Web 3" w:locked="1"/>
    <w:lsdException w:qFormat="1" w:unhideWhenUsed="0" w:uiPriority="99" w:semiHidden="0" w:name="Balloon Text"/>
    <w:lsdException w:qFormat="1" w:unhideWhenUsed="0" w:uiPriority="0" w:semiHidden="0" w:name="Table Grid" w:locked="1"/>
    <w:lsdException w:uiPriority="99" w:name="Table Theme" w:locked="1"/>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6">
    <w:name w:val="heading 1"/>
    <w:basedOn w:val="1"/>
    <w:next w:val="1"/>
    <w:link w:val="51"/>
    <w:qFormat/>
    <w:uiPriority w:val="99"/>
    <w:pPr>
      <w:spacing w:line="360" w:lineRule="auto"/>
      <w:jc w:val="center"/>
      <w:outlineLvl w:val="0"/>
    </w:pPr>
    <w:rPr>
      <w:b/>
      <w:bCs/>
      <w:kern w:val="44"/>
      <w:sz w:val="44"/>
      <w:szCs w:val="44"/>
    </w:rPr>
  </w:style>
  <w:style w:type="paragraph" w:styleId="7">
    <w:name w:val="heading 2"/>
    <w:basedOn w:val="1"/>
    <w:next w:val="1"/>
    <w:link w:val="52"/>
    <w:qFormat/>
    <w:uiPriority w:val="99"/>
    <w:pPr>
      <w:keepNext/>
      <w:keepLines/>
      <w:spacing w:before="260" w:after="260" w:line="360" w:lineRule="auto"/>
      <w:jc w:val="center"/>
      <w:outlineLvl w:val="1"/>
    </w:pPr>
    <w:rPr>
      <w:rFonts w:ascii="Cambria" w:hAnsi="Cambria"/>
      <w:b/>
      <w:bCs/>
      <w:kern w:val="0"/>
      <w:sz w:val="32"/>
      <w:szCs w:val="32"/>
    </w:rPr>
  </w:style>
  <w:style w:type="paragraph" w:styleId="8">
    <w:name w:val="heading 3"/>
    <w:basedOn w:val="1"/>
    <w:next w:val="1"/>
    <w:link w:val="53"/>
    <w:qFormat/>
    <w:uiPriority w:val="99"/>
    <w:pPr>
      <w:spacing w:line="360" w:lineRule="auto"/>
      <w:ind w:firstLine="482" w:firstLineChars="200"/>
      <w:outlineLvl w:val="2"/>
    </w:pPr>
    <w:rPr>
      <w:b/>
      <w:bCs/>
      <w:kern w:val="0"/>
      <w:sz w:val="32"/>
      <w:szCs w:val="32"/>
    </w:rPr>
  </w:style>
  <w:style w:type="paragraph" w:styleId="9">
    <w:name w:val="heading 4"/>
    <w:basedOn w:val="1"/>
    <w:next w:val="1"/>
    <w:link w:val="54"/>
    <w:qFormat/>
    <w:uiPriority w:val="99"/>
    <w:pPr>
      <w:keepNext/>
      <w:keepLines/>
      <w:spacing w:before="280" w:after="290" w:line="376" w:lineRule="auto"/>
      <w:outlineLvl w:val="3"/>
    </w:pPr>
    <w:rPr>
      <w:rFonts w:ascii="Cambria" w:hAnsi="Cambria"/>
      <w:b/>
      <w:bCs/>
      <w:kern w:val="0"/>
      <w:sz w:val="28"/>
      <w:szCs w:val="28"/>
    </w:rPr>
  </w:style>
  <w:style w:type="paragraph" w:styleId="10">
    <w:name w:val="heading 5"/>
    <w:basedOn w:val="1"/>
    <w:next w:val="1"/>
    <w:link w:val="55"/>
    <w:qFormat/>
    <w:uiPriority w:val="99"/>
    <w:pPr>
      <w:keepNext/>
      <w:keepLines/>
      <w:spacing w:before="280" w:after="290" w:line="376" w:lineRule="auto"/>
      <w:outlineLvl w:val="4"/>
    </w:pPr>
    <w:rPr>
      <w:b/>
      <w:bCs/>
      <w:kern w:val="0"/>
      <w:sz w:val="28"/>
      <w:szCs w:val="28"/>
    </w:rPr>
  </w:style>
  <w:style w:type="paragraph" w:styleId="11">
    <w:name w:val="heading 6"/>
    <w:basedOn w:val="1"/>
    <w:next w:val="1"/>
    <w:link w:val="56"/>
    <w:qFormat/>
    <w:uiPriority w:val="99"/>
    <w:pPr>
      <w:keepNext/>
      <w:keepLines/>
      <w:spacing w:before="240" w:after="64" w:line="320" w:lineRule="auto"/>
      <w:outlineLvl w:val="5"/>
    </w:pPr>
    <w:rPr>
      <w:rFonts w:ascii="Cambria" w:hAnsi="Cambria"/>
      <w:b/>
      <w:bCs/>
      <w:kern w:val="0"/>
      <w:sz w:val="24"/>
    </w:rPr>
  </w:style>
  <w:style w:type="paragraph" w:styleId="12">
    <w:name w:val="heading 7"/>
    <w:basedOn w:val="1"/>
    <w:next w:val="1"/>
    <w:link w:val="57"/>
    <w:qFormat/>
    <w:uiPriority w:val="99"/>
    <w:pPr>
      <w:keepNext/>
      <w:keepLines/>
      <w:spacing w:before="240" w:after="64" w:line="320" w:lineRule="auto"/>
      <w:outlineLvl w:val="6"/>
    </w:pPr>
    <w:rPr>
      <w:b/>
      <w:bCs/>
      <w:kern w:val="0"/>
      <w:sz w:val="24"/>
    </w:rPr>
  </w:style>
  <w:style w:type="paragraph" w:styleId="13">
    <w:name w:val="heading 8"/>
    <w:basedOn w:val="1"/>
    <w:next w:val="1"/>
    <w:link w:val="58"/>
    <w:qFormat/>
    <w:uiPriority w:val="99"/>
    <w:pPr>
      <w:keepNext/>
      <w:keepLines/>
      <w:spacing w:before="240" w:after="64" w:line="320" w:lineRule="auto"/>
      <w:outlineLvl w:val="7"/>
    </w:pPr>
    <w:rPr>
      <w:rFonts w:ascii="Cambria" w:hAnsi="Cambria"/>
      <w:kern w:val="0"/>
      <w:sz w:val="24"/>
    </w:rPr>
  </w:style>
  <w:style w:type="paragraph" w:styleId="14">
    <w:name w:val="heading 9"/>
    <w:basedOn w:val="1"/>
    <w:next w:val="1"/>
    <w:link w:val="59"/>
    <w:qFormat/>
    <w:uiPriority w:val="99"/>
    <w:pPr>
      <w:keepNext/>
      <w:keepLines/>
      <w:spacing w:before="240" w:after="64" w:line="320" w:lineRule="auto"/>
      <w:outlineLvl w:val="8"/>
    </w:pPr>
    <w:rPr>
      <w:rFonts w:ascii="Cambria" w:hAnsi="Cambria"/>
      <w:kern w:val="0"/>
      <w:szCs w:val="21"/>
    </w:rPr>
  </w:style>
  <w:style w:type="character" w:default="1" w:styleId="39">
    <w:name w:val="Default Paragraph Font"/>
    <w:semiHidden/>
    <w:unhideWhenUsed/>
    <w:qFormat/>
    <w:uiPriority w:val="1"/>
  </w:style>
  <w:style w:type="table" w:default="1" w:styleId="37">
    <w:name w:val="Normal Table"/>
    <w:semiHidden/>
    <w:unhideWhenUsed/>
    <w:qFormat/>
    <w:uiPriority w:val="99"/>
    <w:tblPr>
      <w:tblCellMar>
        <w:top w:w="0" w:type="dxa"/>
        <w:left w:w="108" w:type="dxa"/>
        <w:bottom w:w="0" w:type="dxa"/>
        <w:right w:w="108" w:type="dxa"/>
      </w:tblCellMar>
    </w:tblPr>
  </w:style>
  <w:style w:type="paragraph" w:styleId="2">
    <w:name w:val="Body Text First Indent"/>
    <w:basedOn w:val="3"/>
    <w:unhideWhenUsed/>
    <w:qFormat/>
    <w:locked/>
    <w:uiPriority w:val="99"/>
    <w:pPr>
      <w:tabs>
        <w:tab w:val="left" w:pos="420"/>
      </w:tabs>
      <w:ind w:firstLine="420" w:firstLineChars="100"/>
    </w:pPr>
  </w:style>
  <w:style w:type="paragraph" w:styleId="3">
    <w:name w:val="Body Text"/>
    <w:basedOn w:val="1"/>
    <w:next w:val="4"/>
    <w:link w:val="62"/>
    <w:qFormat/>
    <w:uiPriority w:val="99"/>
    <w:pPr>
      <w:snapToGrid w:val="0"/>
      <w:spacing w:line="300" w:lineRule="auto"/>
    </w:pPr>
    <w:rPr>
      <w:kern w:val="0"/>
      <w:sz w:val="24"/>
    </w:rPr>
  </w:style>
  <w:style w:type="paragraph" w:customStyle="1" w:styleId="4">
    <w:name w:val="Default"/>
    <w:next w:val="5"/>
    <w:qFormat/>
    <w:uiPriority w:val="0"/>
    <w:pPr>
      <w:widowControl w:val="0"/>
      <w:autoSpaceDE w:val="0"/>
      <w:autoSpaceDN w:val="0"/>
      <w:adjustRightInd w:val="0"/>
    </w:pPr>
    <w:rPr>
      <w:rFonts w:ascii="Arial" w:hAnsi="Arial" w:eastAsia="宋体" w:cs="Arial"/>
      <w:color w:val="000000"/>
      <w:kern w:val="0"/>
      <w:sz w:val="24"/>
      <w:szCs w:val="24"/>
      <w:lang w:val="en-US" w:eastAsia="zh-CN" w:bidi="ar-SA"/>
    </w:rPr>
  </w:style>
  <w:style w:type="paragraph" w:styleId="5">
    <w:name w:val="index 5"/>
    <w:basedOn w:val="1"/>
    <w:next w:val="1"/>
    <w:qFormat/>
    <w:locked/>
    <w:uiPriority w:val="0"/>
    <w:pPr>
      <w:ind w:left="1680"/>
    </w:pPr>
  </w:style>
  <w:style w:type="paragraph" w:styleId="15">
    <w:name w:val="Note Heading"/>
    <w:basedOn w:val="1"/>
    <w:next w:val="1"/>
    <w:link w:val="60"/>
    <w:qFormat/>
    <w:uiPriority w:val="99"/>
    <w:pPr>
      <w:jc w:val="center"/>
    </w:pPr>
    <w:rPr>
      <w:kern w:val="0"/>
      <w:sz w:val="24"/>
    </w:rPr>
  </w:style>
  <w:style w:type="paragraph" w:styleId="16">
    <w:name w:val="Normal Indent"/>
    <w:basedOn w:val="1"/>
    <w:qFormat/>
    <w:uiPriority w:val="99"/>
    <w:pPr>
      <w:spacing w:after="120" w:line="360" w:lineRule="auto"/>
      <w:ind w:firstLine="420"/>
    </w:pPr>
    <w:rPr>
      <w:sz w:val="24"/>
      <w:szCs w:val="20"/>
    </w:rPr>
  </w:style>
  <w:style w:type="paragraph" w:styleId="17">
    <w:name w:val="caption"/>
    <w:basedOn w:val="1"/>
    <w:next w:val="1"/>
    <w:semiHidden/>
    <w:unhideWhenUsed/>
    <w:qFormat/>
    <w:locked/>
    <w:uiPriority w:val="35"/>
    <w:rPr>
      <w:rFonts w:ascii="Cambria" w:hAnsi="Cambria" w:eastAsia="黑体"/>
      <w:sz w:val="20"/>
      <w:szCs w:val="20"/>
    </w:rPr>
  </w:style>
  <w:style w:type="paragraph" w:styleId="18">
    <w:name w:val="Document Map"/>
    <w:basedOn w:val="1"/>
    <w:link w:val="61"/>
    <w:semiHidden/>
    <w:qFormat/>
    <w:locked/>
    <w:uiPriority w:val="99"/>
    <w:rPr>
      <w:rFonts w:ascii="宋体"/>
      <w:sz w:val="18"/>
      <w:szCs w:val="18"/>
    </w:rPr>
  </w:style>
  <w:style w:type="paragraph" w:styleId="19">
    <w:name w:val="annotation text"/>
    <w:basedOn w:val="1"/>
    <w:unhideWhenUsed/>
    <w:qFormat/>
    <w:locked/>
    <w:uiPriority w:val="99"/>
    <w:pPr>
      <w:jc w:val="left"/>
    </w:pPr>
  </w:style>
  <w:style w:type="paragraph" w:styleId="20">
    <w:name w:val="Body Text Indent"/>
    <w:basedOn w:val="1"/>
    <w:link w:val="63"/>
    <w:qFormat/>
    <w:uiPriority w:val="99"/>
    <w:pPr>
      <w:spacing w:line="460" w:lineRule="exact"/>
      <w:ind w:firstLine="570"/>
    </w:pPr>
    <w:rPr>
      <w:kern w:val="0"/>
      <w:sz w:val="24"/>
    </w:rPr>
  </w:style>
  <w:style w:type="paragraph" w:styleId="21">
    <w:name w:val="toc 3"/>
    <w:basedOn w:val="1"/>
    <w:next w:val="1"/>
    <w:qFormat/>
    <w:uiPriority w:val="99"/>
    <w:pPr>
      <w:ind w:left="840" w:leftChars="400"/>
    </w:pPr>
  </w:style>
  <w:style w:type="paragraph" w:styleId="22">
    <w:name w:val="Plain Text"/>
    <w:basedOn w:val="1"/>
    <w:link w:val="64"/>
    <w:qFormat/>
    <w:uiPriority w:val="99"/>
    <w:pPr>
      <w:adjustRightInd w:val="0"/>
      <w:spacing w:line="335" w:lineRule="atLeast"/>
      <w:textAlignment w:val="baseline"/>
    </w:pPr>
    <w:rPr>
      <w:rFonts w:ascii="宋体" w:hAnsi="Courier New"/>
      <w:kern w:val="0"/>
      <w:szCs w:val="21"/>
    </w:rPr>
  </w:style>
  <w:style w:type="paragraph" w:styleId="23">
    <w:name w:val="Date"/>
    <w:basedOn w:val="1"/>
    <w:next w:val="1"/>
    <w:link w:val="65"/>
    <w:qFormat/>
    <w:uiPriority w:val="99"/>
    <w:pPr>
      <w:ind w:left="100" w:leftChars="2500"/>
    </w:pPr>
    <w:rPr>
      <w:kern w:val="0"/>
      <w:sz w:val="24"/>
    </w:rPr>
  </w:style>
  <w:style w:type="paragraph" w:styleId="24">
    <w:name w:val="Body Text Indent 2"/>
    <w:basedOn w:val="1"/>
    <w:link w:val="66"/>
    <w:qFormat/>
    <w:uiPriority w:val="99"/>
    <w:pPr>
      <w:spacing w:line="460" w:lineRule="exact"/>
      <w:ind w:firstLine="570"/>
    </w:pPr>
    <w:rPr>
      <w:kern w:val="0"/>
      <w:sz w:val="24"/>
    </w:rPr>
  </w:style>
  <w:style w:type="paragraph" w:styleId="25">
    <w:name w:val="Balloon Text"/>
    <w:basedOn w:val="1"/>
    <w:link w:val="67"/>
    <w:qFormat/>
    <w:uiPriority w:val="99"/>
    <w:rPr>
      <w:kern w:val="0"/>
      <w:sz w:val="16"/>
      <w:szCs w:val="16"/>
    </w:rPr>
  </w:style>
  <w:style w:type="paragraph" w:styleId="26">
    <w:name w:val="footer"/>
    <w:basedOn w:val="1"/>
    <w:link w:val="68"/>
    <w:qFormat/>
    <w:uiPriority w:val="99"/>
    <w:pPr>
      <w:tabs>
        <w:tab w:val="center" w:pos="4153"/>
        <w:tab w:val="right" w:pos="8306"/>
      </w:tabs>
      <w:snapToGrid w:val="0"/>
      <w:jc w:val="left"/>
    </w:pPr>
    <w:rPr>
      <w:kern w:val="0"/>
      <w:sz w:val="18"/>
      <w:szCs w:val="18"/>
    </w:rPr>
  </w:style>
  <w:style w:type="paragraph" w:styleId="27">
    <w:name w:val="header"/>
    <w:basedOn w:val="1"/>
    <w:link w:val="69"/>
    <w:qFormat/>
    <w:uiPriority w:val="99"/>
    <w:pPr>
      <w:tabs>
        <w:tab w:val="center" w:pos="4153"/>
        <w:tab w:val="right" w:pos="8306"/>
      </w:tabs>
      <w:snapToGrid w:val="0"/>
      <w:jc w:val="center"/>
    </w:pPr>
    <w:rPr>
      <w:kern w:val="0"/>
      <w:sz w:val="18"/>
      <w:szCs w:val="18"/>
    </w:rPr>
  </w:style>
  <w:style w:type="paragraph" w:styleId="28">
    <w:name w:val="toc 1"/>
    <w:basedOn w:val="1"/>
    <w:next w:val="1"/>
    <w:qFormat/>
    <w:uiPriority w:val="99"/>
    <w:pPr>
      <w:tabs>
        <w:tab w:val="right" w:leader="dot" w:pos="9344"/>
      </w:tabs>
    </w:pPr>
  </w:style>
  <w:style w:type="paragraph" w:styleId="29">
    <w:name w:val="Body Text Indent 3"/>
    <w:basedOn w:val="1"/>
    <w:link w:val="70"/>
    <w:qFormat/>
    <w:uiPriority w:val="99"/>
    <w:pPr>
      <w:spacing w:after="120"/>
      <w:ind w:left="420"/>
    </w:pPr>
    <w:rPr>
      <w:kern w:val="0"/>
      <w:sz w:val="16"/>
      <w:szCs w:val="16"/>
    </w:rPr>
  </w:style>
  <w:style w:type="paragraph" w:styleId="30">
    <w:name w:val="toc 2"/>
    <w:basedOn w:val="1"/>
    <w:next w:val="1"/>
    <w:qFormat/>
    <w:uiPriority w:val="99"/>
    <w:pPr>
      <w:ind w:left="420" w:leftChars="200"/>
    </w:pPr>
  </w:style>
  <w:style w:type="paragraph" w:styleId="31">
    <w:name w:val="HTML Preformatted"/>
    <w:basedOn w:val="1"/>
    <w:unhideWhenUsed/>
    <w:qFormat/>
    <w:locked/>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黑体" w:hAnsi="Courier New" w:eastAsia="黑体" w:cs="Courier New"/>
      <w:kern w:val="0"/>
      <w:sz w:val="20"/>
      <w:szCs w:val="20"/>
    </w:rPr>
  </w:style>
  <w:style w:type="paragraph" w:styleId="32">
    <w:name w:val="Normal (Web)"/>
    <w:basedOn w:val="1"/>
    <w:next w:val="4"/>
    <w:qFormat/>
    <w:uiPriority w:val="99"/>
    <w:pPr>
      <w:widowControl/>
      <w:spacing w:before="100" w:beforeAutospacing="1" w:after="100" w:afterAutospacing="1"/>
      <w:jc w:val="left"/>
    </w:pPr>
    <w:rPr>
      <w:rFonts w:ascii="宋体" w:hAnsi="宋体" w:cs="宋体"/>
      <w:kern w:val="0"/>
      <w:sz w:val="24"/>
    </w:rPr>
  </w:style>
  <w:style w:type="paragraph" w:styleId="33">
    <w:name w:val="index 1"/>
    <w:basedOn w:val="1"/>
    <w:next w:val="1"/>
    <w:qFormat/>
    <w:uiPriority w:val="99"/>
  </w:style>
  <w:style w:type="paragraph" w:styleId="34">
    <w:name w:val="index 2"/>
    <w:basedOn w:val="1"/>
    <w:next w:val="1"/>
    <w:qFormat/>
    <w:uiPriority w:val="99"/>
    <w:pPr>
      <w:ind w:left="200" w:leftChars="200"/>
    </w:pPr>
  </w:style>
  <w:style w:type="paragraph" w:styleId="35">
    <w:name w:val="Title"/>
    <w:basedOn w:val="1"/>
    <w:next w:val="1"/>
    <w:link w:val="71"/>
    <w:qFormat/>
    <w:uiPriority w:val="99"/>
    <w:pPr>
      <w:spacing w:before="240" w:after="60"/>
      <w:jc w:val="center"/>
      <w:outlineLvl w:val="0"/>
    </w:pPr>
    <w:rPr>
      <w:rFonts w:ascii="Cambria" w:hAnsi="Cambria"/>
      <w:b/>
      <w:bCs/>
      <w:sz w:val="32"/>
      <w:szCs w:val="32"/>
    </w:rPr>
  </w:style>
  <w:style w:type="paragraph" w:styleId="36">
    <w:name w:val="Body Text First Indent 2"/>
    <w:basedOn w:val="20"/>
    <w:qFormat/>
    <w:locked/>
    <w:uiPriority w:val="0"/>
    <w:pPr>
      <w:spacing w:after="120" w:line="240" w:lineRule="auto"/>
      <w:ind w:left="420" w:leftChars="200" w:firstLine="420" w:firstLineChars="200"/>
    </w:pPr>
    <w:rPr>
      <w:sz w:val="21"/>
    </w:rPr>
  </w:style>
  <w:style w:type="table" w:styleId="38">
    <w:name w:val="Table Grid"/>
    <w:basedOn w:val="37"/>
    <w:qFormat/>
    <w:locked/>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40">
    <w:name w:val="Strong"/>
    <w:qFormat/>
    <w:uiPriority w:val="99"/>
    <w:rPr>
      <w:rFonts w:cs="Times New Roman"/>
      <w:b/>
      <w:bCs/>
    </w:rPr>
  </w:style>
  <w:style w:type="character" w:styleId="41">
    <w:name w:val="page number"/>
    <w:basedOn w:val="39"/>
    <w:qFormat/>
    <w:uiPriority w:val="99"/>
    <w:rPr>
      <w:rFonts w:cs="Times New Roman"/>
    </w:rPr>
  </w:style>
  <w:style w:type="character" w:styleId="42">
    <w:name w:val="FollowedHyperlink"/>
    <w:qFormat/>
    <w:uiPriority w:val="99"/>
    <w:rPr>
      <w:rFonts w:cs="Times New Roman"/>
      <w:color w:val="800080"/>
      <w:u w:val="single"/>
    </w:rPr>
  </w:style>
  <w:style w:type="character" w:styleId="43">
    <w:name w:val="Emphasis"/>
    <w:basedOn w:val="39"/>
    <w:qFormat/>
    <w:locked/>
    <w:uiPriority w:val="20"/>
  </w:style>
  <w:style w:type="character" w:styleId="44">
    <w:name w:val="HTML Definition"/>
    <w:basedOn w:val="39"/>
    <w:unhideWhenUsed/>
    <w:qFormat/>
    <w:locked/>
    <w:uiPriority w:val="99"/>
  </w:style>
  <w:style w:type="character" w:styleId="45">
    <w:name w:val="HTML Acronym"/>
    <w:basedOn w:val="39"/>
    <w:unhideWhenUsed/>
    <w:qFormat/>
    <w:locked/>
    <w:uiPriority w:val="99"/>
  </w:style>
  <w:style w:type="character" w:styleId="46">
    <w:name w:val="HTML Variable"/>
    <w:basedOn w:val="39"/>
    <w:unhideWhenUsed/>
    <w:qFormat/>
    <w:locked/>
    <w:uiPriority w:val="99"/>
  </w:style>
  <w:style w:type="character" w:styleId="47">
    <w:name w:val="Hyperlink"/>
    <w:basedOn w:val="39"/>
    <w:qFormat/>
    <w:uiPriority w:val="99"/>
    <w:rPr>
      <w:rFonts w:ascii="Times New Roman" w:cs="Times New Roman"/>
      <w:color w:val="0000FF"/>
      <w:u w:val="single"/>
    </w:rPr>
  </w:style>
  <w:style w:type="character" w:styleId="48">
    <w:name w:val="HTML Code"/>
    <w:unhideWhenUsed/>
    <w:qFormat/>
    <w:locked/>
    <w:uiPriority w:val="99"/>
    <w:rPr>
      <w:rFonts w:ascii="Courier New" w:hAnsi="Courier New"/>
      <w:sz w:val="20"/>
    </w:rPr>
  </w:style>
  <w:style w:type="character" w:styleId="49">
    <w:name w:val="HTML Cite"/>
    <w:basedOn w:val="39"/>
    <w:unhideWhenUsed/>
    <w:qFormat/>
    <w:locked/>
    <w:uiPriority w:val="99"/>
  </w:style>
  <w:style w:type="paragraph" w:customStyle="1" w:styleId="50">
    <w:name w:val="Char1"/>
    <w:basedOn w:val="1"/>
    <w:qFormat/>
    <w:uiPriority w:val="0"/>
  </w:style>
  <w:style w:type="character" w:customStyle="1" w:styleId="51">
    <w:name w:val="标题 1 Char"/>
    <w:link w:val="6"/>
    <w:qFormat/>
    <w:locked/>
    <w:uiPriority w:val="99"/>
    <w:rPr>
      <w:rFonts w:cs="Times New Roman"/>
      <w:b/>
      <w:bCs/>
      <w:kern w:val="44"/>
      <w:sz w:val="44"/>
      <w:szCs w:val="44"/>
    </w:rPr>
  </w:style>
  <w:style w:type="character" w:customStyle="1" w:styleId="52">
    <w:name w:val="标题 2 Char"/>
    <w:link w:val="7"/>
    <w:semiHidden/>
    <w:qFormat/>
    <w:locked/>
    <w:uiPriority w:val="99"/>
    <w:rPr>
      <w:rFonts w:ascii="Cambria" w:hAnsi="Cambria" w:eastAsia="宋体" w:cs="黑体"/>
      <w:b/>
      <w:bCs/>
      <w:sz w:val="32"/>
      <w:szCs w:val="32"/>
    </w:rPr>
  </w:style>
  <w:style w:type="character" w:customStyle="1" w:styleId="53">
    <w:name w:val="标题 3 Char"/>
    <w:link w:val="8"/>
    <w:semiHidden/>
    <w:qFormat/>
    <w:locked/>
    <w:uiPriority w:val="99"/>
    <w:rPr>
      <w:rFonts w:cs="Times New Roman"/>
      <w:b/>
      <w:bCs/>
      <w:sz w:val="32"/>
      <w:szCs w:val="32"/>
    </w:rPr>
  </w:style>
  <w:style w:type="character" w:customStyle="1" w:styleId="54">
    <w:name w:val="标题 4 Char"/>
    <w:link w:val="9"/>
    <w:semiHidden/>
    <w:qFormat/>
    <w:locked/>
    <w:uiPriority w:val="99"/>
    <w:rPr>
      <w:rFonts w:ascii="Cambria" w:hAnsi="Cambria" w:eastAsia="宋体" w:cs="黑体"/>
      <w:b/>
      <w:bCs/>
      <w:sz w:val="28"/>
      <w:szCs w:val="28"/>
    </w:rPr>
  </w:style>
  <w:style w:type="character" w:customStyle="1" w:styleId="55">
    <w:name w:val="标题 5 Char"/>
    <w:link w:val="10"/>
    <w:semiHidden/>
    <w:qFormat/>
    <w:locked/>
    <w:uiPriority w:val="99"/>
    <w:rPr>
      <w:rFonts w:cs="Times New Roman"/>
      <w:b/>
      <w:bCs/>
      <w:sz w:val="28"/>
      <w:szCs w:val="28"/>
    </w:rPr>
  </w:style>
  <w:style w:type="character" w:customStyle="1" w:styleId="56">
    <w:name w:val="标题 6 Char"/>
    <w:link w:val="11"/>
    <w:semiHidden/>
    <w:qFormat/>
    <w:locked/>
    <w:uiPriority w:val="99"/>
    <w:rPr>
      <w:rFonts w:ascii="Cambria" w:hAnsi="Cambria" w:eastAsia="宋体" w:cs="黑体"/>
      <w:b/>
      <w:bCs/>
      <w:sz w:val="24"/>
      <w:szCs w:val="24"/>
    </w:rPr>
  </w:style>
  <w:style w:type="character" w:customStyle="1" w:styleId="57">
    <w:name w:val="标题 7 Char"/>
    <w:link w:val="12"/>
    <w:semiHidden/>
    <w:qFormat/>
    <w:locked/>
    <w:uiPriority w:val="99"/>
    <w:rPr>
      <w:rFonts w:cs="Times New Roman"/>
      <w:b/>
      <w:bCs/>
      <w:sz w:val="24"/>
      <w:szCs w:val="24"/>
    </w:rPr>
  </w:style>
  <w:style w:type="character" w:customStyle="1" w:styleId="58">
    <w:name w:val="标题 8 Char"/>
    <w:link w:val="13"/>
    <w:semiHidden/>
    <w:qFormat/>
    <w:locked/>
    <w:uiPriority w:val="99"/>
    <w:rPr>
      <w:rFonts w:ascii="Cambria" w:hAnsi="Cambria" w:eastAsia="宋体" w:cs="黑体"/>
      <w:sz w:val="24"/>
      <w:szCs w:val="24"/>
    </w:rPr>
  </w:style>
  <w:style w:type="character" w:customStyle="1" w:styleId="59">
    <w:name w:val="标题 9 Char"/>
    <w:link w:val="14"/>
    <w:semiHidden/>
    <w:qFormat/>
    <w:locked/>
    <w:uiPriority w:val="99"/>
    <w:rPr>
      <w:rFonts w:ascii="Cambria" w:hAnsi="Cambria" w:eastAsia="宋体" w:cs="黑体"/>
      <w:sz w:val="21"/>
      <w:szCs w:val="21"/>
    </w:rPr>
  </w:style>
  <w:style w:type="character" w:customStyle="1" w:styleId="60">
    <w:name w:val="注释标题 Char"/>
    <w:link w:val="15"/>
    <w:semiHidden/>
    <w:qFormat/>
    <w:locked/>
    <w:uiPriority w:val="99"/>
    <w:rPr>
      <w:rFonts w:cs="Times New Roman"/>
      <w:sz w:val="24"/>
      <w:szCs w:val="24"/>
    </w:rPr>
  </w:style>
  <w:style w:type="character" w:customStyle="1" w:styleId="61">
    <w:name w:val="文档结构图 Char"/>
    <w:link w:val="18"/>
    <w:semiHidden/>
    <w:qFormat/>
    <w:locked/>
    <w:uiPriority w:val="99"/>
    <w:rPr>
      <w:rFonts w:ascii="宋体" w:cs="Times New Roman"/>
      <w:kern w:val="2"/>
      <w:sz w:val="18"/>
      <w:szCs w:val="18"/>
    </w:rPr>
  </w:style>
  <w:style w:type="character" w:customStyle="1" w:styleId="62">
    <w:name w:val="正文文本 Char"/>
    <w:link w:val="3"/>
    <w:semiHidden/>
    <w:qFormat/>
    <w:locked/>
    <w:uiPriority w:val="99"/>
    <w:rPr>
      <w:rFonts w:cs="Times New Roman"/>
      <w:sz w:val="24"/>
      <w:szCs w:val="24"/>
    </w:rPr>
  </w:style>
  <w:style w:type="character" w:customStyle="1" w:styleId="63">
    <w:name w:val="正文文本缩进 Char"/>
    <w:link w:val="20"/>
    <w:semiHidden/>
    <w:qFormat/>
    <w:locked/>
    <w:uiPriority w:val="99"/>
    <w:rPr>
      <w:rFonts w:cs="Times New Roman"/>
      <w:sz w:val="24"/>
      <w:szCs w:val="24"/>
    </w:rPr>
  </w:style>
  <w:style w:type="character" w:customStyle="1" w:styleId="64">
    <w:name w:val="纯文本 Char"/>
    <w:link w:val="22"/>
    <w:semiHidden/>
    <w:qFormat/>
    <w:locked/>
    <w:uiPriority w:val="99"/>
    <w:rPr>
      <w:rFonts w:ascii="宋体" w:hAnsi="Courier New" w:cs="Courier New"/>
      <w:sz w:val="21"/>
      <w:szCs w:val="21"/>
    </w:rPr>
  </w:style>
  <w:style w:type="character" w:customStyle="1" w:styleId="65">
    <w:name w:val="日期 Char"/>
    <w:link w:val="23"/>
    <w:semiHidden/>
    <w:qFormat/>
    <w:locked/>
    <w:uiPriority w:val="99"/>
    <w:rPr>
      <w:rFonts w:cs="Times New Roman"/>
      <w:sz w:val="24"/>
      <w:szCs w:val="24"/>
    </w:rPr>
  </w:style>
  <w:style w:type="character" w:customStyle="1" w:styleId="66">
    <w:name w:val="正文文本缩进 2 Char"/>
    <w:link w:val="24"/>
    <w:semiHidden/>
    <w:qFormat/>
    <w:locked/>
    <w:uiPriority w:val="99"/>
    <w:rPr>
      <w:rFonts w:cs="Times New Roman"/>
      <w:sz w:val="24"/>
      <w:szCs w:val="24"/>
    </w:rPr>
  </w:style>
  <w:style w:type="character" w:customStyle="1" w:styleId="67">
    <w:name w:val="批注框文本 Char"/>
    <w:link w:val="25"/>
    <w:semiHidden/>
    <w:qFormat/>
    <w:locked/>
    <w:uiPriority w:val="99"/>
    <w:rPr>
      <w:rFonts w:cs="Times New Roman"/>
      <w:sz w:val="16"/>
      <w:szCs w:val="16"/>
    </w:rPr>
  </w:style>
  <w:style w:type="character" w:customStyle="1" w:styleId="68">
    <w:name w:val="页脚 Char"/>
    <w:link w:val="26"/>
    <w:semiHidden/>
    <w:qFormat/>
    <w:locked/>
    <w:uiPriority w:val="99"/>
    <w:rPr>
      <w:rFonts w:cs="Times New Roman"/>
      <w:sz w:val="18"/>
      <w:szCs w:val="18"/>
    </w:rPr>
  </w:style>
  <w:style w:type="character" w:customStyle="1" w:styleId="69">
    <w:name w:val="页眉 Char"/>
    <w:link w:val="27"/>
    <w:semiHidden/>
    <w:qFormat/>
    <w:locked/>
    <w:uiPriority w:val="99"/>
    <w:rPr>
      <w:rFonts w:cs="Times New Roman"/>
      <w:sz w:val="18"/>
      <w:szCs w:val="18"/>
    </w:rPr>
  </w:style>
  <w:style w:type="character" w:customStyle="1" w:styleId="70">
    <w:name w:val="正文文本缩进 3 Char"/>
    <w:link w:val="29"/>
    <w:semiHidden/>
    <w:qFormat/>
    <w:locked/>
    <w:uiPriority w:val="99"/>
    <w:rPr>
      <w:rFonts w:cs="Times New Roman"/>
      <w:sz w:val="16"/>
      <w:szCs w:val="16"/>
    </w:rPr>
  </w:style>
  <w:style w:type="character" w:customStyle="1" w:styleId="71">
    <w:name w:val="标题 Char"/>
    <w:link w:val="35"/>
    <w:qFormat/>
    <w:locked/>
    <w:uiPriority w:val="99"/>
    <w:rPr>
      <w:rFonts w:ascii="Cambria" w:hAnsi="Cambria" w:cs="Times New Roman"/>
      <w:b/>
      <w:bCs/>
      <w:kern w:val="2"/>
      <w:sz w:val="32"/>
      <w:szCs w:val="32"/>
    </w:rPr>
  </w:style>
  <w:style w:type="paragraph" w:customStyle="1" w:styleId="72">
    <w:name w:val="Char Char Char Char"/>
    <w:basedOn w:val="1"/>
    <w:qFormat/>
    <w:uiPriority w:val="99"/>
    <w:pPr>
      <w:widowControl/>
      <w:spacing w:after="160" w:line="240" w:lineRule="exact"/>
      <w:jc w:val="left"/>
    </w:pPr>
    <w:rPr>
      <w:rFonts w:ascii="Verdana" w:hAnsi="Verdana"/>
      <w:kern w:val="0"/>
      <w:szCs w:val="20"/>
      <w:lang w:eastAsia="en-US"/>
    </w:rPr>
  </w:style>
  <w:style w:type="paragraph" w:customStyle="1" w:styleId="73">
    <w:name w:val="表中"/>
    <w:basedOn w:val="1"/>
    <w:qFormat/>
    <w:uiPriority w:val="99"/>
    <w:pPr>
      <w:adjustRightInd w:val="0"/>
      <w:snapToGrid w:val="0"/>
      <w:spacing w:line="420" w:lineRule="atLeast"/>
      <w:jc w:val="center"/>
      <w:textAlignment w:val="baseline"/>
    </w:pPr>
    <w:rPr>
      <w:kern w:val="0"/>
      <w:szCs w:val="20"/>
    </w:rPr>
  </w:style>
  <w:style w:type="paragraph" w:customStyle="1" w:styleId="74">
    <w:name w:val="样式1"/>
    <w:basedOn w:val="1"/>
    <w:qFormat/>
    <w:uiPriority w:val="99"/>
    <w:pPr>
      <w:tabs>
        <w:tab w:val="left" w:pos="360"/>
      </w:tabs>
    </w:pPr>
  </w:style>
  <w:style w:type="paragraph" w:customStyle="1" w:styleId="75">
    <w:name w:val="附件正文"/>
    <w:basedOn w:val="1"/>
    <w:qFormat/>
    <w:uiPriority w:val="99"/>
    <w:pPr>
      <w:snapToGrid w:val="0"/>
    </w:pPr>
    <w:rPr>
      <w:kern w:val="0"/>
      <w:sz w:val="24"/>
    </w:rPr>
  </w:style>
  <w:style w:type="paragraph" w:customStyle="1" w:styleId="76">
    <w:name w:val="列出段落1"/>
    <w:basedOn w:val="1"/>
    <w:qFormat/>
    <w:uiPriority w:val="99"/>
    <w:pPr>
      <w:ind w:firstLine="420" w:firstLineChars="200"/>
    </w:pPr>
  </w:style>
  <w:style w:type="paragraph" w:customStyle="1" w:styleId="77">
    <w:name w:val="Char"/>
    <w:basedOn w:val="1"/>
    <w:qFormat/>
    <w:uiPriority w:val="99"/>
    <w:pPr>
      <w:widowControl/>
      <w:spacing w:after="160" w:line="240" w:lineRule="exact"/>
      <w:jc w:val="left"/>
    </w:pPr>
    <w:rPr>
      <w:rFonts w:ascii="Verdana" w:hAnsi="Verdana"/>
      <w:kern w:val="0"/>
      <w:sz w:val="20"/>
      <w:szCs w:val="20"/>
      <w:lang w:eastAsia="en-US"/>
    </w:rPr>
  </w:style>
  <w:style w:type="paragraph" w:customStyle="1" w:styleId="78">
    <w:name w:val="注"/>
    <w:basedOn w:val="1"/>
    <w:qFormat/>
    <w:uiPriority w:val="99"/>
    <w:pPr>
      <w:adjustRightInd w:val="0"/>
      <w:spacing w:line="420" w:lineRule="atLeast"/>
      <w:ind w:firstLine="340"/>
      <w:textAlignment w:val="baseline"/>
    </w:pPr>
    <w:rPr>
      <w:kern w:val="0"/>
      <w:sz w:val="18"/>
      <w:szCs w:val="20"/>
    </w:rPr>
  </w:style>
  <w:style w:type="paragraph" w:customStyle="1" w:styleId="79">
    <w:name w:val="p0"/>
    <w:basedOn w:val="1"/>
    <w:qFormat/>
    <w:uiPriority w:val="99"/>
    <w:pPr>
      <w:widowControl/>
      <w:spacing w:before="100" w:beforeAutospacing="1" w:after="100" w:afterAutospacing="1"/>
      <w:jc w:val="left"/>
    </w:pPr>
    <w:rPr>
      <w:rFonts w:ascii="宋体" w:hAnsi="宋体" w:cs="宋体"/>
      <w:kern w:val="0"/>
      <w:sz w:val="24"/>
    </w:rPr>
  </w:style>
  <w:style w:type="paragraph" w:customStyle="1" w:styleId="80">
    <w:name w:val="1"/>
    <w:basedOn w:val="1"/>
    <w:next w:val="3"/>
    <w:qFormat/>
    <w:uiPriority w:val="99"/>
    <w:pPr>
      <w:autoSpaceDE w:val="0"/>
      <w:autoSpaceDN w:val="0"/>
      <w:adjustRightInd w:val="0"/>
      <w:jc w:val="left"/>
      <w:textAlignment w:val="baseline"/>
    </w:pPr>
    <w:rPr>
      <w:rFonts w:ascii="宋体"/>
      <w:kern w:val="0"/>
      <w:sz w:val="28"/>
      <w:szCs w:val="20"/>
    </w:rPr>
  </w:style>
  <w:style w:type="paragraph" w:customStyle="1" w:styleId="81">
    <w:name w:val="标题4"/>
    <w:basedOn w:val="1"/>
    <w:qFormat/>
    <w:uiPriority w:val="99"/>
    <w:pPr>
      <w:spacing w:beforeLines="100" w:afterLines="100" w:line="360" w:lineRule="auto"/>
    </w:pPr>
    <w:rPr>
      <w:sz w:val="28"/>
    </w:rPr>
  </w:style>
  <w:style w:type="paragraph" w:customStyle="1" w:styleId="82">
    <w:name w:val="Char11"/>
    <w:basedOn w:val="1"/>
    <w:qFormat/>
    <w:uiPriority w:val="99"/>
    <w:pPr>
      <w:widowControl/>
      <w:spacing w:after="160" w:line="240" w:lineRule="exact"/>
      <w:jc w:val="left"/>
    </w:pPr>
    <w:rPr>
      <w:rFonts w:ascii="Verdana" w:hAnsi="Verdana"/>
      <w:kern w:val="0"/>
      <w:sz w:val="20"/>
      <w:szCs w:val="20"/>
      <w:lang w:eastAsia="en-US"/>
    </w:rPr>
  </w:style>
  <w:style w:type="paragraph" w:customStyle="1" w:styleId="83">
    <w:name w:val="列出段落2"/>
    <w:basedOn w:val="1"/>
    <w:qFormat/>
    <w:uiPriority w:val="99"/>
    <w:pPr>
      <w:ind w:firstLine="420" w:firstLineChars="200"/>
    </w:pPr>
    <w:rPr>
      <w:rFonts w:ascii="Calibri" w:hAnsi="Calibri"/>
      <w:szCs w:val="22"/>
    </w:rPr>
  </w:style>
  <w:style w:type="paragraph" w:customStyle="1" w:styleId="84">
    <w:name w:val="列出段落3"/>
    <w:basedOn w:val="1"/>
    <w:qFormat/>
    <w:uiPriority w:val="99"/>
    <w:pPr>
      <w:ind w:firstLine="420" w:firstLineChars="200"/>
    </w:pPr>
    <w:rPr>
      <w:rFonts w:ascii="Calibri" w:hAnsi="Calibri"/>
      <w:szCs w:val="22"/>
    </w:rPr>
  </w:style>
  <w:style w:type="paragraph" w:customStyle="1" w:styleId="85">
    <w:name w:val="font5"/>
    <w:basedOn w:val="1"/>
    <w:qFormat/>
    <w:uiPriority w:val="99"/>
    <w:pPr>
      <w:widowControl/>
      <w:spacing w:before="100" w:beforeAutospacing="1" w:after="100" w:afterAutospacing="1"/>
      <w:jc w:val="left"/>
    </w:pPr>
    <w:rPr>
      <w:rFonts w:ascii="宋体" w:hAnsi="宋体" w:cs="宋体"/>
      <w:kern w:val="0"/>
      <w:sz w:val="22"/>
      <w:szCs w:val="22"/>
    </w:rPr>
  </w:style>
  <w:style w:type="paragraph" w:customStyle="1" w:styleId="86">
    <w:name w:val="font6"/>
    <w:basedOn w:val="1"/>
    <w:qFormat/>
    <w:uiPriority w:val="99"/>
    <w:pPr>
      <w:widowControl/>
      <w:spacing w:before="100" w:beforeAutospacing="1" w:after="100" w:afterAutospacing="1"/>
      <w:jc w:val="left"/>
    </w:pPr>
    <w:rPr>
      <w:rFonts w:ascii="宋体" w:hAnsi="宋体" w:cs="宋体"/>
      <w:kern w:val="0"/>
      <w:sz w:val="20"/>
      <w:szCs w:val="20"/>
    </w:rPr>
  </w:style>
  <w:style w:type="paragraph" w:customStyle="1" w:styleId="87">
    <w:name w:val="font7"/>
    <w:basedOn w:val="1"/>
    <w:qFormat/>
    <w:uiPriority w:val="99"/>
    <w:pPr>
      <w:widowControl/>
      <w:spacing w:before="100" w:beforeAutospacing="1" w:after="100" w:afterAutospacing="1"/>
      <w:jc w:val="left"/>
    </w:pPr>
    <w:rPr>
      <w:kern w:val="0"/>
      <w:sz w:val="20"/>
      <w:szCs w:val="20"/>
    </w:rPr>
  </w:style>
  <w:style w:type="paragraph" w:customStyle="1" w:styleId="88">
    <w:name w:val="font8"/>
    <w:basedOn w:val="1"/>
    <w:qFormat/>
    <w:uiPriority w:val="99"/>
    <w:pPr>
      <w:widowControl/>
      <w:spacing w:before="100" w:beforeAutospacing="1" w:after="100" w:afterAutospacing="1"/>
      <w:jc w:val="left"/>
    </w:pPr>
    <w:rPr>
      <w:rFonts w:ascii="Arial" w:hAnsi="Arial" w:cs="Arial"/>
      <w:kern w:val="0"/>
      <w:sz w:val="20"/>
      <w:szCs w:val="20"/>
    </w:rPr>
  </w:style>
  <w:style w:type="paragraph" w:customStyle="1" w:styleId="89">
    <w:name w:val="font9"/>
    <w:basedOn w:val="1"/>
    <w:qFormat/>
    <w:uiPriority w:val="99"/>
    <w:pPr>
      <w:widowControl/>
      <w:spacing w:before="100" w:beforeAutospacing="1" w:after="100" w:afterAutospacing="1"/>
      <w:jc w:val="left"/>
    </w:pPr>
    <w:rPr>
      <w:rFonts w:ascii="宋体" w:hAnsi="宋体" w:cs="宋体"/>
      <w:kern w:val="0"/>
      <w:szCs w:val="21"/>
    </w:rPr>
  </w:style>
  <w:style w:type="paragraph" w:customStyle="1" w:styleId="90">
    <w:name w:val="font10"/>
    <w:basedOn w:val="1"/>
    <w:qFormat/>
    <w:uiPriority w:val="99"/>
    <w:pPr>
      <w:widowControl/>
      <w:spacing w:before="100" w:beforeAutospacing="1" w:after="100" w:afterAutospacing="1"/>
      <w:jc w:val="left"/>
    </w:pPr>
    <w:rPr>
      <w:kern w:val="0"/>
      <w:szCs w:val="21"/>
    </w:rPr>
  </w:style>
  <w:style w:type="paragraph" w:customStyle="1" w:styleId="91">
    <w:name w:val="font11"/>
    <w:basedOn w:val="1"/>
    <w:qFormat/>
    <w:uiPriority w:val="99"/>
    <w:pPr>
      <w:widowControl/>
      <w:spacing w:before="100" w:beforeAutospacing="1" w:after="100" w:afterAutospacing="1"/>
      <w:jc w:val="left"/>
    </w:pPr>
    <w:rPr>
      <w:kern w:val="0"/>
      <w:sz w:val="22"/>
      <w:szCs w:val="22"/>
    </w:rPr>
  </w:style>
  <w:style w:type="paragraph" w:customStyle="1" w:styleId="92">
    <w:name w:val="font12"/>
    <w:basedOn w:val="1"/>
    <w:qFormat/>
    <w:uiPriority w:val="99"/>
    <w:pPr>
      <w:widowControl/>
      <w:spacing w:before="100" w:beforeAutospacing="1" w:after="100" w:afterAutospacing="1"/>
      <w:jc w:val="left"/>
    </w:pPr>
    <w:rPr>
      <w:rFonts w:ascii="宋体" w:hAnsi="宋体" w:cs="宋体"/>
      <w:color w:val="000000"/>
      <w:kern w:val="0"/>
      <w:sz w:val="18"/>
      <w:szCs w:val="18"/>
    </w:rPr>
  </w:style>
  <w:style w:type="paragraph" w:customStyle="1" w:styleId="93">
    <w:name w:val="font13"/>
    <w:basedOn w:val="1"/>
    <w:qFormat/>
    <w:uiPriority w:val="99"/>
    <w:pPr>
      <w:widowControl/>
      <w:spacing w:before="100" w:beforeAutospacing="1" w:after="100" w:afterAutospacing="1"/>
      <w:jc w:val="left"/>
    </w:pPr>
    <w:rPr>
      <w:rFonts w:ascii="宋体" w:hAnsi="宋体" w:cs="宋体"/>
      <w:kern w:val="0"/>
      <w:sz w:val="18"/>
      <w:szCs w:val="18"/>
    </w:rPr>
  </w:style>
  <w:style w:type="paragraph" w:customStyle="1" w:styleId="94">
    <w:name w:val="font14"/>
    <w:basedOn w:val="1"/>
    <w:qFormat/>
    <w:uiPriority w:val="99"/>
    <w:pPr>
      <w:widowControl/>
      <w:spacing w:before="100" w:beforeAutospacing="1" w:after="100" w:afterAutospacing="1"/>
      <w:jc w:val="left"/>
    </w:pPr>
    <w:rPr>
      <w:rFonts w:ascii="宋体" w:hAnsi="宋体" w:cs="宋体"/>
      <w:b/>
      <w:bCs/>
      <w:kern w:val="0"/>
      <w:sz w:val="20"/>
      <w:szCs w:val="20"/>
    </w:rPr>
  </w:style>
  <w:style w:type="paragraph" w:customStyle="1" w:styleId="95">
    <w:name w:val="font15"/>
    <w:basedOn w:val="1"/>
    <w:qFormat/>
    <w:uiPriority w:val="99"/>
    <w:pPr>
      <w:widowControl/>
      <w:spacing w:before="100" w:beforeAutospacing="1" w:after="100" w:afterAutospacing="1"/>
      <w:jc w:val="left"/>
    </w:pPr>
    <w:rPr>
      <w:rFonts w:ascii="宋体" w:hAnsi="宋体" w:cs="宋体"/>
      <w:b/>
      <w:bCs/>
      <w:color w:val="000000"/>
      <w:kern w:val="0"/>
      <w:sz w:val="18"/>
      <w:szCs w:val="18"/>
    </w:rPr>
  </w:style>
  <w:style w:type="paragraph" w:customStyle="1" w:styleId="96">
    <w:name w:val="font16"/>
    <w:basedOn w:val="1"/>
    <w:qFormat/>
    <w:uiPriority w:val="99"/>
    <w:pPr>
      <w:widowControl/>
      <w:spacing w:before="100" w:beforeAutospacing="1" w:after="100" w:afterAutospacing="1"/>
      <w:jc w:val="left"/>
    </w:pPr>
    <w:rPr>
      <w:rFonts w:ascii="宋体" w:hAnsi="宋体" w:cs="宋体"/>
      <w:color w:val="000000"/>
      <w:kern w:val="0"/>
      <w:sz w:val="18"/>
      <w:szCs w:val="18"/>
    </w:rPr>
  </w:style>
  <w:style w:type="paragraph" w:customStyle="1" w:styleId="97">
    <w:name w:val="font17"/>
    <w:basedOn w:val="1"/>
    <w:qFormat/>
    <w:uiPriority w:val="99"/>
    <w:pPr>
      <w:widowControl/>
      <w:spacing w:before="100" w:beforeAutospacing="1" w:after="100" w:afterAutospacing="1"/>
      <w:jc w:val="left"/>
    </w:pPr>
    <w:rPr>
      <w:rFonts w:ascii="宋体" w:hAnsi="宋体" w:cs="宋体"/>
      <w:kern w:val="0"/>
      <w:sz w:val="18"/>
      <w:szCs w:val="18"/>
    </w:rPr>
  </w:style>
  <w:style w:type="paragraph" w:customStyle="1" w:styleId="98">
    <w:name w:val="xl63"/>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top"/>
    </w:pPr>
    <w:rPr>
      <w:rFonts w:ascii="宋体" w:hAnsi="宋体" w:cs="宋体"/>
      <w:b/>
      <w:bCs/>
      <w:kern w:val="0"/>
      <w:sz w:val="24"/>
    </w:rPr>
  </w:style>
  <w:style w:type="paragraph" w:customStyle="1" w:styleId="99">
    <w:name w:val="xl64"/>
    <w:basedOn w:val="1"/>
    <w:qFormat/>
    <w:uiPriority w:val="99"/>
    <w:pPr>
      <w:widowControl/>
      <w:pBdr>
        <w:top w:val="single" w:color="auto" w:sz="4" w:space="0"/>
        <w:left w:val="single" w:color="auto" w:sz="4" w:space="0"/>
        <w:right w:val="single" w:color="auto" w:sz="4" w:space="0"/>
      </w:pBdr>
      <w:spacing w:before="100" w:beforeAutospacing="1" w:after="100" w:afterAutospacing="1"/>
      <w:jc w:val="center"/>
      <w:textAlignment w:val="top"/>
    </w:pPr>
    <w:rPr>
      <w:rFonts w:ascii="宋体" w:hAnsi="宋体" w:cs="宋体"/>
      <w:b/>
      <w:bCs/>
      <w:kern w:val="0"/>
      <w:sz w:val="24"/>
    </w:rPr>
  </w:style>
  <w:style w:type="paragraph" w:customStyle="1" w:styleId="100">
    <w:name w:val="xl65"/>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top"/>
    </w:pPr>
    <w:rPr>
      <w:rFonts w:ascii="宋体" w:hAnsi="宋体" w:cs="宋体"/>
      <w:b/>
      <w:bCs/>
      <w:kern w:val="0"/>
      <w:sz w:val="24"/>
    </w:rPr>
  </w:style>
  <w:style w:type="paragraph" w:customStyle="1" w:styleId="101">
    <w:name w:val="xl66"/>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top"/>
    </w:pPr>
    <w:rPr>
      <w:rFonts w:ascii="宋体" w:hAnsi="宋体" w:cs="宋体"/>
      <w:kern w:val="0"/>
      <w:sz w:val="20"/>
      <w:szCs w:val="20"/>
    </w:rPr>
  </w:style>
  <w:style w:type="paragraph" w:customStyle="1" w:styleId="102">
    <w:name w:val="xl67"/>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kern w:val="0"/>
      <w:sz w:val="20"/>
      <w:szCs w:val="20"/>
    </w:rPr>
  </w:style>
  <w:style w:type="paragraph" w:customStyle="1" w:styleId="103">
    <w:name w:val="xl68"/>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top"/>
    </w:pPr>
    <w:rPr>
      <w:rFonts w:ascii="宋体" w:hAnsi="宋体" w:cs="宋体"/>
      <w:kern w:val="0"/>
      <w:sz w:val="20"/>
      <w:szCs w:val="20"/>
    </w:rPr>
  </w:style>
  <w:style w:type="paragraph" w:customStyle="1" w:styleId="104">
    <w:name w:val="xl69"/>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ascii="宋体" w:hAnsi="宋体" w:cs="宋体"/>
      <w:kern w:val="0"/>
      <w:sz w:val="20"/>
      <w:szCs w:val="20"/>
    </w:rPr>
  </w:style>
  <w:style w:type="paragraph" w:customStyle="1" w:styleId="105">
    <w:name w:val="xl70"/>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top"/>
    </w:pPr>
    <w:rPr>
      <w:rFonts w:ascii="宋体" w:hAnsi="宋体" w:cs="宋体"/>
      <w:kern w:val="0"/>
      <w:sz w:val="24"/>
    </w:rPr>
  </w:style>
  <w:style w:type="paragraph" w:customStyle="1" w:styleId="106">
    <w:name w:val="xl71"/>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top"/>
    </w:pPr>
    <w:rPr>
      <w:rFonts w:ascii="宋体" w:hAnsi="宋体" w:cs="宋体"/>
      <w:kern w:val="0"/>
      <w:sz w:val="20"/>
      <w:szCs w:val="20"/>
    </w:rPr>
  </w:style>
  <w:style w:type="paragraph" w:customStyle="1" w:styleId="107">
    <w:name w:val="xl72"/>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top"/>
    </w:pPr>
    <w:rPr>
      <w:rFonts w:ascii="宋体" w:hAnsi="宋体" w:cs="宋体"/>
      <w:kern w:val="0"/>
      <w:sz w:val="20"/>
      <w:szCs w:val="20"/>
    </w:rPr>
  </w:style>
  <w:style w:type="paragraph" w:customStyle="1" w:styleId="108">
    <w:name w:val="xl73"/>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top"/>
    </w:pPr>
    <w:rPr>
      <w:rFonts w:ascii="Arial" w:hAnsi="Arial" w:cs="Arial"/>
      <w:kern w:val="0"/>
      <w:sz w:val="20"/>
      <w:szCs w:val="20"/>
    </w:rPr>
  </w:style>
  <w:style w:type="paragraph" w:customStyle="1" w:styleId="109">
    <w:name w:val="xl74"/>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top"/>
    </w:pPr>
    <w:rPr>
      <w:rFonts w:ascii="宋体" w:hAnsi="宋体" w:cs="宋体"/>
      <w:kern w:val="0"/>
      <w:sz w:val="20"/>
      <w:szCs w:val="20"/>
    </w:rPr>
  </w:style>
  <w:style w:type="paragraph" w:customStyle="1" w:styleId="110">
    <w:name w:val="xl75"/>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top"/>
    </w:pPr>
    <w:rPr>
      <w:rFonts w:ascii="宋体" w:hAnsi="宋体" w:cs="宋体"/>
      <w:kern w:val="0"/>
      <w:sz w:val="24"/>
    </w:rPr>
  </w:style>
  <w:style w:type="paragraph" w:customStyle="1" w:styleId="111">
    <w:name w:val="xl76"/>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top"/>
    </w:pPr>
    <w:rPr>
      <w:rFonts w:ascii="宋体" w:hAnsi="宋体" w:cs="宋体"/>
      <w:kern w:val="0"/>
      <w:sz w:val="20"/>
      <w:szCs w:val="20"/>
    </w:rPr>
  </w:style>
  <w:style w:type="paragraph" w:customStyle="1" w:styleId="112">
    <w:name w:val="xl77"/>
    <w:basedOn w:val="1"/>
    <w:qFormat/>
    <w:uiPriority w:val="99"/>
    <w:pPr>
      <w:widowControl/>
      <w:pBdr>
        <w:top w:val="single" w:color="auto" w:sz="4" w:space="0"/>
        <w:left w:val="single" w:color="auto" w:sz="4" w:space="0"/>
        <w:right w:val="single" w:color="auto" w:sz="4" w:space="0"/>
      </w:pBdr>
      <w:spacing w:before="100" w:beforeAutospacing="1" w:after="100" w:afterAutospacing="1"/>
      <w:jc w:val="center"/>
      <w:textAlignment w:val="top"/>
    </w:pPr>
    <w:rPr>
      <w:rFonts w:ascii="宋体" w:hAnsi="宋体" w:cs="宋体"/>
      <w:b/>
      <w:bCs/>
      <w:kern w:val="0"/>
      <w:sz w:val="24"/>
    </w:rPr>
  </w:style>
  <w:style w:type="paragraph" w:customStyle="1" w:styleId="113">
    <w:name w:val="xl78"/>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top"/>
    </w:pPr>
    <w:rPr>
      <w:rFonts w:ascii="宋体" w:hAnsi="宋体" w:cs="宋体"/>
      <w:kern w:val="0"/>
      <w:sz w:val="24"/>
    </w:rPr>
  </w:style>
  <w:style w:type="paragraph" w:customStyle="1" w:styleId="114">
    <w:name w:val="xl79"/>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top"/>
    </w:pPr>
    <w:rPr>
      <w:rFonts w:ascii="宋体" w:hAnsi="宋体" w:cs="宋体"/>
      <w:kern w:val="0"/>
      <w:sz w:val="24"/>
    </w:rPr>
  </w:style>
  <w:style w:type="paragraph" w:customStyle="1" w:styleId="115">
    <w:name w:val="xl80"/>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ascii="宋体" w:hAnsi="宋体" w:cs="宋体"/>
      <w:kern w:val="0"/>
      <w:szCs w:val="21"/>
    </w:rPr>
  </w:style>
  <w:style w:type="paragraph" w:customStyle="1" w:styleId="116">
    <w:name w:val="xl81"/>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textAlignment w:val="top"/>
    </w:pPr>
    <w:rPr>
      <w:rFonts w:ascii="宋体" w:hAnsi="宋体" w:cs="宋体"/>
      <w:kern w:val="0"/>
      <w:sz w:val="24"/>
    </w:rPr>
  </w:style>
  <w:style w:type="paragraph" w:customStyle="1" w:styleId="117">
    <w:name w:val="xl82"/>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kern w:val="0"/>
      <w:szCs w:val="21"/>
    </w:rPr>
  </w:style>
  <w:style w:type="paragraph" w:customStyle="1" w:styleId="118">
    <w:name w:val="xl83"/>
    <w:basedOn w:val="1"/>
    <w:qFormat/>
    <w:uiPriority w:val="99"/>
    <w:pPr>
      <w:widowControl/>
      <w:pBdr>
        <w:top w:val="single" w:color="auto" w:sz="4" w:space="0"/>
        <w:left w:val="single" w:color="auto" w:sz="4" w:space="0"/>
        <w:right w:val="single" w:color="auto" w:sz="4" w:space="0"/>
      </w:pBdr>
      <w:spacing w:before="100" w:beforeAutospacing="1" w:after="100" w:afterAutospacing="1"/>
      <w:jc w:val="center"/>
      <w:textAlignment w:val="top"/>
    </w:pPr>
    <w:rPr>
      <w:rFonts w:ascii="宋体" w:hAnsi="宋体" w:cs="宋体"/>
      <w:kern w:val="0"/>
      <w:sz w:val="24"/>
    </w:rPr>
  </w:style>
  <w:style w:type="paragraph" w:customStyle="1" w:styleId="119">
    <w:name w:val="xl84"/>
    <w:basedOn w:val="1"/>
    <w:qFormat/>
    <w:uiPriority w:val="99"/>
    <w:pPr>
      <w:widowControl/>
      <w:pBdr>
        <w:top w:val="single" w:color="auto" w:sz="4" w:space="0"/>
        <w:left w:val="single" w:color="auto" w:sz="4" w:space="0"/>
        <w:right w:val="single" w:color="auto" w:sz="4" w:space="0"/>
      </w:pBdr>
      <w:spacing w:before="100" w:beforeAutospacing="1" w:after="100" w:afterAutospacing="1"/>
      <w:jc w:val="center"/>
      <w:textAlignment w:val="top"/>
    </w:pPr>
    <w:rPr>
      <w:rFonts w:ascii="宋体" w:hAnsi="宋体" w:cs="宋体"/>
      <w:kern w:val="0"/>
      <w:sz w:val="24"/>
    </w:rPr>
  </w:style>
  <w:style w:type="paragraph" w:customStyle="1" w:styleId="120">
    <w:name w:val="xl85"/>
    <w:basedOn w:val="1"/>
    <w:qFormat/>
    <w:uiPriority w:val="99"/>
    <w:pPr>
      <w:widowControl/>
      <w:pBdr>
        <w:top w:val="single" w:color="auto" w:sz="4" w:space="0"/>
        <w:left w:val="single" w:color="auto" w:sz="4" w:space="0"/>
        <w:right w:val="single" w:color="auto" w:sz="4" w:space="0"/>
      </w:pBdr>
      <w:spacing w:before="100" w:beforeAutospacing="1" w:after="100" w:afterAutospacing="1"/>
      <w:textAlignment w:val="top"/>
    </w:pPr>
    <w:rPr>
      <w:rFonts w:ascii="宋体" w:hAnsi="宋体" w:cs="宋体"/>
      <w:kern w:val="0"/>
      <w:szCs w:val="21"/>
    </w:rPr>
  </w:style>
  <w:style w:type="paragraph" w:customStyle="1" w:styleId="121">
    <w:name w:val="xl86"/>
    <w:basedOn w:val="1"/>
    <w:qFormat/>
    <w:uiPriority w:val="99"/>
    <w:pPr>
      <w:widowControl/>
      <w:pBdr>
        <w:top w:val="single" w:color="auto" w:sz="4" w:space="0"/>
        <w:left w:val="single" w:color="auto" w:sz="4" w:space="0"/>
        <w:right w:val="single" w:color="auto" w:sz="4" w:space="0"/>
      </w:pBdr>
      <w:spacing w:before="100" w:beforeAutospacing="1" w:after="100" w:afterAutospacing="1"/>
      <w:jc w:val="right"/>
      <w:textAlignment w:val="top"/>
    </w:pPr>
    <w:rPr>
      <w:rFonts w:ascii="宋体" w:hAnsi="宋体" w:cs="宋体"/>
      <w:kern w:val="0"/>
      <w:sz w:val="24"/>
    </w:rPr>
  </w:style>
  <w:style w:type="paragraph" w:customStyle="1" w:styleId="122">
    <w:name w:val="xl87"/>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top"/>
    </w:pPr>
    <w:rPr>
      <w:rFonts w:ascii="宋体" w:hAnsi="宋体" w:cs="宋体"/>
      <w:b/>
      <w:bCs/>
      <w:kern w:val="0"/>
      <w:sz w:val="24"/>
    </w:rPr>
  </w:style>
  <w:style w:type="paragraph" w:customStyle="1" w:styleId="123">
    <w:name w:val="xl88"/>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top"/>
    </w:pPr>
    <w:rPr>
      <w:rFonts w:ascii="宋体" w:hAnsi="宋体" w:cs="宋体"/>
      <w:b/>
      <w:bCs/>
      <w:kern w:val="0"/>
      <w:sz w:val="24"/>
    </w:rPr>
  </w:style>
  <w:style w:type="paragraph" w:customStyle="1" w:styleId="124">
    <w:name w:val="xl89"/>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top"/>
    </w:pPr>
    <w:rPr>
      <w:rFonts w:ascii="宋体" w:hAnsi="宋体" w:cs="宋体"/>
      <w:b/>
      <w:bCs/>
      <w:kern w:val="0"/>
      <w:sz w:val="24"/>
    </w:rPr>
  </w:style>
  <w:style w:type="paragraph" w:customStyle="1" w:styleId="125">
    <w:name w:val="xl90"/>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top"/>
    </w:pPr>
    <w:rPr>
      <w:rFonts w:ascii="宋体" w:hAnsi="宋体" w:cs="宋体"/>
      <w:kern w:val="0"/>
      <w:sz w:val="24"/>
    </w:rPr>
  </w:style>
  <w:style w:type="paragraph" w:customStyle="1" w:styleId="126">
    <w:name w:val="xl91"/>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top"/>
    </w:pPr>
    <w:rPr>
      <w:rFonts w:ascii="宋体" w:hAnsi="宋体" w:cs="宋体"/>
      <w:kern w:val="0"/>
      <w:sz w:val="24"/>
    </w:rPr>
  </w:style>
  <w:style w:type="paragraph" w:customStyle="1" w:styleId="127">
    <w:name w:val="xl92"/>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top"/>
    </w:pPr>
    <w:rPr>
      <w:rFonts w:ascii="宋体" w:hAnsi="宋体" w:cs="宋体"/>
      <w:kern w:val="0"/>
      <w:sz w:val="24"/>
    </w:rPr>
  </w:style>
  <w:style w:type="paragraph" w:customStyle="1" w:styleId="128">
    <w:name w:val="xl93"/>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top"/>
    </w:pPr>
    <w:rPr>
      <w:kern w:val="0"/>
      <w:sz w:val="24"/>
    </w:rPr>
  </w:style>
  <w:style w:type="paragraph" w:customStyle="1" w:styleId="129">
    <w:name w:val="xl94"/>
    <w:basedOn w:val="1"/>
    <w:qFormat/>
    <w:uiPriority w:val="99"/>
    <w:pPr>
      <w:widowControl/>
      <w:pBdr>
        <w:top w:val="single" w:color="auto" w:sz="4" w:space="0"/>
        <w:left w:val="single" w:color="auto" w:sz="4" w:space="0"/>
        <w:bottom w:val="single" w:color="auto" w:sz="4" w:space="0"/>
        <w:right w:val="single" w:color="auto" w:sz="4" w:space="0"/>
      </w:pBdr>
      <w:shd w:val="clear" w:color="auto" w:fill="CCFFCC"/>
      <w:spacing w:before="100" w:beforeAutospacing="1" w:after="100" w:afterAutospacing="1"/>
      <w:jc w:val="center"/>
      <w:textAlignment w:val="top"/>
    </w:pPr>
    <w:rPr>
      <w:rFonts w:ascii="宋体" w:hAnsi="宋体" w:cs="宋体"/>
      <w:kern w:val="0"/>
      <w:sz w:val="24"/>
    </w:rPr>
  </w:style>
  <w:style w:type="paragraph" w:customStyle="1" w:styleId="130">
    <w:name w:val="xl95"/>
    <w:basedOn w:val="1"/>
    <w:qFormat/>
    <w:uiPriority w:val="99"/>
    <w:pPr>
      <w:widowControl/>
      <w:pBdr>
        <w:top w:val="single" w:color="auto" w:sz="4" w:space="0"/>
        <w:left w:val="single" w:color="auto" w:sz="4" w:space="0"/>
        <w:bottom w:val="single" w:color="auto" w:sz="4" w:space="0"/>
        <w:right w:val="single" w:color="auto" w:sz="4" w:space="0"/>
      </w:pBdr>
      <w:shd w:val="clear" w:color="auto" w:fill="CCFFCC"/>
      <w:spacing w:before="100" w:beforeAutospacing="1" w:after="100" w:afterAutospacing="1"/>
      <w:jc w:val="left"/>
      <w:textAlignment w:val="top"/>
    </w:pPr>
    <w:rPr>
      <w:rFonts w:ascii="宋体" w:hAnsi="宋体" w:cs="宋体"/>
      <w:kern w:val="0"/>
      <w:sz w:val="24"/>
    </w:rPr>
  </w:style>
  <w:style w:type="paragraph" w:customStyle="1" w:styleId="131">
    <w:name w:val="xl96"/>
    <w:basedOn w:val="1"/>
    <w:qFormat/>
    <w:uiPriority w:val="99"/>
    <w:pPr>
      <w:widowControl/>
      <w:pBdr>
        <w:top w:val="single" w:color="auto" w:sz="4" w:space="0"/>
        <w:left w:val="single" w:color="auto" w:sz="4" w:space="0"/>
        <w:bottom w:val="single" w:color="auto" w:sz="4" w:space="0"/>
        <w:right w:val="single" w:color="auto" w:sz="4" w:space="0"/>
      </w:pBdr>
      <w:shd w:val="clear" w:color="auto" w:fill="CCFFCC"/>
      <w:spacing w:before="100" w:beforeAutospacing="1" w:after="100" w:afterAutospacing="1"/>
      <w:jc w:val="left"/>
      <w:textAlignment w:val="top"/>
    </w:pPr>
    <w:rPr>
      <w:rFonts w:ascii="宋体" w:hAnsi="宋体" w:cs="宋体"/>
      <w:kern w:val="0"/>
      <w:sz w:val="24"/>
    </w:rPr>
  </w:style>
  <w:style w:type="paragraph" w:customStyle="1" w:styleId="132">
    <w:name w:val="xl97"/>
    <w:basedOn w:val="1"/>
    <w:qFormat/>
    <w:uiPriority w:val="99"/>
    <w:pPr>
      <w:widowControl/>
      <w:pBdr>
        <w:top w:val="single" w:color="auto" w:sz="4" w:space="0"/>
        <w:left w:val="single" w:color="auto" w:sz="4" w:space="0"/>
        <w:bottom w:val="single" w:color="auto" w:sz="4" w:space="0"/>
        <w:right w:val="single" w:color="auto" w:sz="4" w:space="0"/>
      </w:pBdr>
      <w:shd w:val="clear" w:color="auto" w:fill="CCFFCC"/>
      <w:spacing w:before="100" w:beforeAutospacing="1" w:after="100" w:afterAutospacing="1"/>
      <w:jc w:val="center"/>
      <w:textAlignment w:val="top"/>
    </w:pPr>
    <w:rPr>
      <w:rFonts w:ascii="宋体" w:hAnsi="宋体" w:cs="宋体"/>
      <w:kern w:val="0"/>
      <w:sz w:val="24"/>
    </w:rPr>
  </w:style>
  <w:style w:type="paragraph" w:customStyle="1" w:styleId="133">
    <w:name w:val="xl98"/>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top"/>
    </w:pPr>
    <w:rPr>
      <w:rFonts w:ascii="宋体" w:hAnsi="宋体" w:cs="宋体"/>
      <w:kern w:val="0"/>
      <w:sz w:val="20"/>
      <w:szCs w:val="20"/>
    </w:rPr>
  </w:style>
  <w:style w:type="paragraph" w:customStyle="1" w:styleId="134">
    <w:name w:val="xl99"/>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top"/>
    </w:pPr>
    <w:rPr>
      <w:rFonts w:ascii="宋体" w:hAnsi="宋体" w:cs="宋体"/>
      <w:kern w:val="0"/>
      <w:sz w:val="20"/>
      <w:szCs w:val="20"/>
    </w:rPr>
  </w:style>
  <w:style w:type="paragraph" w:customStyle="1" w:styleId="135">
    <w:name w:val="xl100"/>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top"/>
    </w:pPr>
    <w:rPr>
      <w:rFonts w:ascii="宋体" w:hAnsi="宋体" w:cs="宋体"/>
      <w:kern w:val="0"/>
      <w:sz w:val="24"/>
    </w:rPr>
  </w:style>
  <w:style w:type="paragraph" w:customStyle="1" w:styleId="136">
    <w:name w:val="xl101"/>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top"/>
    </w:pPr>
    <w:rPr>
      <w:rFonts w:ascii="宋体" w:hAnsi="宋体" w:cs="宋体"/>
      <w:kern w:val="0"/>
      <w:sz w:val="24"/>
    </w:rPr>
  </w:style>
  <w:style w:type="paragraph" w:customStyle="1" w:styleId="137">
    <w:name w:val="xl102"/>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textAlignment w:val="top"/>
    </w:pPr>
    <w:rPr>
      <w:rFonts w:ascii="宋体" w:hAnsi="宋体" w:cs="宋体"/>
      <w:kern w:val="0"/>
      <w:sz w:val="20"/>
      <w:szCs w:val="20"/>
    </w:rPr>
  </w:style>
  <w:style w:type="paragraph" w:customStyle="1" w:styleId="138">
    <w:name w:val="xl103"/>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textAlignment w:val="top"/>
    </w:pPr>
    <w:rPr>
      <w:rFonts w:ascii="宋体" w:hAnsi="宋体" w:cs="宋体"/>
      <w:kern w:val="0"/>
      <w:sz w:val="20"/>
      <w:szCs w:val="20"/>
    </w:rPr>
  </w:style>
  <w:style w:type="paragraph" w:customStyle="1" w:styleId="139">
    <w:name w:val="xl104"/>
    <w:basedOn w:val="1"/>
    <w:qFormat/>
    <w:uiPriority w:val="99"/>
    <w:pPr>
      <w:widowControl/>
      <w:pBdr>
        <w:top w:val="single" w:color="auto" w:sz="4" w:space="0"/>
        <w:left w:val="single" w:color="auto" w:sz="4" w:space="0"/>
        <w:bottom w:val="single" w:color="auto" w:sz="4" w:space="0"/>
        <w:right w:val="single" w:color="auto" w:sz="4" w:space="0"/>
      </w:pBdr>
      <w:shd w:val="clear" w:color="auto" w:fill="CCFFCC"/>
      <w:spacing w:before="100" w:beforeAutospacing="1" w:after="100" w:afterAutospacing="1"/>
      <w:jc w:val="left"/>
      <w:textAlignment w:val="top"/>
    </w:pPr>
    <w:rPr>
      <w:rFonts w:ascii="宋体" w:hAnsi="宋体" w:cs="宋体"/>
      <w:kern w:val="0"/>
      <w:sz w:val="20"/>
      <w:szCs w:val="20"/>
    </w:rPr>
  </w:style>
  <w:style w:type="paragraph" w:customStyle="1" w:styleId="140">
    <w:name w:val="xl105"/>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textAlignment w:val="top"/>
    </w:pPr>
    <w:rPr>
      <w:rFonts w:ascii="宋体" w:hAnsi="宋体" w:cs="宋体"/>
      <w:kern w:val="0"/>
      <w:sz w:val="20"/>
      <w:szCs w:val="20"/>
    </w:rPr>
  </w:style>
  <w:style w:type="paragraph" w:customStyle="1" w:styleId="141">
    <w:name w:val="xl106"/>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textAlignment w:val="top"/>
    </w:pPr>
    <w:rPr>
      <w:rFonts w:ascii="宋体" w:hAnsi="宋体" w:cs="宋体"/>
      <w:kern w:val="0"/>
      <w:sz w:val="24"/>
    </w:rPr>
  </w:style>
  <w:style w:type="paragraph" w:customStyle="1" w:styleId="142">
    <w:name w:val="xl107"/>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textAlignment w:val="top"/>
    </w:pPr>
    <w:rPr>
      <w:rFonts w:ascii="宋体" w:hAnsi="宋体" w:cs="宋体"/>
      <w:kern w:val="0"/>
      <w:sz w:val="24"/>
    </w:rPr>
  </w:style>
  <w:style w:type="paragraph" w:customStyle="1" w:styleId="143">
    <w:name w:val="xl108"/>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textAlignment w:val="top"/>
    </w:pPr>
    <w:rPr>
      <w:rFonts w:ascii="宋体" w:hAnsi="宋体" w:cs="宋体"/>
      <w:kern w:val="0"/>
      <w:sz w:val="24"/>
    </w:rPr>
  </w:style>
  <w:style w:type="paragraph" w:customStyle="1" w:styleId="144">
    <w:name w:val="xl109"/>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textAlignment w:val="top"/>
    </w:pPr>
    <w:rPr>
      <w:rFonts w:ascii="宋体" w:hAnsi="宋体" w:cs="宋体"/>
      <w:kern w:val="0"/>
      <w:sz w:val="24"/>
    </w:rPr>
  </w:style>
  <w:style w:type="paragraph" w:customStyle="1" w:styleId="145">
    <w:name w:val="xl110"/>
    <w:basedOn w:val="1"/>
    <w:qFormat/>
    <w:uiPriority w:val="99"/>
    <w:pPr>
      <w:widowControl/>
      <w:pBdr>
        <w:top w:val="single" w:color="auto" w:sz="4" w:space="0"/>
        <w:left w:val="single" w:color="auto" w:sz="4" w:space="0"/>
        <w:bottom w:val="single" w:color="auto" w:sz="4" w:space="0"/>
        <w:right w:val="single" w:color="auto" w:sz="4" w:space="0"/>
      </w:pBdr>
      <w:shd w:val="clear" w:color="auto" w:fill="CCFFCC"/>
      <w:spacing w:before="100" w:beforeAutospacing="1" w:after="100" w:afterAutospacing="1"/>
      <w:jc w:val="right"/>
      <w:textAlignment w:val="top"/>
    </w:pPr>
    <w:rPr>
      <w:rFonts w:ascii="宋体" w:hAnsi="宋体" w:cs="宋体"/>
      <w:kern w:val="0"/>
      <w:sz w:val="24"/>
    </w:rPr>
  </w:style>
  <w:style w:type="paragraph" w:customStyle="1" w:styleId="146">
    <w:name w:val="xl111"/>
    <w:basedOn w:val="1"/>
    <w:qFormat/>
    <w:uiPriority w:val="99"/>
    <w:pPr>
      <w:widowControl/>
      <w:pBdr>
        <w:top w:val="single" w:color="auto" w:sz="4" w:space="0"/>
        <w:left w:val="single" w:color="auto" w:sz="4" w:space="0"/>
        <w:bottom w:val="single" w:color="auto" w:sz="4" w:space="0"/>
        <w:right w:val="single" w:color="auto" w:sz="4" w:space="0"/>
      </w:pBdr>
      <w:shd w:val="clear" w:color="auto" w:fill="CCFFCC"/>
      <w:spacing w:before="100" w:beforeAutospacing="1" w:after="100" w:afterAutospacing="1"/>
      <w:jc w:val="right"/>
      <w:textAlignment w:val="top"/>
    </w:pPr>
    <w:rPr>
      <w:rFonts w:ascii="宋体" w:hAnsi="宋体" w:cs="宋体"/>
      <w:kern w:val="0"/>
      <w:sz w:val="24"/>
    </w:rPr>
  </w:style>
  <w:style w:type="paragraph" w:customStyle="1" w:styleId="147">
    <w:name w:val="xl112"/>
    <w:basedOn w:val="1"/>
    <w:qFormat/>
    <w:uiPriority w:val="99"/>
    <w:pPr>
      <w:widowControl/>
      <w:pBdr>
        <w:top w:val="single" w:color="auto" w:sz="4" w:space="0"/>
        <w:left w:val="single" w:color="auto" w:sz="4" w:space="0"/>
        <w:bottom w:val="single" w:color="auto" w:sz="4" w:space="0"/>
      </w:pBdr>
      <w:spacing w:before="100" w:beforeAutospacing="1" w:after="100" w:afterAutospacing="1"/>
      <w:jc w:val="left"/>
      <w:textAlignment w:val="top"/>
    </w:pPr>
    <w:rPr>
      <w:rFonts w:ascii="宋体" w:hAnsi="宋体" w:cs="宋体"/>
      <w:kern w:val="0"/>
      <w:sz w:val="24"/>
    </w:rPr>
  </w:style>
  <w:style w:type="paragraph" w:customStyle="1" w:styleId="148">
    <w:name w:val="xl113"/>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top"/>
    </w:pPr>
    <w:rPr>
      <w:rFonts w:ascii="宋体" w:hAnsi="宋体" w:cs="宋体"/>
      <w:kern w:val="0"/>
      <w:sz w:val="24"/>
    </w:rPr>
  </w:style>
  <w:style w:type="paragraph" w:customStyle="1" w:styleId="149">
    <w:name w:val="xl114"/>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bottom"/>
    </w:pPr>
    <w:rPr>
      <w:rFonts w:ascii="宋体" w:hAnsi="宋体" w:cs="宋体"/>
      <w:b/>
      <w:bCs/>
      <w:kern w:val="0"/>
      <w:sz w:val="24"/>
    </w:rPr>
  </w:style>
  <w:style w:type="paragraph" w:customStyle="1" w:styleId="150">
    <w:name w:val="xl115"/>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bottom"/>
    </w:pPr>
    <w:rPr>
      <w:rFonts w:ascii="宋体" w:hAnsi="宋体" w:cs="宋体"/>
      <w:b/>
      <w:bCs/>
      <w:kern w:val="0"/>
      <w:sz w:val="24"/>
    </w:rPr>
  </w:style>
  <w:style w:type="paragraph" w:customStyle="1" w:styleId="151">
    <w:name w:val="xl116"/>
    <w:basedOn w:val="1"/>
    <w:qFormat/>
    <w:uiPriority w:val="99"/>
    <w:pPr>
      <w:widowControl/>
      <w:spacing w:before="100" w:beforeAutospacing="1" w:after="100" w:afterAutospacing="1"/>
      <w:jc w:val="center"/>
      <w:textAlignment w:val="top"/>
    </w:pPr>
    <w:rPr>
      <w:rFonts w:ascii="宋体" w:hAnsi="宋体" w:cs="宋体"/>
      <w:b/>
      <w:bCs/>
      <w:kern w:val="0"/>
      <w:sz w:val="32"/>
      <w:szCs w:val="32"/>
    </w:rPr>
  </w:style>
  <w:style w:type="paragraph" w:customStyle="1" w:styleId="152">
    <w:name w:val="xl117"/>
    <w:basedOn w:val="1"/>
    <w:qFormat/>
    <w:uiPriority w:val="99"/>
    <w:pPr>
      <w:widowControl/>
      <w:pBdr>
        <w:top w:val="single" w:color="auto" w:sz="4" w:space="0"/>
        <w:left w:val="single" w:color="auto" w:sz="4" w:space="0"/>
        <w:right w:val="single" w:color="auto" w:sz="4" w:space="0"/>
      </w:pBdr>
      <w:spacing w:before="100" w:beforeAutospacing="1" w:after="100" w:afterAutospacing="1"/>
      <w:jc w:val="center"/>
      <w:textAlignment w:val="top"/>
    </w:pPr>
    <w:rPr>
      <w:rFonts w:ascii="宋体" w:hAnsi="宋体" w:cs="宋体"/>
      <w:kern w:val="0"/>
      <w:sz w:val="20"/>
      <w:szCs w:val="20"/>
    </w:rPr>
  </w:style>
  <w:style w:type="paragraph" w:customStyle="1" w:styleId="153">
    <w:name w:val="xl118"/>
    <w:basedOn w:val="1"/>
    <w:qFormat/>
    <w:uiPriority w:val="99"/>
    <w:pPr>
      <w:widowControl/>
      <w:pBdr>
        <w:left w:val="single" w:color="auto" w:sz="4" w:space="0"/>
        <w:right w:val="single" w:color="auto" w:sz="4" w:space="0"/>
      </w:pBdr>
      <w:spacing w:before="100" w:beforeAutospacing="1" w:after="100" w:afterAutospacing="1"/>
      <w:jc w:val="center"/>
      <w:textAlignment w:val="top"/>
    </w:pPr>
    <w:rPr>
      <w:rFonts w:ascii="宋体" w:hAnsi="宋体" w:cs="宋体"/>
      <w:kern w:val="0"/>
      <w:sz w:val="20"/>
      <w:szCs w:val="20"/>
    </w:rPr>
  </w:style>
  <w:style w:type="paragraph" w:customStyle="1" w:styleId="154">
    <w:name w:val="xl119"/>
    <w:basedOn w:val="1"/>
    <w:qFormat/>
    <w:uiPriority w:val="99"/>
    <w:pPr>
      <w:widowControl/>
      <w:pBdr>
        <w:left w:val="single" w:color="auto" w:sz="4" w:space="0"/>
        <w:bottom w:val="single" w:color="auto" w:sz="4" w:space="0"/>
        <w:right w:val="single" w:color="auto" w:sz="4" w:space="0"/>
      </w:pBdr>
      <w:spacing w:before="100" w:beforeAutospacing="1" w:after="100" w:afterAutospacing="1"/>
      <w:jc w:val="center"/>
      <w:textAlignment w:val="top"/>
    </w:pPr>
    <w:rPr>
      <w:rFonts w:ascii="宋体" w:hAnsi="宋体" w:cs="宋体"/>
      <w:kern w:val="0"/>
      <w:sz w:val="20"/>
      <w:szCs w:val="20"/>
    </w:rPr>
  </w:style>
  <w:style w:type="paragraph" w:customStyle="1" w:styleId="155">
    <w:name w:val="xl120"/>
    <w:basedOn w:val="1"/>
    <w:qFormat/>
    <w:uiPriority w:val="99"/>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cs="宋体"/>
      <w:kern w:val="0"/>
      <w:sz w:val="24"/>
    </w:rPr>
  </w:style>
  <w:style w:type="paragraph" w:customStyle="1" w:styleId="156">
    <w:name w:val="xl121"/>
    <w:basedOn w:val="1"/>
    <w:qFormat/>
    <w:uiPriority w:val="99"/>
    <w:pPr>
      <w:widowControl/>
      <w:pBdr>
        <w:bottom w:val="single" w:color="auto" w:sz="4" w:space="0"/>
      </w:pBdr>
      <w:spacing w:before="100" w:beforeAutospacing="1" w:after="100" w:afterAutospacing="1"/>
      <w:jc w:val="left"/>
      <w:textAlignment w:val="top"/>
    </w:pPr>
    <w:rPr>
      <w:rFonts w:ascii="宋体" w:hAnsi="宋体" w:cs="宋体"/>
      <w:b/>
      <w:bCs/>
      <w:kern w:val="0"/>
      <w:sz w:val="28"/>
      <w:szCs w:val="28"/>
    </w:rPr>
  </w:style>
  <w:style w:type="paragraph" w:customStyle="1" w:styleId="157">
    <w:name w:val="xl122"/>
    <w:basedOn w:val="1"/>
    <w:qFormat/>
    <w:uiPriority w:val="99"/>
    <w:pPr>
      <w:widowControl/>
      <w:pBdr>
        <w:bottom w:val="single" w:color="auto" w:sz="4" w:space="0"/>
      </w:pBdr>
      <w:spacing w:before="100" w:beforeAutospacing="1" w:after="100" w:afterAutospacing="1"/>
      <w:jc w:val="left"/>
      <w:textAlignment w:val="top"/>
    </w:pPr>
    <w:rPr>
      <w:rFonts w:ascii="宋体" w:hAnsi="宋体" w:cs="宋体"/>
      <w:b/>
      <w:bCs/>
      <w:kern w:val="0"/>
      <w:sz w:val="28"/>
      <w:szCs w:val="28"/>
    </w:rPr>
  </w:style>
  <w:style w:type="paragraph" w:customStyle="1" w:styleId="158">
    <w:name w:val="xl123"/>
    <w:basedOn w:val="1"/>
    <w:qFormat/>
    <w:uiPriority w:val="99"/>
    <w:pPr>
      <w:widowControl/>
      <w:pBdr>
        <w:bottom w:val="single" w:color="auto" w:sz="4" w:space="0"/>
      </w:pBdr>
      <w:spacing w:before="100" w:beforeAutospacing="1" w:after="100" w:afterAutospacing="1"/>
      <w:jc w:val="left"/>
      <w:textAlignment w:val="top"/>
    </w:pPr>
    <w:rPr>
      <w:rFonts w:ascii="宋体" w:hAnsi="宋体" w:cs="宋体"/>
      <w:b/>
      <w:bCs/>
      <w:kern w:val="0"/>
      <w:sz w:val="28"/>
      <w:szCs w:val="28"/>
    </w:rPr>
  </w:style>
  <w:style w:type="paragraph" w:customStyle="1" w:styleId="159">
    <w:name w:val="xl124"/>
    <w:basedOn w:val="1"/>
    <w:qFormat/>
    <w:uiPriority w:val="99"/>
    <w:pPr>
      <w:widowControl/>
      <w:pBdr>
        <w:top w:val="single" w:color="auto" w:sz="4" w:space="0"/>
        <w:left w:val="single" w:color="auto" w:sz="4" w:space="0"/>
      </w:pBdr>
      <w:spacing w:before="100" w:beforeAutospacing="1" w:after="100" w:afterAutospacing="1"/>
      <w:jc w:val="left"/>
    </w:pPr>
    <w:rPr>
      <w:rFonts w:ascii="宋体" w:hAnsi="宋体" w:cs="宋体"/>
      <w:kern w:val="0"/>
      <w:sz w:val="18"/>
      <w:szCs w:val="18"/>
    </w:rPr>
  </w:style>
  <w:style w:type="paragraph" w:customStyle="1" w:styleId="160">
    <w:name w:val="xl125"/>
    <w:basedOn w:val="1"/>
    <w:qFormat/>
    <w:uiPriority w:val="99"/>
    <w:pPr>
      <w:widowControl/>
      <w:pBdr>
        <w:top w:val="single" w:color="auto" w:sz="4" w:space="0"/>
        <w:right w:val="single" w:color="auto" w:sz="4" w:space="0"/>
      </w:pBdr>
      <w:spacing w:before="100" w:beforeAutospacing="1" w:after="100" w:afterAutospacing="1"/>
      <w:jc w:val="left"/>
    </w:pPr>
    <w:rPr>
      <w:rFonts w:ascii="宋体" w:hAnsi="宋体" w:cs="宋体"/>
      <w:kern w:val="0"/>
      <w:sz w:val="18"/>
      <w:szCs w:val="18"/>
    </w:rPr>
  </w:style>
  <w:style w:type="paragraph" w:customStyle="1" w:styleId="161">
    <w:name w:val="xl126"/>
    <w:basedOn w:val="1"/>
    <w:qFormat/>
    <w:uiPriority w:val="99"/>
    <w:pPr>
      <w:widowControl/>
      <w:pBdr>
        <w:left w:val="single" w:color="auto" w:sz="4" w:space="0"/>
      </w:pBdr>
      <w:spacing w:before="100" w:beforeAutospacing="1" w:after="100" w:afterAutospacing="1"/>
      <w:jc w:val="left"/>
    </w:pPr>
    <w:rPr>
      <w:rFonts w:ascii="宋体" w:hAnsi="宋体" w:cs="宋体"/>
      <w:kern w:val="0"/>
      <w:sz w:val="18"/>
      <w:szCs w:val="18"/>
    </w:rPr>
  </w:style>
  <w:style w:type="paragraph" w:customStyle="1" w:styleId="162">
    <w:name w:val="xl127"/>
    <w:basedOn w:val="1"/>
    <w:qFormat/>
    <w:uiPriority w:val="99"/>
    <w:pPr>
      <w:widowControl/>
      <w:pBdr>
        <w:right w:val="single" w:color="auto" w:sz="4" w:space="0"/>
      </w:pBdr>
      <w:spacing w:before="100" w:beforeAutospacing="1" w:after="100" w:afterAutospacing="1"/>
      <w:jc w:val="left"/>
    </w:pPr>
    <w:rPr>
      <w:rFonts w:ascii="宋体" w:hAnsi="宋体" w:cs="宋体"/>
      <w:kern w:val="0"/>
      <w:sz w:val="18"/>
      <w:szCs w:val="18"/>
    </w:rPr>
  </w:style>
  <w:style w:type="paragraph" w:customStyle="1" w:styleId="163">
    <w:name w:val="xl128"/>
    <w:basedOn w:val="1"/>
    <w:qFormat/>
    <w:uiPriority w:val="99"/>
    <w:pPr>
      <w:widowControl/>
      <w:pBdr>
        <w:left w:val="single" w:color="auto" w:sz="4" w:space="0"/>
        <w:bottom w:val="single" w:color="auto" w:sz="4" w:space="0"/>
      </w:pBdr>
      <w:spacing w:before="100" w:beforeAutospacing="1" w:after="100" w:afterAutospacing="1"/>
      <w:jc w:val="left"/>
    </w:pPr>
    <w:rPr>
      <w:rFonts w:ascii="宋体" w:hAnsi="宋体" w:cs="宋体"/>
      <w:kern w:val="0"/>
      <w:sz w:val="18"/>
      <w:szCs w:val="18"/>
    </w:rPr>
  </w:style>
  <w:style w:type="paragraph" w:customStyle="1" w:styleId="164">
    <w:name w:val="xl129"/>
    <w:basedOn w:val="1"/>
    <w:qFormat/>
    <w:uiPriority w:val="99"/>
    <w:pPr>
      <w:widowControl/>
      <w:pBdr>
        <w:bottom w:val="single" w:color="auto" w:sz="4" w:space="0"/>
        <w:right w:val="single" w:color="auto" w:sz="4" w:space="0"/>
      </w:pBdr>
      <w:spacing w:before="100" w:beforeAutospacing="1" w:after="100" w:afterAutospacing="1"/>
      <w:jc w:val="left"/>
    </w:pPr>
    <w:rPr>
      <w:rFonts w:ascii="宋体" w:hAnsi="宋体" w:cs="宋体"/>
      <w:kern w:val="0"/>
      <w:sz w:val="18"/>
      <w:szCs w:val="18"/>
    </w:rPr>
  </w:style>
  <w:style w:type="paragraph" w:customStyle="1" w:styleId="165">
    <w:name w:val="xl130"/>
    <w:basedOn w:val="1"/>
    <w:qFormat/>
    <w:uiPriority w:val="99"/>
    <w:pPr>
      <w:widowControl/>
      <w:pBdr>
        <w:top w:val="single" w:color="auto" w:sz="4" w:space="0"/>
        <w:left w:val="single" w:color="auto" w:sz="4" w:space="0"/>
        <w:bottom w:val="single" w:color="auto" w:sz="4" w:space="0"/>
      </w:pBdr>
      <w:spacing w:before="100" w:beforeAutospacing="1" w:after="100" w:afterAutospacing="1"/>
      <w:jc w:val="left"/>
      <w:textAlignment w:val="top"/>
    </w:pPr>
    <w:rPr>
      <w:rFonts w:ascii="宋体" w:hAnsi="宋体" w:cs="宋体"/>
      <w:b/>
      <w:bCs/>
      <w:kern w:val="0"/>
      <w:sz w:val="28"/>
      <w:szCs w:val="28"/>
    </w:rPr>
  </w:style>
  <w:style w:type="paragraph" w:customStyle="1" w:styleId="166">
    <w:name w:val="xl131"/>
    <w:basedOn w:val="1"/>
    <w:qFormat/>
    <w:uiPriority w:val="99"/>
    <w:pPr>
      <w:widowControl/>
      <w:pBdr>
        <w:top w:val="single" w:color="auto" w:sz="4" w:space="0"/>
        <w:bottom w:val="single" w:color="auto" w:sz="4" w:space="0"/>
      </w:pBdr>
      <w:spacing w:before="100" w:beforeAutospacing="1" w:after="100" w:afterAutospacing="1"/>
      <w:jc w:val="left"/>
      <w:textAlignment w:val="top"/>
    </w:pPr>
    <w:rPr>
      <w:rFonts w:ascii="宋体" w:hAnsi="宋体" w:cs="宋体"/>
      <w:b/>
      <w:bCs/>
      <w:kern w:val="0"/>
      <w:sz w:val="28"/>
      <w:szCs w:val="28"/>
    </w:rPr>
  </w:style>
  <w:style w:type="paragraph" w:customStyle="1" w:styleId="167">
    <w:name w:val="xl132"/>
    <w:basedOn w:val="1"/>
    <w:qFormat/>
    <w:uiPriority w:val="99"/>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cs="宋体"/>
      <w:kern w:val="0"/>
      <w:sz w:val="24"/>
    </w:rPr>
  </w:style>
  <w:style w:type="paragraph" w:customStyle="1" w:styleId="168">
    <w:name w:val="xl133"/>
    <w:basedOn w:val="1"/>
    <w:qFormat/>
    <w:uiPriority w:val="99"/>
    <w:pPr>
      <w:widowControl/>
      <w:pBdr>
        <w:left w:val="single" w:color="auto" w:sz="4" w:space="0"/>
        <w:right w:val="single" w:color="auto" w:sz="4" w:space="0"/>
      </w:pBdr>
      <w:spacing w:before="100" w:beforeAutospacing="1" w:after="100" w:afterAutospacing="1"/>
      <w:jc w:val="center"/>
    </w:pPr>
    <w:rPr>
      <w:rFonts w:ascii="宋体" w:hAnsi="宋体" w:cs="宋体"/>
      <w:kern w:val="0"/>
      <w:sz w:val="24"/>
    </w:rPr>
  </w:style>
  <w:style w:type="paragraph" w:customStyle="1" w:styleId="169">
    <w:name w:val="xl134"/>
    <w:basedOn w:val="1"/>
    <w:qFormat/>
    <w:uiPriority w:val="99"/>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rPr>
  </w:style>
  <w:style w:type="paragraph" w:customStyle="1" w:styleId="170">
    <w:name w:val="xl135"/>
    <w:basedOn w:val="1"/>
    <w:qFormat/>
    <w:uiPriority w:val="99"/>
    <w:pPr>
      <w:widowControl/>
      <w:pBdr>
        <w:top w:val="single" w:color="auto" w:sz="4" w:space="0"/>
        <w:left w:val="single" w:color="auto" w:sz="4" w:space="0"/>
        <w:right w:val="single" w:color="auto" w:sz="4" w:space="0"/>
      </w:pBdr>
      <w:spacing w:before="100" w:beforeAutospacing="1" w:after="100" w:afterAutospacing="1"/>
      <w:jc w:val="center"/>
      <w:textAlignment w:val="top"/>
    </w:pPr>
    <w:rPr>
      <w:rFonts w:ascii="宋体" w:hAnsi="宋体" w:cs="宋体"/>
      <w:kern w:val="0"/>
      <w:sz w:val="20"/>
      <w:szCs w:val="20"/>
    </w:rPr>
  </w:style>
  <w:style w:type="paragraph" w:customStyle="1" w:styleId="171">
    <w:name w:val="xl136"/>
    <w:basedOn w:val="1"/>
    <w:qFormat/>
    <w:uiPriority w:val="99"/>
    <w:pPr>
      <w:widowControl/>
      <w:pBdr>
        <w:left w:val="single" w:color="auto" w:sz="4" w:space="0"/>
        <w:right w:val="single" w:color="auto" w:sz="4" w:space="0"/>
      </w:pBdr>
      <w:spacing w:before="100" w:beforeAutospacing="1" w:after="100" w:afterAutospacing="1"/>
      <w:jc w:val="center"/>
      <w:textAlignment w:val="top"/>
    </w:pPr>
    <w:rPr>
      <w:rFonts w:ascii="宋体" w:hAnsi="宋体" w:cs="宋体"/>
      <w:kern w:val="0"/>
      <w:sz w:val="20"/>
      <w:szCs w:val="20"/>
    </w:rPr>
  </w:style>
  <w:style w:type="paragraph" w:customStyle="1" w:styleId="172">
    <w:name w:val="xl137"/>
    <w:basedOn w:val="1"/>
    <w:qFormat/>
    <w:uiPriority w:val="99"/>
    <w:pPr>
      <w:widowControl/>
      <w:pBdr>
        <w:left w:val="single" w:color="auto" w:sz="4" w:space="0"/>
        <w:bottom w:val="single" w:color="auto" w:sz="4" w:space="0"/>
        <w:right w:val="single" w:color="auto" w:sz="4" w:space="0"/>
      </w:pBdr>
      <w:spacing w:before="100" w:beforeAutospacing="1" w:after="100" w:afterAutospacing="1"/>
      <w:jc w:val="center"/>
      <w:textAlignment w:val="top"/>
    </w:pPr>
    <w:rPr>
      <w:rFonts w:ascii="宋体" w:hAnsi="宋体" w:cs="宋体"/>
      <w:kern w:val="0"/>
      <w:sz w:val="20"/>
      <w:szCs w:val="20"/>
    </w:rPr>
  </w:style>
  <w:style w:type="paragraph" w:customStyle="1" w:styleId="173">
    <w:name w:val="xl138"/>
    <w:basedOn w:val="1"/>
    <w:qFormat/>
    <w:uiPriority w:val="99"/>
    <w:pPr>
      <w:widowControl/>
      <w:pBdr>
        <w:top w:val="single" w:color="auto" w:sz="4" w:space="0"/>
        <w:left w:val="single" w:color="auto" w:sz="4" w:space="0"/>
        <w:bottom w:val="single" w:color="auto" w:sz="4" w:space="0"/>
      </w:pBdr>
      <w:spacing w:before="100" w:beforeAutospacing="1" w:after="100" w:afterAutospacing="1"/>
      <w:jc w:val="center"/>
      <w:textAlignment w:val="bottom"/>
    </w:pPr>
    <w:rPr>
      <w:rFonts w:ascii="宋体" w:hAnsi="宋体" w:cs="宋体"/>
      <w:b/>
      <w:bCs/>
      <w:kern w:val="0"/>
      <w:sz w:val="24"/>
    </w:rPr>
  </w:style>
  <w:style w:type="paragraph" w:customStyle="1" w:styleId="174">
    <w:name w:val="xl139"/>
    <w:basedOn w:val="1"/>
    <w:qFormat/>
    <w:uiPriority w:val="99"/>
    <w:pPr>
      <w:widowControl/>
      <w:pBdr>
        <w:top w:val="single" w:color="auto" w:sz="4" w:space="0"/>
        <w:bottom w:val="single" w:color="auto" w:sz="4" w:space="0"/>
        <w:right w:val="single" w:color="auto" w:sz="4" w:space="0"/>
      </w:pBdr>
      <w:spacing w:before="100" w:beforeAutospacing="1" w:after="100" w:afterAutospacing="1"/>
      <w:jc w:val="center"/>
      <w:textAlignment w:val="bottom"/>
    </w:pPr>
    <w:rPr>
      <w:rFonts w:ascii="宋体" w:hAnsi="宋体" w:cs="宋体"/>
      <w:b/>
      <w:bCs/>
      <w:kern w:val="0"/>
      <w:sz w:val="24"/>
    </w:rPr>
  </w:style>
  <w:style w:type="paragraph" w:customStyle="1" w:styleId="175">
    <w:name w:val="xl140"/>
    <w:basedOn w:val="1"/>
    <w:qFormat/>
    <w:uiPriority w:val="99"/>
    <w:pPr>
      <w:widowControl/>
      <w:pBdr>
        <w:top w:val="single" w:color="auto" w:sz="4" w:space="0"/>
        <w:bottom w:val="single" w:color="auto" w:sz="4" w:space="0"/>
      </w:pBdr>
      <w:spacing w:before="100" w:beforeAutospacing="1" w:after="100" w:afterAutospacing="1"/>
      <w:jc w:val="left"/>
      <w:textAlignment w:val="top"/>
    </w:pPr>
    <w:rPr>
      <w:rFonts w:ascii="宋体" w:hAnsi="宋体" w:cs="宋体"/>
      <w:b/>
      <w:bCs/>
      <w:kern w:val="0"/>
      <w:sz w:val="28"/>
      <w:szCs w:val="28"/>
    </w:rPr>
  </w:style>
  <w:style w:type="paragraph" w:customStyle="1" w:styleId="176">
    <w:name w:val="xl141"/>
    <w:basedOn w:val="1"/>
    <w:qFormat/>
    <w:uiPriority w:val="99"/>
    <w:pPr>
      <w:widowControl/>
      <w:pBdr>
        <w:left w:val="single" w:color="auto" w:sz="4" w:space="0"/>
        <w:right w:val="single" w:color="auto" w:sz="4" w:space="0"/>
      </w:pBdr>
      <w:spacing w:before="100" w:beforeAutospacing="1" w:after="100" w:afterAutospacing="1"/>
      <w:jc w:val="left"/>
    </w:pPr>
    <w:rPr>
      <w:rFonts w:ascii="宋体" w:hAnsi="宋体" w:cs="宋体"/>
      <w:kern w:val="0"/>
      <w:sz w:val="24"/>
    </w:rPr>
  </w:style>
  <w:style w:type="paragraph" w:customStyle="1" w:styleId="177">
    <w:name w:val="xl142"/>
    <w:basedOn w:val="1"/>
    <w:qFormat/>
    <w:uiPriority w:val="99"/>
    <w:pPr>
      <w:widowControl/>
      <w:pBdr>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rPr>
  </w:style>
  <w:style w:type="character" w:customStyle="1" w:styleId="178">
    <w:name w:val="Char Char Char"/>
    <w:qFormat/>
    <w:uiPriority w:val="99"/>
    <w:rPr>
      <w:rFonts w:ascii="Arial" w:hAnsi="Arial" w:eastAsia="宋体" w:cs="Times New Roman"/>
      <w:b/>
      <w:bCs/>
      <w:kern w:val="2"/>
      <w:sz w:val="32"/>
      <w:szCs w:val="32"/>
      <w:lang w:val="en-US" w:eastAsia="zh-CN" w:bidi="ar-SA"/>
    </w:rPr>
  </w:style>
  <w:style w:type="character" w:customStyle="1" w:styleId="179">
    <w:name w:val="Char Char1"/>
    <w:qFormat/>
    <w:uiPriority w:val="99"/>
    <w:rPr>
      <w:rFonts w:eastAsia="宋体" w:cs="Times New Roman"/>
      <w:b/>
      <w:bCs/>
      <w:kern w:val="44"/>
      <w:sz w:val="44"/>
      <w:szCs w:val="44"/>
      <w:lang w:val="en-US" w:eastAsia="zh-CN" w:bidi="ar-SA"/>
    </w:rPr>
  </w:style>
  <w:style w:type="character" w:customStyle="1" w:styleId="180">
    <w:name w:val="标题 2 Char Char"/>
    <w:qFormat/>
    <w:uiPriority w:val="99"/>
    <w:rPr>
      <w:rFonts w:ascii="Arial" w:hAnsi="Arial" w:eastAsia="宋体" w:cs="Times New Roman"/>
      <w:b/>
      <w:bCs/>
      <w:kern w:val="2"/>
      <w:sz w:val="32"/>
      <w:szCs w:val="32"/>
      <w:lang w:val="en-US" w:eastAsia="zh-CN" w:bidi="ar-SA"/>
    </w:rPr>
  </w:style>
  <w:style w:type="character" w:customStyle="1" w:styleId="181">
    <w:name w:val="unnamed11"/>
    <w:qFormat/>
    <w:uiPriority w:val="99"/>
    <w:rPr>
      <w:rFonts w:cs="Times New Roman"/>
      <w:sz w:val="18"/>
      <w:szCs w:val="18"/>
    </w:rPr>
  </w:style>
  <w:style w:type="character" w:customStyle="1" w:styleId="182">
    <w:name w:val="页码1"/>
    <w:qFormat/>
    <w:uiPriority w:val="99"/>
    <w:rPr>
      <w:rFonts w:cs="Times New Roman"/>
    </w:rPr>
  </w:style>
  <w:style w:type="character" w:customStyle="1" w:styleId="183">
    <w:name w:val="font131"/>
    <w:qFormat/>
    <w:uiPriority w:val="99"/>
    <w:rPr>
      <w:rFonts w:ascii="宋体" w:hAnsi="宋体" w:eastAsia="宋体" w:cs="宋体"/>
      <w:color w:val="000000"/>
      <w:sz w:val="22"/>
      <w:szCs w:val="22"/>
      <w:u w:val="none"/>
    </w:rPr>
  </w:style>
  <w:style w:type="character" w:customStyle="1" w:styleId="184">
    <w:name w:val="font81"/>
    <w:qFormat/>
    <w:uiPriority w:val="99"/>
    <w:rPr>
      <w:rFonts w:ascii="Arial" w:hAnsi="Arial" w:cs="Arial"/>
      <w:color w:val="000000"/>
      <w:sz w:val="22"/>
      <w:szCs w:val="22"/>
      <w:u w:val="none"/>
    </w:rPr>
  </w:style>
  <w:style w:type="character" w:customStyle="1" w:styleId="185">
    <w:name w:val="font91"/>
    <w:qFormat/>
    <w:uiPriority w:val="99"/>
    <w:rPr>
      <w:rFonts w:ascii="宋体" w:hAnsi="宋体" w:eastAsia="宋体" w:cs="宋体"/>
      <w:color w:val="000000"/>
      <w:sz w:val="14"/>
      <w:szCs w:val="14"/>
      <w:u w:val="none"/>
    </w:rPr>
  </w:style>
  <w:style w:type="character" w:customStyle="1" w:styleId="186">
    <w:name w:val="font61"/>
    <w:qFormat/>
    <w:uiPriority w:val="99"/>
    <w:rPr>
      <w:rFonts w:ascii="宋体" w:hAnsi="宋体" w:eastAsia="宋体" w:cs="宋体"/>
      <w:color w:val="000000"/>
      <w:sz w:val="20"/>
      <w:szCs w:val="20"/>
      <w:u w:val="none"/>
    </w:rPr>
  </w:style>
  <w:style w:type="character" w:customStyle="1" w:styleId="187">
    <w:name w:val="font21"/>
    <w:qFormat/>
    <w:uiPriority w:val="99"/>
    <w:rPr>
      <w:rFonts w:ascii="宋体" w:hAnsi="宋体" w:eastAsia="宋体" w:cs="宋体"/>
      <w:color w:val="000000"/>
      <w:sz w:val="16"/>
      <w:szCs w:val="16"/>
      <w:u w:val="none"/>
    </w:rPr>
  </w:style>
  <w:style w:type="character" w:customStyle="1" w:styleId="188">
    <w:name w:val="font31"/>
    <w:qFormat/>
    <w:uiPriority w:val="99"/>
    <w:rPr>
      <w:rFonts w:ascii="Arial" w:hAnsi="Arial" w:cs="Arial"/>
      <w:b/>
      <w:color w:val="000000"/>
      <w:sz w:val="22"/>
      <w:szCs w:val="22"/>
      <w:u w:val="none"/>
    </w:rPr>
  </w:style>
  <w:style w:type="character" w:customStyle="1" w:styleId="189">
    <w:name w:val="font111"/>
    <w:qFormat/>
    <w:uiPriority w:val="99"/>
    <w:rPr>
      <w:rFonts w:ascii="宋体" w:hAnsi="宋体" w:eastAsia="宋体" w:cs="宋体"/>
      <w:b/>
      <w:color w:val="000000"/>
      <w:sz w:val="22"/>
      <w:szCs w:val="22"/>
      <w:u w:val="none"/>
    </w:rPr>
  </w:style>
  <w:style w:type="character" w:customStyle="1" w:styleId="190">
    <w:name w:val="font51"/>
    <w:qFormat/>
    <w:uiPriority w:val="99"/>
    <w:rPr>
      <w:rFonts w:ascii="Arial" w:hAnsi="Arial" w:cs="Arial"/>
      <w:b/>
      <w:color w:val="000000"/>
      <w:sz w:val="20"/>
      <w:szCs w:val="20"/>
      <w:u w:val="none"/>
    </w:rPr>
  </w:style>
  <w:style w:type="character" w:customStyle="1" w:styleId="191">
    <w:name w:val="font101"/>
    <w:qFormat/>
    <w:uiPriority w:val="99"/>
    <w:rPr>
      <w:rFonts w:ascii="宋体" w:hAnsi="宋体" w:eastAsia="宋体" w:cs="宋体"/>
      <w:b/>
      <w:color w:val="000000"/>
      <w:sz w:val="20"/>
      <w:szCs w:val="20"/>
      <w:u w:val="none"/>
    </w:rPr>
  </w:style>
  <w:style w:type="character" w:customStyle="1" w:styleId="192">
    <w:name w:val="font01"/>
    <w:basedOn w:val="39"/>
    <w:qFormat/>
    <w:uiPriority w:val="99"/>
    <w:rPr>
      <w:rFonts w:ascii="Arial" w:hAnsi="Arial" w:cs="Arial"/>
      <w:color w:val="000000"/>
      <w:sz w:val="20"/>
      <w:szCs w:val="20"/>
      <w:u w:val="none"/>
    </w:rPr>
  </w:style>
  <w:style w:type="character" w:customStyle="1" w:styleId="193">
    <w:name w:val="font41"/>
    <w:qFormat/>
    <w:uiPriority w:val="99"/>
    <w:rPr>
      <w:rFonts w:ascii="微软雅黑" w:hAnsi="微软雅黑" w:eastAsia="微软雅黑" w:cs="微软雅黑"/>
      <w:color w:val="000000"/>
      <w:sz w:val="20"/>
      <w:szCs w:val="20"/>
      <w:u w:val="none"/>
    </w:rPr>
  </w:style>
  <w:style w:type="character" w:customStyle="1" w:styleId="194">
    <w:name w:val="font121"/>
    <w:qFormat/>
    <w:uiPriority w:val="99"/>
    <w:rPr>
      <w:rFonts w:ascii="宋体" w:hAnsi="宋体" w:eastAsia="宋体" w:cs="宋体"/>
      <w:color w:val="000000"/>
      <w:sz w:val="22"/>
      <w:szCs w:val="22"/>
      <w:u w:val="none"/>
    </w:rPr>
  </w:style>
  <w:style w:type="character" w:customStyle="1" w:styleId="195">
    <w:name w:val="font151"/>
    <w:qFormat/>
    <w:uiPriority w:val="99"/>
    <w:rPr>
      <w:rFonts w:ascii="Calibri" w:hAnsi="Calibri" w:cs="Calibri"/>
      <w:color w:val="000000"/>
      <w:sz w:val="20"/>
      <w:szCs w:val="20"/>
      <w:u w:val="none"/>
    </w:rPr>
  </w:style>
  <w:style w:type="character" w:customStyle="1" w:styleId="196">
    <w:name w:val="font141"/>
    <w:qFormat/>
    <w:uiPriority w:val="99"/>
    <w:rPr>
      <w:rFonts w:ascii="Calibri" w:hAnsi="Calibri" w:cs="Calibri"/>
      <w:color w:val="000000"/>
      <w:sz w:val="21"/>
      <w:szCs w:val="21"/>
      <w:u w:val="none"/>
    </w:rPr>
  </w:style>
  <w:style w:type="character" w:customStyle="1" w:styleId="197">
    <w:name w:val="font71"/>
    <w:qFormat/>
    <w:uiPriority w:val="99"/>
    <w:rPr>
      <w:rFonts w:ascii="宋体" w:hAnsi="宋体" w:eastAsia="宋体" w:cs="宋体"/>
      <w:color w:val="000000"/>
      <w:sz w:val="18"/>
      <w:szCs w:val="18"/>
      <w:u w:val="none"/>
    </w:rPr>
  </w:style>
  <w:style w:type="character" w:customStyle="1" w:styleId="198">
    <w:name w:val="l-btn-empty"/>
    <w:basedOn w:val="39"/>
    <w:qFormat/>
    <w:uiPriority w:val="0"/>
  </w:style>
  <w:style w:type="character" w:customStyle="1" w:styleId="199">
    <w:name w:val="l-btn-left2"/>
    <w:basedOn w:val="39"/>
    <w:qFormat/>
    <w:uiPriority w:val="0"/>
  </w:style>
  <w:style w:type="character" w:customStyle="1" w:styleId="200">
    <w:name w:val="l-btn-left3"/>
    <w:basedOn w:val="39"/>
    <w:qFormat/>
    <w:uiPriority w:val="0"/>
  </w:style>
  <w:style w:type="character" w:customStyle="1" w:styleId="201">
    <w:name w:val="l-btn-left4"/>
    <w:basedOn w:val="39"/>
    <w:qFormat/>
    <w:uiPriority w:val="0"/>
  </w:style>
  <w:style w:type="character" w:customStyle="1" w:styleId="202">
    <w:name w:val="l-btn-left5"/>
    <w:basedOn w:val="39"/>
    <w:qFormat/>
    <w:uiPriority w:val="0"/>
  </w:style>
  <w:style w:type="character" w:customStyle="1" w:styleId="203">
    <w:name w:val="l-btn-text"/>
    <w:basedOn w:val="39"/>
    <w:qFormat/>
    <w:uiPriority w:val="0"/>
  </w:style>
  <w:style w:type="character" w:customStyle="1" w:styleId="204">
    <w:name w:val="l-selected2"/>
    <w:qFormat/>
    <w:uiPriority w:val="0"/>
    <w:rPr>
      <w:color w:val="355686"/>
      <w:bdr w:val="single" w:color="DAB364" w:sz="6" w:space="0"/>
      <w:shd w:val="clear" w:color="auto" w:fill="FFFFFF"/>
    </w:rPr>
  </w:style>
  <w:style w:type="character" w:customStyle="1" w:styleId="205">
    <w:name w:val="l-open"/>
    <w:basedOn w:val="39"/>
    <w:qFormat/>
    <w:uiPriority w:val="0"/>
  </w:style>
  <w:style w:type="character" w:customStyle="1" w:styleId="206">
    <w:name w:val="l-over"/>
    <w:qFormat/>
    <w:uiPriority w:val="0"/>
    <w:rPr>
      <w:bdr w:val="single" w:color="DAB364" w:sz="6" w:space="0"/>
    </w:rPr>
  </w:style>
  <w:style w:type="character" w:customStyle="1" w:styleId="207">
    <w:name w:val="l-selected"/>
    <w:qFormat/>
    <w:uiPriority w:val="0"/>
    <w:rPr>
      <w:color w:val="355686"/>
      <w:bdr w:val="single" w:color="DAB364" w:sz="6" w:space="0"/>
      <w:shd w:val="clear" w:color="auto" w:fill="FFFFFF"/>
    </w:rPr>
  </w:style>
  <w:style w:type="character" w:customStyle="1" w:styleId="208">
    <w:name w:val="l-btn-left"/>
    <w:basedOn w:val="39"/>
    <w:qFormat/>
    <w:uiPriority w:val="0"/>
  </w:style>
  <w:style w:type="character" w:customStyle="1" w:styleId="209">
    <w:name w:val="l-btn-left1"/>
    <w:basedOn w:val="39"/>
    <w:qFormat/>
    <w:uiPriority w:val="0"/>
  </w:style>
  <w:style w:type="paragraph" w:customStyle="1" w:styleId="210">
    <w:name w:val="样式"/>
    <w:qFormat/>
    <w:uiPriority w:val="0"/>
    <w:pPr>
      <w:widowControl w:val="0"/>
      <w:autoSpaceDE w:val="0"/>
      <w:autoSpaceDN w:val="0"/>
      <w:adjustRightInd w:val="0"/>
    </w:pPr>
    <w:rPr>
      <w:rFonts w:ascii="宋体" w:hAnsi="宋体" w:eastAsia="宋体" w:cs="宋体"/>
      <w:sz w:val="24"/>
      <w:szCs w:val="24"/>
      <w:lang w:val="en-US" w:eastAsia="zh-CN" w:bidi="ar-SA"/>
    </w:rPr>
  </w:style>
  <w:style w:type="paragraph" w:customStyle="1" w:styleId="211">
    <w:name w:val="soustitre"/>
    <w:basedOn w:val="1"/>
    <w:qFormat/>
    <w:uiPriority w:val="0"/>
    <w:pPr>
      <w:widowControl/>
      <w:tabs>
        <w:tab w:val="left" w:pos="525"/>
      </w:tabs>
      <w:overflowPunct w:val="0"/>
      <w:autoSpaceDE w:val="0"/>
      <w:autoSpaceDN w:val="0"/>
      <w:adjustRightInd w:val="0"/>
      <w:spacing w:line="400" w:lineRule="atLeast"/>
      <w:jc w:val="center"/>
    </w:pPr>
    <w:rPr>
      <w:rFonts w:ascii="New York" w:hAnsi="New York" w:eastAsia="楷体_GB2312"/>
      <w:kern w:val="0"/>
      <w:position w:val="-6"/>
      <w:sz w:val="24"/>
      <w:lang w:val="fr-FR"/>
    </w:rPr>
  </w:style>
  <w:style w:type="paragraph" w:customStyle="1" w:styleId="212">
    <w:name w:val="样式3"/>
    <w:basedOn w:val="22"/>
    <w:qFormat/>
    <w:uiPriority w:val="0"/>
    <w:pPr>
      <w:spacing w:line="0" w:lineRule="atLeast"/>
      <w:outlineLvl w:val="0"/>
    </w:pPr>
    <w:rPr>
      <w:rFonts w:ascii="Times New Roman" w:hAnsi="Times New Roman"/>
      <w:sz w:val="28"/>
    </w:rPr>
  </w:style>
  <w:style w:type="paragraph" w:customStyle="1" w:styleId="213">
    <w:name w:val="列出段落4"/>
    <w:basedOn w:val="1"/>
    <w:qFormat/>
    <w:uiPriority w:val="34"/>
    <w:pPr>
      <w:ind w:firstLine="420" w:firstLineChars="200"/>
    </w:pPr>
  </w:style>
  <w:style w:type="character" w:customStyle="1" w:styleId="214">
    <w:name w:val="tcolor4"/>
    <w:qFormat/>
    <w:uiPriority w:val="0"/>
    <w:rPr>
      <w:rFonts w:ascii="lucida grande" w:hAnsi="lucida grande" w:eastAsia="lucida grande" w:cs="lucida grande"/>
      <w:color w:val="7F7F7F"/>
      <w:sz w:val="18"/>
      <w:szCs w:val="18"/>
    </w:rPr>
  </w:style>
  <w:style w:type="character" w:customStyle="1" w:styleId="215">
    <w:name w:val="apple-style-span"/>
    <w:qFormat/>
    <w:uiPriority w:val="0"/>
    <w:rPr>
      <w:rFonts w:cs="Times New Roman"/>
    </w:rPr>
  </w:style>
  <w:style w:type="paragraph" w:customStyle="1" w:styleId="216">
    <w:name w:val="_Style 1"/>
    <w:basedOn w:val="1"/>
    <w:qFormat/>
    <w:uiPriority w:val="0"/>
    <w:pPr>
      <w:ind w:firstLine="420" w:firstLineChars="200"/>
    </w:pPr>
    <w:rPr>
      <w:szCs w:val="22"/>
    </w:rPr>
  </w:style>
  <w:style w:type="character" w:customStyle="1" w:styleId="217">
    <w:name w:val="fontstyle21"/>
    <w:qFormat/>
    <w:uiPriority w:val="0"/>
    <w:rPr>
      <w:rFonts w:ascii="TimesNewRomanPSMT" w:hAnsi="TimesNewRomanPSMT" w:eastAsia="TimesNewRomanPSMT" w:cs="TimesNewRomanPSMT"/>
      <w:color w:val="000000"/>
      <w:sz w:val="18"/>
      <w:szCs w:val="18"/>
    </w:rPr>
  </w:style>
  <w:style w:type="character" w:customStyle="1" w:styleId="218">
    <w:name w:val="fontstyle01"/>
    <w:qFormat/>
    <w:uiPriority w:val="0"/>
    <w:rPr>
      <w:rFonts w:hint="eastAsia" w:ascii="宋体" w:hAnsi="宋体" w:eastAsia="宋体" w:cs="宋体"/>
      <w:color w:val="000000"/>
      <w:sz w:val="24"/>
      <w:szCs w:val="24"/>
    </w:rPr>
  </w:style>
  <w:style w:type="paragraph" w:customStyle="1" w:styleId="219">
    <w:name w:val="无间隔1"/>
    <w:qFormat/>
    <w:uiPriority w:val="1"/>
    <w:pPr>
      <w:widowControl w:val="0"/>
      <w:jc w:val="both"/>
    </w:pPr>
    <w:rPr>
      <w:rFonts w:ascii="Calibri" w:hAnsi="Calibri" w:eastAsia="宋体" w:cs="Times New Roman"/>
      <w:kern w:val="2"/>
      <w:sz w:val="21"/>
      <w:szCs w:val="22"/>
      <w:lang w:val="en-US" w:eastAsia="zh-CN" w:bidi="ar-SA"/>
    </w:rPr>
  </w:style>
  <w:style w:type="paragraph" w:customStyle="1" w:styleId="220">
    <w:name w:val="标准段落正文"/>
    <w:basedOn w:val="221"/>
    <w:qFormat/>
    <w:uiPriority w:val="0"/>
    <w:pPr>
      <w:spacing w:beforeLines="0" w:afterLines="0"/>
      <w:ind w:left="0" w:leftChars="0" w:firstLine="480" w:firstLineChars="200"/>
      <w:jc w:val="left"/>
    </w:pPr>
    <w:rPr>
      <w:rFonts w:eastAsia="宋体"/>
    </w:rPr>
  </w:style>
  <w:style w:type="paragraph" w:customStyle="1" w:styleId="221">
    <w:name w:val="单括号小标题"/>
    <w:basedOn w:val="1"/>
    <w:qFormat/>
    <w:uiPriority w:val="0"/>
    <w:pPr>
      <w:spacing w:beforeLines="50" w:afterLines="100" w:line="360" w:lineRule="auto"/>
      <w:ind w:left="200" w:leftChars="200"/>
    </w:pPr>
    <w:rPr>
      <w:rFonts w:eastAsia="黑体"/>
      <w:sz w:val="24"/>
    </w:rPr>
  </w:style>
  <w:style w:type="paragraph" w:styleId="222">
    <w:name w:val="List Paragraph"/>
    <w:basedOn w:val="1"/>
    <w:qFormat/>
    <w:uiPriority w:val="34"/>
    <w:pPr>
      <w:ind w:firstLine="420" w:firstLineChars="200"/>
    </w:pPr>
  </w:style>
  <w:style w:type="paragraph" w:customStyle="1" w:styleId="223">
    <w:name w:val="Table Paragraph"/>
    <w:basedOn w:val="1"/>
    <w:qFormat/>
    <w:uiPriority w:val="1"/>
    <w:rPr>
      <w:rFonts w:ascii="宋体" w:hAnsi="宋体" w:cs="宋体"/>
    </w:rPr>
  </w:style>
  <w:style w:type="paragraph" w:customStyle="1" w:styleId="224">
    <w:name w:val="表格"/>
    <w:qFormat/>
    <w:uiPriority w:val="0"/>
    <w:pPr>
      <w:tabs>
        <w:tab w:val="center" w:pos="4153"/>
        <w:tab w:val="right" w:pos="8306"/>
      </w:tabs>
      <w:autoSpaceDE w:val="0"/>
      <w:autoSpaceDN w:val="0"/>
      <w:adjustRightInd w:val="0"/>
      <w:snapToGrid w:val="0"/>
      <w:spacing w:line="400" w:lineRule="exact"/>
      <w:jc w:val="center"/>
    </w:pPr>
    <w:rPr>
      <w:rFonts w:ascii="宋体" w:hAnsi="宋体" w:eastAsia="宋体" w:cs="Times New Roman"/>
      <w:b/>
      <w:kern w:val="2"/>
      <w:sz w:val="21"/>
      <w:szCs w:val="21"/>
      <w:lang w:val="en-US" w:eastAsia="zh-CN" w:bidi="ar-SA"/>
    </w:rPr>
  </w:style>
  <w:style w:type="character" w:customStyle="1" w:styleId="225">
    <w:name w:val="add"/>
    <w:basedOn w:val="39"/>
    <w:qFormat/>
    <w:uiPriority w:val="0"/>
  </w:style>
  <w:style w:type="character" w:customStyle="1" w:styleId="226">
    <w:name w:val="hover9"/>
    <w:basedOn w:val="39"/>
    <w:qFormat/>
    <w:uiPriority w:val="0"/>
    <w:rPr>
      <w:color w:val="FF0000"/>
    </w:rPr>
  </w:style>
  <w:style w:type="character" w:customStyle="1" w:styleId="227">
    <w:name w:val="orange"/>
    <w:basedOn w:val="39"/>
    <w:qFormat/>
    <w:uiPriority w:val="0"/>
    <w:rPr>
      <w:color w:val="FF851A"/>
    </w:rPr>
  </w:style>
  <w:style w:type="character" w:customStyle="1" w:styleId="228">
    <w:name w:val="tradclose"/>
    <w:basedOn w:val="39"/>
    <w:qFormat/>
    <w:uiPriority w:val="0"/>
    <w:rPr>
      <w:sz w:val="30"/>
      <w:szCs w:val="30"/>
    </w:rPr>
  </w:style>
  <w:style w:type="character" w:customStyle="1" w:styleId="229">
    <w:name w:val="15"/>
    <w:basedOn w:val="39"/>
    <w:qFormat/>
    <w:uiPriority w:val="0"/>
    <w:rPr>
      <w:rFonts w:hint="default" w:ascii="Times New Roman" w:hAnsi="Times New Roman" w:cs="Times New Roman"/>
      <w:b/>
      <w:bCs/>
    </w:rPr>
  </w:style>
  <w:style w:type="paragraph" w:customStyle="1" w:styleId="230">
    <w:name w:val="我的正文"/>
    <w:basedOn w:val="1"/>
    <w:qFormat/>
    <w:uiPriority w:val="0"/>
    <w:pPr>
      <w:wordWrap w:val="0"/>
      <w:adjustRightInd w:val="0"/>
      <w:snapToGrid w:val="0"/>
      <w:spacing w:line="360" w:lineRule="auto"/>
      <w:ind w:firstLine="200" w:firstLineChars="200"/>
    </w:pPr>
    <w:rPr>
      <w:rFonts w:ascii="宋体"/>
    </w:rPr>
  </w:style>
  <w:style w:type="table" w:customStyle="1" w:styleId="231">
    <w:name w:val="网格型1"/>
    <w:basedOn w:val="3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232">
    <w:name w:val="网格型2"/>
    <w:basedOn w:val="3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233">
    <w:name w:val="网格型3"/>
    <w:basedOn w:val="3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234">
    <w:name w:val="网格型4"/>
    <w:basedOn w:val="3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235">
    <w:name w:val="NormalCharacter"/>
    <w:qFormat/>
    <w:uiPriority w:val="0"/>
    <w:rPr>
      <w:rFonts w:ascii="Times New Roman" w:hAnsi="Times New Roman" w:eastAsia="宋体"/>
    </w:rPr>
  </w:style>
  <w:style w:type="paragraph" w:customStyle="1" w:styleId="236">
    <w:name w:val="表格文字"/>
    <w:basedOn w:val="1"/>
    <w:qFormat/>
    <w:uiPriority w:val="0"/>
    <w:pPr>
      <w:spacing w:before="25" w:after="25"/>
      <w:jc w:val="left"/>
    </w:pPr>
    <w:rPr>
      <w:bCs/>
      <w:spacing w:val="10"/>
      <w:kern w:val="0"/>
      <w:sz w:val="24"/>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1" Type="http://schemas.openxmlformats.org/officeDocument/2006/relationships/fontTable" Target="fontTable.xml"/><Relationship Id="rId30" Type="http://schemas.openxmlformats.org/officeDocument/2006/relationships/customXml" Target="../customXml/item2.xml"/><Relationship Id="rId3" Type="http://schemas.openxmlformats.org/officeDocument/2006/relationships/header" Target="header1.xml"/><Relationship Id="rId29" Type="http://schemas.openxmlformats.org/officeDocument/2006/relationships/numbering" Target="numbering.xml"/><Relationship Id="rId28" Type="http://schemas.openxmlformats.org/officeDocument/2006/relationships/customXml" Target="../customXml/item1.xml"/><Relationship Id="rId27" Type="http://schemas.openxmlformats.org/officeDocument/2006/relationships/theme" Target="theme/theme1.xml"/><Relationship Id="rId26" Type="http://schemas.openxmlformats.org/officeDocument/2006/relationships/footer" Target="footer8.xml"/><Relationship Id="rId25" Type="http://schemas.openxmlformats.org/officeDocument/2006/relationships/header" Target="header16.xml"/><Relationship Id="rId24" Type="http://schemas.openxmlformats.org/officeDocument/2006/relationships/header" Target="header15.xml"/><Relationship Id="rId23" Type="http://schemas.openxmlformats.org/officeDocument/2006/relationships/footer" Target="footer7.xml"/><Relationship Id="rId22" Type="http://schemas.openxmlformats.org/officeDocument/2006/relationships/footer" Target="footer6.xml"/><Relationship Id="rId21" Type="http://schemas.openxmlformats.org/officeDocument/2006/relationships/footer" Target="footer5.xml"/><Relationship Id="rId20" Type="http://schemas.openxmlformats.org/officeDocument/2006/relationships/header" Target="header14.xml"/><Relationship Id="rId2" Type="http://schemas.openxmlformats.org/officeDocument/2006/relationships/settings" Target="settings.xml"/><Relationship Id="rId19" Type="http://schemas.openxmlformats.org/officeDocument/2006/relationships/header" Target="header13.xml"/><Relationship Id="rId18" Type="http://schemas.openxmlformats.org/officeDocument/2006/relationships/header" Target="header12.xml"/><Relationship Id="rId17" Type="http://schemas.openxmlformats.org/officeDocument/2006/relationships/header" Target="header11.xml"/><Relationship Id="rId16" Type="http://schemas.openxmlformats.org/officeDocument/2006/relationships/header" Target="header10.xml"/><Relationship Id="rId15" Type="http://schemas.openxmlformats.org/officeDocument/2006/relationships/header" Target="header9.xml"/><Relationship Id="rId14" Type="http://schemas.openxmlformats.org/officeDocument/2006/relationships/header" Target="header8.xml"/><Relationship Id="rId13" Type="http://schemas.openxmlformats.org/officeDocument/2006/relationships/header" Target="header7.xml"/><Relationship Id="rId12" Type="http://schemas.openxmlformats.org/officeDocument/2006/relationships/header" Target="header6.xml"/><Relationship Id="rId11" Type="http://schemas.openxmlformats.org/officeDocument/2006/relationships/header" Target="header5.xml"/><Relationship Id="rId10" Type="http://schemas.openxmlformats.org/officeDocument/2006/relationships/header" Target="header4.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ops>
  <customShpExts>
    <customShpInfo spid="_x0000_s3083" textRotate="1"/>
    <customShpInfo spid="_x0000_s3084" textRotate="1"/>
    <customShpInfo spid="_x0000_s3085" textRotate="1"/>
    <customShpInfo spid="_x0000_s3086" textRotate="1"/>
    <customShpInfo spid="_x0000_s3087" textRotate="1"/>
    <customShpInfo spid="_x0000_s3088"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FD256C3-B2E3-48D9-B792-713C91555075}">
  <ds:schemaRefs/>
</ds:datastoreItem>
</file>

<file path=docProps/app.xml><?xml version="1.0" encoding="utf-8"?>
<Properties xmlns="http://schemas.openxmlformats.org/officeDocument/2006/extended-properties" xmlns:vt="http://schemas.openxmlformats.org/officeDocument/2006/docPropsVTypes">
  <Template>Normal.dotm</Template>
  <Company>Microsoft Corporation</Company>
  <Pages>71</Pages>
  <Words>34011</Words>
  <Characters>35833</Characters>
  <Lines>387</Lines>
  <Paragraphs>108</Paragraphs>
  <TotalTime>25</TotalTime>
  <ScaleCrop>false</ScaleCrop>
  <LinksUpToDate>false</LinksUpToDate>
  <CharactersWithSpaces>37038</CharactersWithSpaces>
  <Application>WPS Office_11.1.0.14036_F1E327BC-269C-435d-A152-05C5408002CA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2014-07-10T02:20:00Z</dcterms:created>
  <dc:creator>fxzm</dc:creator>
  <cp:lastModifiedBy>孤星寒月</cp:lastModifiedBy>
  <cp:lastPrinted>2021-09-02T03:49:00Z</cp:lastPrinted>
  <dcterms:modified xsi:type="dcterms:W3CDTF">2023-04-24T08:33:35Z</dcterms:modified>
  <dc:title>甘肃省省级机关事业单位</dc:title>
  <cp:revision>294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6FDE5AC7F6F8476CB133E2DE1088F5A3</vt:lpwstr>
  </property>
</Properties>
</file>