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left"/>
        <w:rPr>
          <w:rFonts w:hint="eastAsia" w:ascii="宋体" w:hAnsi="宋体" w:eastAsia="宋体" w:cs="宋体"/>
          <w:color w:val="auto"/>
          <w:szCs w:val="21"/>
          <w:highlight w:val="none"/>
        </w:rPr>
      </w:pPr>
    </w:p>
    <w:p>
      <w:pPr>
        <w:pStyle w:val="19"/>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topLinePunct w:val="0"/>
        <w:bidi w:val="0"/>
        <w:spacing w:line="360" w:lineRule="auto"/>
        <w:jc w:val="center"/>
        <w:rPr>
          <w:rFonts w:hint="eastAsia" w:ascii="宋体" w:hAnsi="宋体" w:eastAsia="宋体" w:cs="宋体"/>
          <w:b/>
          <w:color w:val="auto"/>
          <w:w w:val="90"/>
          <w:sz w:val="56"/>
          <w:szCs w:val="56"/>
          <w:highlight w:val="none"/>
          <w:lang w:eastAsia="zh-CN"/>
        </w:rPr>
      </w:pPr>
      <w:r>
        <w:rPr>
          <w:rFonts w:hint="eastAsia" w:ascii="宋体" w:hAnsi="宋体" w:eastAsia="宋体" w:cs="宋体"/>
          <w:b/>
          <w:color w:val="auto"/>
          <w:w w:val="90"/>
          <w:sz w:val="56"/>
          <w:szCs w:val="56"/>
          <w:highlight w:val="none"/>
          <w:lang w:eastAsia="zh-CN"/>
        </w:rPr>
        <w:t>甘肃省第二人民医院</w:t>
      </w:r>
      <w:r>
        <w:rPr>
          <w:rFonts w:hint="eastAsia" w:ascii="宋体" w:hAnsi="宋体" w:cs="宋体"/>
          <w:b/>
          <w:color w:val="auto"/>
          <w:w w:val="90"/>
          <w:sz w:val="56"/>
          <w:szCs w:val="56"/>
          <w:highlight w:val="none"/>
          <w:lang w:eastAsia="zh-CN"/>
        </w:rPr>
        <w:t>高流量湿化治疗仪</w:t>
      </w:r>
    </w:p>
    <w:p>
      <w:pPr>
        <w:pageBreakBefore w:val="0"/>
        <w:kinsoku/>
        <w:topLinePunct w:val="0"/>
        <w:bidi w:val="0"/>
        <w:spacing w:line="360" w:lineRule="auto"/>
        <w:jc w:val="center"/>
        <w:rPr>
          <w:rFonts w:hint="default" w:ascii="宋体" w:hAnsi="宋体" w:eastAsia="宋体" w:cs="宋体"/>
          <w:b/>
          <w:color w:val="auto"/>
          <w:w w:val="90"/>
          <w:sz w:val="56"/>
          <w:szCs w:val="56"/>
          <w:highlight w:val="none"/>
          <w:lang w:val="en-US" w:eastAsia="zh-CN"/>
        </w:rPr>
      </w:pPr>
      <w:r>
        <w:rPr>
          <w:rFonts w:hint="eastAsia" w:ascii="宋体" w:hAnsi="宋体" w:eastAsia="宋体" w:cs="宋体"/>
          <w:b/>
          <w:color w:val="auto"/>
          <w:w w:val="90"/>
          <w:sz w:val="56"/>
          <w:szCs w:val="56"/>
          <w:highlight w:val="none"/>
          <w:lang w:eastAsia="zh-CN"/>
        </w:rPr>
        <w:t>采购项目</w:t>
      </w:r>
      <w:r>
        <w:rPr>
          <w:rFonts w:hint="eastAsia" w:ascii="宋体" w:hAnsi="宋体" w:cs="宋体"/>
          <w:b/>
          <w:color w:val="auto"/>
          <w:w w:val="90"/>
          <w:sz w:val="56"/>
          <w:szCs w:val="56"/>
          <w:highlight w:val="none"/>
          <w:lang w:val="en-US" w:eastAsia="zh-CN"/>
        </w:rPr>
        <w:t>第三次</w:t>
      </w:r>
    </w:p>
    <w:p>
      <w:pPr>
        <w:pStyle w:val="19"/>
        <w:pageBreakBefore w:val="0"/>
        <w:kinsoku/>
        <w:overflowPunct/>
        <w:topLinePunct w:val="0"/>
        <w:bidi w:val="0"/>
        <w:spacing w:line="360" w:lineRule="auto"/>
        <w:rPr>
          <w:rFonts w:hint="eastAsia" w:ascii="宋体" w:hAnsi="宋体" w:eastAsia="宋体" w:cs="宋体"/>
          <w:lang w:eastAsia="zh-CN"/>
        </w:rPr>
      </w:pPr>
    </w:p>
    <w:p>
      <w:pPr>
        <w:pStyle w:val="25"/>
        <w:pageBreakBefore w:val="0"/>
        <w:kinsoku/>
        <w:overflowPunct/>
        <w:topLinePunct w:val="0"/>
        <w:bidi w:val="0"/>
        <w:spacing w:line="360" w:lineRule="auto"/>
        <w:rPr>
          <w:rFonts w:hint="eastAsia" w:ascii="宋体" w:hAnsi="宋体" w:eastAsia="宋体" w:cs="宋体"/>
          <w:b/>
          <w:color w:val="auto"/>
          <w:w w:val="90"/>
          <w:sz w:val="20"/>
          <w:szCs w:val="20"/>
          <w:highlight w:val="none"/>
          <w:lang w:eastAsia="zh-CN"/>
        </w:rPr>
      </w:pPr>
    </w:p>
    <w:p>
      <w:pPr>
        <w:pStyle w:val="9"/>
        <w:pageBreakBefore w:val="0"/>
        <w:kinsoku/>
        <w:overflowPunct/>
        <w:topLinePunct w:val="0"/>
        <w:bidi w:val="0"/>
        <w:spacing w:line="360" w:lineRule="auto"/>
        <w:ind w:firstLine="0" w:firstLineChars="0"/>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72"/>
          <w:szCs w:val="72"/>
          <w:highlight w:val="none"/>
        </w:rPr>
        <w:t>竞争性磋商文件</w:t>
      </w:r>
    </w:p>
    <w:p>
      <w:pPr>
        <w:pageBreakBefore w:val="0"/>
        <w:kinsoku/>
        <w:overflowPunct/>
        <w:topLinePunct w:val="0"/>
        <w:bidi w:val="0"/>
        <w:spacing w:line="360" w:lineRule="auto"/>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firstLine="640"/>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left="0" w:leftChars="0" w:firstLine="0" w:firstLineChars="0"/>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8"/>
        <w:rPr>
          <w:rFonts w:hint="eastAsia"/>
        </w:rPr>
      </w:pPr>
    </w:p>
    <w:p>
      <w:pPr>
        <w:rPr>
          <w:rFonts w:hint="eastAsia"/>
        </w:rPr>
      </w:pPr>
    </w:p>
    <w:p>
      <w:pPr>
        <w:pageBreakBefore w:val="0"/>
        <w:kinsoku/>
        <w:overflowPunct/>
        <w:topLinePunct w:val="0"/>
        <w:bidi w:val="0"/>
        <w:spacing w:line="360" w:lineRule="auto"/>
        <w:ind w:firstLine="1807" w:firstLineChars="600"/>
        <w:rPr>
          <w:rFonts w:hint="eastAsia" w:ascii="宋体" w:hAnsi="宋体" w:cs="宋体"/>
          <w:b/>
          <w:color w:val="auto"/>
          <w:sz w:val="30"/>
          <w:szCs w:val="30"/>
          <w:highlight w:val="none"/>
          <w:lang w:val="en-US" w:eastAsia="zh-CN"/>
        </w:rPr>
      </w:pPr>
      <w:bookmarkStart w:id="0" w:name="_Toc361769627"/>
      <w:bookmarkStart w:id="1" w:name="_Toc432437621"/>
      <w:bookmarkStart w:id="2" w:name="_Toc465152700"/>
      <w:bookmarkStart w:id="3" w:name="_Toc361769761"/>
      <w:r>
        <w:rPr>
          <w:rFonts w:hint="eastAsia" w:ascii="宋体" w:hAnsi="宋体" w:eastAsia="宋体" w:cs="宋体"/>
          <w:b/>
          <w:color w:val="auto"/>
          <w:sz w:val="30"/>
          <w:szCs w:val="30"/>
          <w:highlight w:val="none"/>
        </w:rPr>
        <w:t>文件编号：SEY-2023YNCG-0</w:t>
      </w:r>
      <w:r>
        <w:rPr>
          <w:rFonts w:hint="eastAsia" w:ascii="宋体" w:hAnsi="宋体" w:cs="宋体"/>
          <w:b/>
          <w:color w:val="auto"/>
          <w:sz w:val="30"/>
          <w:szCs w:val="30"/>
          <w:highlight w:val="none"/>
          <w:lang w:val="en-US" w:eastAsia="zh-CN"/>
        </w:rPr>
        <w:t>77</w:t>
      </w:r>
    </w:p>
    <w:p>
      <w:pPr>
        <w:pageBreakBefore w:val="0"/>
        <w:kinsoku/>
        <w:overflowPunct/>
        <w:topLinePunct w:val="0"/>
        <w:bidi w:val="0"/>
        <w:spacing w:line="360" w:lineRule="auto"/>
        <w:ind w:firstLine="1807" w:firstLineChars="6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采购</w:t>
      </w:r>
      <w:r>
        <w:rPr>
          <w:rFonts w:hint="eastAsia" w:ascii="宋体" w:hAnsi="宋体" w:eastAsia="宋体" w:cs="宋体"/>
          <w:b/>
          <w:color w:val="auto"/>
          <w:sz w:val="30"/>
          <w:szCs w:val="30"/>
          <w:highlight w:val="none"/>
        </w:rPr>
        <w:t>单位：</w:t>
      </w:r>
      <w:r>
        <w:rPr>
          <w:rFonts w:hint="eastAsia" w:ascii="宋体" w:hAnsi="宋体" w:eastAsia="宋体" w:cs="宋体"/>
          <w:b/>
          <w:color w:val="auto"/>
          <w:sz w:val="30"/>
          <w:szCs w:val="30"/>
          <w:highlight w:val="none"/>
          <w:lang w:eastAsia="zh-CN"/>
        </w:rPr>
        <w:t>甘肃省第二人民医院</w:t>
      </w:r>
    </w:p>
    <w:p>
      <w:pPr>
        <w:pageBreakBefore w:val="0"/>
        <w:kinsoku/>
        <w:overflowPunct/>
        <w:topLinePunct w:val="0"/>
        <w:bidi w:val="0"/>
        <w:spacing w:line="360" w:lineRule="auto"/>
        <w:jc w:val="center"/>
        <w:rPr>
          <w:rFonts w:hint="eastAsia" w:ascii="宋体" w:hAnsi="宋体" w:eastAsia="宋体" w:cs="宋体"/>
          <w:b/>
          <w:color w:val="auto"/>
          <w:sz w:val="30"/>
          <w:szCs w:val="30"/>
          <w:highlight w:val="none"/>
        </w:rPr>
        <w:sectPr>
          <w:footerReference r:id="rId6" w:type="first"/>
          <w:footerReference r:id="rId4" w:type="default"/>
          <w:headerReference r:id="rId3" w:type="even"/>
          <w:footerReference r:id="rId5" w:type="even"/>
          <w:pgSz w:w="11906" w:h="16838"/>
          <w:pgMar w:top="1191" w:right="1587" w:bottom="1191" w:left="1587" w:header="851" w:footer="992" w:gutter="0"/>
          <w:pgNumType w:start="0"/>
          <w:cols w:space="720" w:num="1"/>
          <w:titlePg/>
          <w:docGrid w:linePitch="286" w:charSpace="0"/>
        </w:sectPr>
      </w:pPr>
      <w:bookmarkStart w:id="4" w:name="_Toc30172"/>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月</w:t>
      </w:r>
      <w:bookmarkEnd w:id="4"/>
    </w:p>
    <w:p>
      <w:pPr>
        <w:pageBreakBefore w:val="0"/>
        <w:kinsoku/>
        <w:overflowPunct/>
        <w:topLinePunct w:val="0"/>
        <w:bidi w:val="0"/>
        <w:spacing w:line="360" w:lineRule="auto"/>
        <w:rPr>
          <w:rFonts w:hint="eastAsia" w:ascii="宋体" w:hAnsi="宋体" w:eastAsia="宋体" w:cs="宋体"/>
          <w:bCs/>
          <w:color w:val="auto"/>
          <w:highlight w:val="none"/>
        </w:rPr>
      </w:pPr>
    </w:p>
    <w:p>
      <w:pPr>
        <w:pStyle w:val="3"/>
        <w:pageBreakBefore w:val="0"/>
        <w:kinsoku/>
        <w:overflowPunct/>
        <w:topLinePunct w:val="0"/>
        <w:bidi w:val="0"/>
        <w:snapToGrid w:val="0"/>
        <w:spacing w:before="0" w:after="0" w:line="360" w:lineRule="auto"/>
        <w:jc w:val="center"/>
        <w:rPr>
          <w:rFonts w:hint="eastAsia" w:ascii="宋体" w:hAnsi="宋体" w:eastAsia="宋体" w:cs="宋体"/>
          <w:bCs w:val="0"/>
          <w:color w:val="auto"/>
          <w:sz w:val="36"/>
          <w:szCs w:val="36"/>
          <w:highlight w:val="none"/>
        </w:rPr>
      </w:pPr>
      <w:bookmarkStart w:id="5" w:name="_Toc27597"/>
      <w:bookmarkStart w:id="6" w:name="_Toc30396"/>
      <w:bookmarkStart w:id="7" w:name="_Toc11133"/>
      <w:bookmarkStart w:id="8" w:name="_Toc10210"/>
      <w:bookmarkStart w:id="9" w:name="_Toc18613"/>
      <w:bookmarkStart w:id="10" w:name="_Toc10182"/>
      <w:bookmarkStart w:id="11" w:name="_Toc4104"/>
      <w:bookmarkStart w:id="12" w:name="_Toc31149"/>
      <w:bookmarkStart w:id="13" w:name="_Toc23364"/>
      <w:bookmarkStart w:id="14" w:name="_Toc12709"/>
      <w:bookmarkStart w:id="15" w:name="_Toc22754"/>
      <w:r>
        <w:rPr>
          <w:rFonts w:hint="eastAsia" w:ascii="宋体" w:hAnsi="宋体" w:eastAsia="宋体" w:cs="宋体"/>
          <w:bCs w:val="0"/>
          <w:color w:val="auto"/>
          <w:sz w:val="36"/>
          <w:szCs w:val="36"/>
          <w:highlight w:val="none"/>
        </w:rPr>
        <w:t>目   录</w:t>
      </w:r>
      <w:bookmarkEnd w:id="0"/>
      <w:bookmarkEnd w:id="1"/>
      <w:bookmarkEnd w:id="2"/>
      <w:bookmarkEnd w:id="3"/>
      <w:bookmarkEnd w:id="5"/>
      <w:bookmarkEnd w:id="6"/>
      <w:bookmarkEnd w:id="7"/>
      <w:bookmarkEnd w:id="8"/>
      <w:bookmarkEnd w:id="9"/>
      <w:bookmarkEnd w:id="10"/>
      <w:bookmarkEnd w:id="11"/>
      <w:bookmarkEnd w:id="12"/>
      <w:bookmarkEnd w:id="13"/>
      <w:bookmarkEnd w:id="14"/>
      <w:bookmarkEnd w:id="15"/>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 w:val="0"/>
          <w:bCs w:val="0"/>
          <w:caps w:val="0"/>
          <w:color w:val="auto"/>
          <w:sz w:val="21"/>
          <w:szCs w:val="21"/>
          <w:highlight w:val="none"/>
        </w:rPr>
        <w:fldChar w:fldCharType="begin"/>
      </w:r>
      <w:r>
        <w:rPr>
          <w:rFonts w:hint="eastAsia" w:ascii="宋体" w:hAnsi="宋体" w:eastAsia="宋体" w:cs="宋体"/>
          <w:b w:val="0"/>
          <w:bCs w:val="0"/>
          <w:caps w:val="0"/>
          <w:color w:val="auto"/>
          <w:sz w:val="21"/>
          <w:szCs w:val="21"/>
          <w:highlight w:val="none"/>
        </w:rPr>
        <w:instrText xml:space="preserve"> TOC \o "1-3" \h \z \u </w:instrText>
      </w:r>
      <w:r>
        <w:rPr>
          <w:rFonts w:hint="eastAsia" w:ascii="宋体" w:hAnsi="宋体" w:eastAsia="宋体" w:cs="宋体"/>
          <w:b w:val="0"/>
          <w:bCs w:val="0"/>
          <w:caps w:val="0"/>
          <w:color w:val="auto"/>
          <w:sz w:val="21"/>
          <w:szCs w:val="21"/>
          <w:highlight w:val="none"/>
        </w:rPr>
        <w:fldChar w:fldCharType="separate"/>
      </w: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_Toc1098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 xml:space="preserve">第一部分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_Toc10132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第二部分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_Toc11796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一、供应商须知前附表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_Toc11796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_Toc10032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二、供 应 商 须 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_Toc17294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highlight w:val="none"/>
        </w:rPr>
        <w:t xml:space="preserve">第三部分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_Toc13953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第四部分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磋商响应文件格式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_Toc28179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第五部分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合同文件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ageBreakBefore w:val="0"/>
        <w:kinsoku/>
        <w:overflowPunct/>
        <w:topLinePunct w:val="0"/>
        <w:bidi w:val="0"/>
        <w:snapToGrid w:val="0"/>
        <w:spacing w:line="360" w:lineRule="auto"/>
        <w:rPr>
          <w:rFonts w:hint="eastAsia" w:ascii="宋体" w:hAnsi="宋体" w:eastAsia="宋体" w:cs="宋体"/>
          <w:b/>
          <w:caps/>
          <w:color w:val="auto"/>
          <w:sz w:val="24"/>
          <w:highlight w:val="none"/>
        </w:rPr>
      </w:pPr>
      <w:r>
        <w:rPr>
          <w:rFonts w:hint="eastAsia" w:ascii="宋体" w:hAnsi="宋体" w:eastAsia="宋体" w:cs="宋体"/>
          <w:bCs w:val="0"/>
          <w:caps/>
          <w:color w:val="auto"/>
          <w:sz w:val="21"/>
          <w:szCs w:val="21"/>
          <w:highlight w:val="none"/>
        </w:rPr>
        <w:fldChar w:fldCharType="end"/>
      </w:r>
      <w:bookmarkStart w:id="16" w:name="_Toc361769762"/>
      <w:bookmarkStart w:id="17" w:name="_Toc361769628"/>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sectPr>
          <w:footerReference r:id="rId8" w:type="first"/>
          <w:footerReference r:id="rId7" w:type="default"/>
          <w:pgSz w:w="11906" w:h="16838"/>
          <w:pgMar w:top="1191" w:right="1587" w:bottom="1191" w:left="1587" w:header="851" w:footer="992" w:gutter="0"/>
          <w:pgNumType w:start="1"/>
          <w:cols w:space="720" w:num="1"/>
          <w:titlePg/>
        </w:sectPr>
      </w:pPr>
    </w:p>
    <w:p>
      <w:pPr>
        <w:pageBreakBefore w:val="0"/>
        <w:kinsoku/>
        <w:overflowPunct/>
        <w:topLinePunct w:val="0"/>
        <w:bidi w:val="0"/>
        <w:spacing w:line="360" w:lineRule="auto"/>
        <w:rPr>
          <w:rFonts w:hint="eastAsia" w:ascii="宋体" w:hAnsi="宋体" w:eastAsia="宋体" w:cs="宋体"/>
          <w:color w:val="auto"/>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pPr>
      <w:bookmarkStart w:id="18" w:name="_Toc1098"/>
      <w:r>
        <w:rPr>
          <w:rFonts w:hint="eastAsia" w:ascii="宋体" w:hAnsi="宋体" w:eastAsia="宋体" w:cs="宋体"/>
          <w:bCs w:val="0"/>
          <w:color w:val="auto"/>
          <w:highlight w:val="none"/>
        </w:rPr>
        <w:t xml:space="preserve">第一部分  </w:t>
      </w:r>
      <w:bookmarkEnd w:id="16"/>
      <w:bookmarkEnd w:id="17"/>
      <w:r>
        <w:rPr>
          <w:rFonts w:hint="eastAsia" w:ascii="宋体" w:hAnsi="宋体" w:eastAsia="宋体" w:cs="宋体"/>
          <w:color w:val="auto"/>
          <w:highlight w:val="none"/>
        </w:rPr>
        <w:t>竞争性磋商公告</w:t>
      </w:r>
      <w:bookmarkEnd w:id="18"/>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44"/>
          <w:highlight w:val="none"/>
        </w:rPr>
        <w:br w:type="page"/>
      </w:r>
      <w:bookmarkStart w:id="19" w:name="_Toc361769629"/>
      <w:bookmarkStart w:id="20" w:name="_Toc361769763"/>
      <w:r>
        <w:rPr>
          <w:rFonts w:hint="eastAsia" w:ascii="宋体" w:hAnsi="宋体" w:cs="宋体"/>
          <w:b/>
          <w:bCs/>
          <w:color w:val="auto"/>
          <w:sz w:val="30"/>
          <w:szCs w:val="30"/>
          <w:highlight w:val="none"/>
          <w:lang w:eastAsia="zh-CN"/>
        </w:rPr>
        <w:t>甘肃省第二人民医院高流量湿化治疗仪第</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lang w:eastAsia="zh-CN"/>
        </w:rPr>
        <w:t>次</w:t>
      </w:r>
      <w:r>
        <w:rPr>
          <w:rFonts w:hint="eastAsia" w:ascii="宋体" w:hAnsi="宋体" w:eastAsia="宋体" w:cs="宋体"/>
          <w:b/>
          <w:bCs/>
          <w:color w:val="auto"/>
          <w:sz w:val="30"/>
          <w:szCs w:val="30"/>
          <w:highlight w:val="none"/>
        </w:rPr>
        <w:t>竞争性磋商公告</w:t>
      </w:r>
    </w:p>
    <w:p>
      <w:pPr>
        <w:pStyle w:val="35"/>
        <w:keepNext w:val="0"/>
        <w:keepLines w:val="0"/>
        <w:widowControl/>
        <w:suppressLineNumbers w:val="0"/>
        <w:shd w:val="clear" w:fill="FFFFFF"/>
        <w:ind w:left="0" w:firstLine="480" w:firstLineChars="20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甘肃省第二人民医院高流量湿化治疗仪采购项目第三次以竞争性磋商方式进行采购，欢迎符合资格条件的供应商前来参加。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一、磋商文件编号：SEY-2023YNCG-077</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二、磋商内容：高流量湿化治疗仪  5台（进口已论证），预算总金额22.5万元整。（具体详见磋商文件）</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三、供应商资格要求：</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（三）供应商须提供医疗器械生产或经营许可证（备案证）；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（四）供应商须提供所投产品的医疗器械注册证（备案证）；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（六）本项目不接受联合体投标。  </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四、项目需要落实的政府采购政策:</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（一）根据财政部发布的《政府采购促进中小企业发展管理办法》规定，本项目对小型和微型企业产品的价格给予10%的扣除。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（二）根据财政部发布的《关于政府采购支持监狱企业发展有关问题的通知》规定，本项目对监狱企业产品的价格给予10%的扣除。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（三）根据财政部、民政部、中国残疾人联合会发布的《关于促进残疾人就业政府采购政策的通知》规定，本项目对残疾人福利性单位产品的价格给予10%的扣除。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五、获取磋商文件的时间期限、地点、方式</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满足竞争性磋商文件要求的供应商须提供招标公告中要求的所有资质并下载公告下方链接填写表格，并于2023年07月31日至2023年08月04日，上午9:00-12:00，下午2:00-5:00（北京时间），携带供应商资格要求的资料、法人身份证复印件、授权委托函（原件）、被授权人身份证复印件，以上资料均加盖公章到行政楼106报名。</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六、公告期限：五个工作日。</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七、磋商截止时间、磋商时间及地点：</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（一）磋商截止时间：2023年08月11日15时（北京时间）。</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（二）磋商文件递交地点：甘肃省第二人民医院（甘肃省兰州市城关区和政西街1号）。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（三）磋商时间：2023年08月11日15时（北京时间）。</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（四）磋商地点：甘肃省第二人民医院药剂科三楼（甘肃省兰州市城关区和政西街1号）。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八、联系方式：</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采 购 人：甘肃省第二人民医院 </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地    址：甘肃省兰州市城关区铁路西村街道和政西街1号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联 系 人：李老师</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联系电话：0931-6969317</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8"/>
        <w:ind w:left="0" w:leftChars="0" w:firstLine="0" w:firstLineChars="0"/>
        <w:rPr>
          <w:rFonts w:hint="eastAsia" w:ascii="宋体" w:hAnsi="宋体" w:eastAsia="宋体" w:cs="宋体"/>
          <w:color w:val="auto"/>
          <w:highlight w:val="none"/>
        </w:rPr>
      </w:pPr>
    </w:p>
    <w:p>
      <w:pPr>
        <w:rPr>
          <w:rFonts w:hint="eastAsia"/>
        </w:rPr>
      </w:pPr>
    </w:p>
    <w:p>
      <w:pPr>
        <w:pStyle w:val="3"/>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bookmarkStart w:id="21" w:name="_Toc10132"/>
      <w:r>
        <w:rPr>
          <w:rFonts w:hint="eastAsia" w:ascii="宋体" w:hAnsi="宋体" w:eastAsia="宋体" w:cs="宋体"/>
          <w:bCs w:val="0"/>
          <w:color w:val="auto"/>
          <w:highlight w:val="none"/>
        </w:rPr>
        <w:t>第二部分  供应商须知</w:t>
      </w:r>
      <w:bookmarkEnd w:id="19"/>
      <w:bookmarkEnd w:id="20"/>
      <w:bookmarkEnd w:id="21"/>
      <w:bookmarkStart w:id="22" w:name="_Toc361769764"/>
      <w:bookmarkStart w:id="23" w:name="_Toc361769630"/>
    </w:p>
    <w:p>
      <w:pPr>
        <w:pStyle w:val="4"/>
        <w:pageBreakBefore w:val="0"/>
        <w:kinsoku/>
        <w:overflowPunct/>
        <w:topLinePunct w:val="0"/>
        <w:bidi w:val="0"/>
        <w:spacing w:line="360" w:lineRule="auto"/>
        <w:jc w:val="center"/>
        <w:rPr>
          <w:rFonts w:hint="eastAsia" w:ascii="宋体" w:hAnsi="宋体" w:eastAsia="宋体" w:cs="宋体"/>
          <w:color w:val="auto"/>
        </w:rPr>
      </w:pPr>
      <w:bookmarkStart w:id="24" w:name="_Toc11796"/>
      <w:bookmarkStart w:id="25" w:name="_Toc17640"/>
      <w:bookmarkStart w:id="26" w:name="_Toc14913"/>
      <w:r>
        <w:rPr>
          <w:rFonts w:hint="eastAsia" w:ascii="宋体" w:hAnsi="宋体" w:eastAsia="宋体" w:cs="宋体"/>
          <w:color w:val="auto"/>
        </w:rPr>
        <w:t>一、供应商须知前附表</w:t>
      </w:r>
      <w:bookmarkEnd w:id="22"/>
      <w:bookmarkEnd w:id="23"/>
      <w:bookmarkEnd w:id="24"/>
      <w:bookmarkEnd w:id="25"/>
      <w:bookmarkEnd w:id="26"/>
    </w:p>
    <w:p>
      <w:pPr>
        <w:pStyle w:val="20"/>
        <w:pageBreakBefore w:val="0"/>
        <w:kinsoku/>
        <w:overflowPunct/>
        <w:topLinePunct w:val="0"/>
        <w:bidi w:val="0"/>
        <w:spacing w:line="360" w:lineRule="auto"/>
        <w:rPr>
          <w:rFonts w:hint="eastAsia" w:ascii="宋体" w:hAnsi="宋体" w:eastAsia="宋体" w:cs="宋体"/>
          <w:b/>
          <w:color w:val="auto"/>
          <w:w w:val="95"/>
          <w:sz w:val="24"/>
          <w:szCs w:val="24"/>
          <w:highlight w:val="none"/>
        </w:rPr>
      </w:pPr>
      <w:r>
        <w:rPr>
          <w:rFonts w:hint="eastAsia" w:ascii="宋体" w:hAnsi="宋体" w:eastAsia="宋体" w:cs="宋体"/>
          <w:b/>
          <w:color w:val="auto"/>
          <w:w w:val="95"/>
          <w:sz w:val="24"/>
          <w:szCs w:val="24"/>
          <w:highlight w:val="none"/>
        </w:rPr>
        <w:t xml:space="preserve">    本表关于本项目具体资料是对供应商须知的具体补充和修改，如有矛盾，以本前附表为准。</w:t>
      </w:r>
    </w:p>
    <w:tbl>
      <w:tblPr>
        <w:tblStyle w:val="3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7873"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项目名称：</w:t>
            </w:r>
            <w:r>
              <w:rPr>
                <w:rFonts w:hint="default" w:ascii="Arial" w:hAnsi="Arial" w:cs="Arial"/>
                <w:i w:val="0"/>
                <w:iCs w:val="0"/>
                <w:caps w:val="0"/>
                <w:color w:val="333333"/>
                <w:spacing w:val="0"/>
                <w:sz w:val="24"/>
                <w:szCs w:val="24"/>
                <w:shd w:val="clear" w:fill="FFFFFF"/>
              </w:rPr>
              <w:t>甘肃省第二人民医院</w:t>
            </w:r>
            <w:r>
              <w:rPr>
                <w:rFonts w:hint="eastAsia" w:ascii="Arial" w:hAnsi="Arial" w:cs="Arial"/>
                <w:i w:val="0"/>
                <w:iCs w:val="0"/>
                <w:caps w:val="0"/>
                <w:color w:val="333333"/>
                <w:spacing w:val="0"/>
                <w:sz w:val="24"/>
                <w:szCs w:val="24"/>
                <w:shd w:val="clear" w:fill="FFFFFF"/>
                <w:lang w:eastAsia="zh-CN"/>
              </w:rPr>
              <w:t>高流量湿化治疗仪</w:t>
            </w:r>
            <w:r>
              <w:rPr>
                <w:rFonts w:hint="default" w:ascii="Arial" w:hAnsi="Arial" w:cs="Arial"/>
                <w:i w:val="0"/>
                <w:iCs w:val="0"/>
                <w:caps w:val="0"/>
                <w:color w:val="333333"/>
                <w:spacing w:val="0"/>
                <w:sz w:val="24"/>
                <w:szCs w:val="24"/>
                <w:shd w:val="clear" w:fill="FFFFFF"/>
              </w:rPr>
              <w:t>采购项目第三次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7873" w:type="dxa"/>
            <w:vAlign w:val="center"/>
          </w:tcPr>
          <w:p>
            <w:pPr>
              <w:pStyle w:val="20"/>
              <w:pageBreakBefore w:val="0"/>
              <w:kinsoku/>
              <w:overflowPunct/>
              <w:topLinePunct w:val="0"/>
              <w:bidi w:val="0"/>
              <w:snapToGrid w:val="0"/>
              <w:spacing w:line="360" w:lineRule="auto"/>
              <w:ind w:firstLine="42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磋商内容：</w:t>
            </w:r>
            <w:r>
              <w:rPr>
                <w:rFonts w:hint="eastAsia" w:ascii="Arial" w:hAnsi="Arial" w:cs="Arial"/>
                <w:i w:val="0"/>
                <w:iCs w:val="0"/>
                <w:caps w:val="0"/>
                <w:color w:val="333333"/>
                <w:spacing w:val="0"/>
                <w:sz w:val="24"/>
                <w:szCs w:val="24"/>
                <w:shd w:val="clear" w:fill="FFFFFF"/>
                <w:lang w:eastAsia="zh-CN"/>
              </w:rPr>
              <w:t>高流量湿化治疗仪</w:t>
            </w:r>
            <w:r>
              <w:rPr>
                <w:rFonts w:hint="eastAsia" w:ascii="宋体" w:hAnsi="宋体" w:eastAsia="宋体" w:cs="宋体"/>
                <w:color w:val="auto"/>
                <w:highlight w:val="none"/>
                <w:lang w:eastAsia="zh-CN"/>
              </w:rPr>
              <w:t>采购</w:t>
            </w:r>
            <w:r>
              <w:rPr>
                <w:rFonts w:hint="eastAsia" w:ascii="宋体" w:hAnsi="宋体" w:eastAsia="宋体" w:cs="宋体"/>
                <w:b w:val="0"/>
                <w:bCs/>
                <w:color w:val="auto"/>
                <w:sz w:val="21"/>
                <w:szCs w:val="21"/>
                <w:highlight w:val="none"/>
                <w:lang w:val="en-US" w:eastAsia="zh-CN"/>
              </w:rPr>
              <w:t>（具体详见磋商文件</w:t>
            </w: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color w:val="auto"/>
                <w:sz w:val="21"/>
                <w:szCs w:val="21"/>
                <w:highlight w:val="none"/>
                <w:lang w:eastAsia="zh-CN"/>
              </w:rPr>
              <w:t>预算总金额：</w:t>
            </w:r>
            <w:r>
              <w:rPr>
                <w:rFonts w:hint="eastAsia" w:ascii="宋体" w:hAnsi="宋体" w:cs="宋体"/>
                <w:b w:val="0"/>
                <w:bCs/>
                <w:color w:val="auto"/>
                <w:sz w:val="21"/>
                <w:szCs w:val="21"/>
                <w:highlight w:val="none"/>
                <w:lang w:val="en-US" w:eastAsia="zh-CN"/>
              </w:rPr>
              <w:t>22.5</w:t>
            </w:r>
            <w:r>
              <w:rPr>
                <w:rFonts w:hint="eastAsia" w:ascii="宋体" w:hAnsi="宋体" w:eastAsia="宋体" w:cs="宋体"/>
                <w:b w:val="0"/>
                <w:bCs/>
                <w:color w:val="auto"/>
                <w:sz w:val="21"/>
                <w:szCs w:val="21"/>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4</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r>
              <w:rPr>
                <w:rFonts w:hint="eastAsia" w:ascii="宋体" w:hAnsi="宋体" w:eastAsia="宋体" w:cs="宋体"/>
                <w:bCs/>
                <w:color w:val="auto"/>
                <w:szCs w:val="21"/>
                <w:highlight w:val="none"/>
                <w:u w:val="single"/>
              </w:rPr>
              <w:t xml:space="preserve">90 </w:t>
            </w:r>
            <w:r>
              <w:rPr>
                <w:rFonts w:hint="eastAsia" w:ascii="宋体" w:hAnsi="宋体" w:eastAsia="宋体" w:cs="宋体"/>
                <w:bCs/>
                <w:color w:val="auto"/>
                <w:szCs w:val="21"/>
                <w:highlight w:val="none"/>
              </w:rPr>
              <w:t>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5</w:t>
            </w:r>
          </w:p>
        </w:tc>
        <w:tc>
          <w:tcPr>
            <w:tcW w:w="7873" w:type="dxa"/>
            <w:vAlign w:val="center"/>
          </w:tcPr>
          <w:p>
            <w:pPr>
              <w:pStyle w:val="20"/>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供应商资格要求：</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（一）供应商须符合《中华人民共和国政府采购法》第二十二条之规定，并提供《中华人民共和国政府采购法实施条例》第十七条中要求的材料；</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（三）供应商须提供医疗器械生产或经营许可证（备案证）；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（六）本项目不接受联合体投标。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6</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供货期及交货地点：</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rPr>
              <w:t>签订合同后30天内，运输安装到医院指定地点</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8</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付款方式：</w:t>
            </w:r>
            <w:r>
              <w:rPr>
                <w:rFonts w:hint="eastAsia" w:ascii="宋体" w:hAnsi="宋体" w:eastAsia="宋体" w:cs="宋体"/>
              </w:rPr>
              <w:t>合同签订后，乙方向甲方缴纳中标金额的20%作为质量保证金，供货验收合格后，乙方开具全额发票，甲方支付100%全额货款，质保期进行到一半时，如无质量问题，甲方无息退还乙方10%的质保金，质保期结束后，如无质量问题，甲方无息退还乙方剩余的10%质保金</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9</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磋商响应文件及电子版要求：</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纸质文件</w:t>
            </w:r>
            <w:r>
              <w:rPr>
                <w:rFonts w:hint="eastAsia" w:ascii="宋体" w:hAnsi="宋体" w:eastAsia="宋体" w:cs="宋体"/>
                <w:bCs/>
                <w:color w:val="auto"/>
                <w:szCs w:val="21"/>
                <w:highlight w:val="none"/>
              </w:rPr>
              <w:t>份数：正本一套、副本二套；</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Cs w:val="21"/>
                <w:highlight w:val="none"/>
              </w:rPr>
              <w:t>电子版文件要求：电子版U盘</w:t>
            </w: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份，分别密封（单独提交，提交不退）；U盘为Word文件</w:t>
            </w:r>
            <w:r>
              <w:rPr>
                <w:rFonts w:hint="eastAsia" w:ascii="宋体" w:hAnsi="宋体" w:eastAsia="宋体" w:cs="宋体"/>
                <w:bCs/>
                <w:color w:val="auto"/>
                <w:szCs w:val="21"/>
                <w:highlight w:val="none"/>
                <w:lang w:val="en-US" w:eastAsia="zh-CN"/>
              </w:rPr>
              <w:t>及</w:t>
            </w:r>
            <w:r>
              <w:rPr>
                <w:rFonts w:hint="eastAsia" w:ascii="宋体" w:hAnsi="宋体" w:eastAsia="宋体" w:cs="宋体"/>
                <w:bCs/>
                <w:color w:val="auto"/>
                <w:szCs w:val="21"/>
                <w:highlight w:val="none"/>
              </w:rPr>
              <w:t>PDF文件（电子版内容要与投标正本一致并加盖公章）。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10</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供应商必须按照磋商文件的规定和要求签字、盖章（法人代表的签字可用具有法定效力的签字章）</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rPr>
              <w:t>未按规定签字盖章的</w:t>
            </w:r>
            <w:r>
              <w:rPr>
                <w:rFonts w:hint="eastAsia" w:ascii="宋体" w:hAnsi="宋体" w:eastAsia="宋体" w:cs="宋体"/>
                <w:color w:val="auto"/>
                <w:kern w:val="0"/>
                <w:szCs w:val="21"/>
                <w:highlight w:val="none"/>
                <w:lang w:val="zh-CN"/>
              </w:rPr>
              <w:t>，按</w:t>
            </w:r>
            <w:r>
              <w:rPr>
                <w:rFonts w:hint="eastAsia" w:ascii="宋体" w:hAnsi="宋体" w:eastAsia="宋体" w:cs="宋体"/>
                <w:color w:val="auto"/>
                <w:szCs w:val="21"/>
                <w:highlight w:val="none"/>
              </w:rPr>
              <w:t>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11</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磋商文件澄清</w:t>
            </w:r>
            <w:r>
              <w:rPr>
                <w:rFonts w:hint="eastAsia" w:ascii="宋体" w:hAnsi="宋体" w:cs="宋体"/>
                <w:color w:val="auto"/>
                <w:szCs w:val="21"/>
                <w:highlight w:val="none"/>
                <w:lang w:eastAsia="zh-CN"/>
              </w:rPr>
              <w:t>：</w:t>
            </w:r>
          </w:p>
          <w:p>
            <w:pPr>
              <w:pageBreakBefore w:val="0"/>
              <w:kinsoku/>
              <w:overflowPunct/>
              <w:topLinePunct w:val="0"/>
              <w:bidi w:val="0"/>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供应商于202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点00分之前将磋商文件有关问题以书面形式</w:t>
            </w:r>
            <w:r>
              <w:rPr>
                <w:rFonts w:hint="eastAsia" w:ascii="宋体" w:hAnsi="宋体" w:cs="宋体"/>
                <w:color w:val="auto"/>
                <w:szCs w:val="21"/>
                <w:highlight w:val="none"/>
                <w:lang w:val="en-US" w:eastAsia="zh-CN"/>
              </w:rPr>
              <w:t>送至招标采购科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递交磋商文件地点、时间：</w:t>
            </w:r>
          </w:p>
          <w:p>
            <w:pPr>
              <w:pageBreakBefore w:val="0"/>
              <w:kinsoku/>
              <w:overflowPunct/>
              <w:topLinePunct w:val="0"/>
              <w:bidi w:val="0"/>
              <w:spacing w:line="360" w:lineRule="auto"/>
              <w:ind w:firstLine="420" w:firstLineChars="200"/>
              <w:rPr>
                <w:rFonts w:ascii="Arial" w:hAnsi="Arial" w:eastAsia="宋体" w:cs="Arial"/>
                <w:i w:val="0"/>
                <w:iCs w:val="0"/>
                <w:caps w:val="0"/>
                <w:color w:val="333333"/>
                <w:spacing w:val="0"/>
                <w:sz w:val="24"/>
                <w:szCs w:val="24"/>
                <w:shd w:val="clear" w:fill="FFFFFF"/>
              </w:rPr>
            </w:pPr>
            <w:r>
              <w:rPr>
                <w:rFonts w:hint="eastAsia" w:ascii="宋体" w:hAnsi="宋体" w:eastAsia="宋体" w:cs="宋体"/>
                <w:color w:val="auto"/>
                <w:szCs w:val="21"/>
                <w:highlight w:val="none"/>
              </w:rPr>
              <w:t>递交磋商文件的地点：</w:t>
            </w:r>
            <w:r>
              <w:rPr>
                <w:rFonts w:ascii="Arial" w:hAnsi="Arial" w:eastAsia="宋体" w:cs="Arial"/>
                <w:i w:val="0"/>
                <w:iCs w:val="0"/>
                <w:caps w:val="0"/>
                <w:color w:val="333333"/>
                <w:spacing w:val="0"/>
                <w:sz w:val="24"/>
                <w:szCs w:val="24"/>
                <w:shd w:val="clear" w:fill="FFFFFF"/>
              </w:rPr>
              <w:t>甘肃省第二人民医院（甘肃省兰州市城关区和政西街1号）。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递交磋商文件时间：</w:t>
            </w:r>
            <w:r>
              <w:rPr>
                <w:rFonts w:ascii="Arial" w:hAnsi="Arial" w:eastAsia="宋体" w:cs="Arial"/>
                <w:i w:val="0"/>
                <w:iCs w:val="0"/>
                <w:caps w:val="0"/>
                <w:color w:val="333333"/>
                <w:spacing w:val="0"/>
                <w:sz w:val="24"/>
                <w:szCs w:val="24"/>
                <w:shd w:val="clear" w:fill="FFFFFF"/>
              </w:rPr>
              <w:t>2023年08月1</w:t>
            </w:r>
            <w:r>
              <w:rPr>
                <w:rFonts w:hint="eastAsia" w:ascii="Arial" w:hAnsi="Arial" w:cs="Arial"/>
                <w:i w:val="0"/>
                <w:iCs w:val="0"/>
                <w:caps w:val="0"/>
                <w:color w:val="333333"/>
                <w:spacing w:val="0"/>
                <w:sz w:val="24"/>
                <w:szCs w:val="24"/>
                <w:shd w:val="clear" w:fill="FFFFFF"/>
                <w:lang w:val="en-US" w:eastAsia="zh-CN"/>
              </w:rPr>
              <w:t>1</w:t>
            </w:r>
            <w:r>
              <w:rPr>
                <w:rFonts w:ascii="Arial" w:hAnsi="Arial" w:eastAsia="宋体" w:cs="Arial"/>
                <w:i w:val="0"/>
                <w:iCs w:val="0"/>
                <w:caps w:val="0"/>
                <w:color w:val="333333"/>
                <w:spacing w:val="0"/>
                <w:sz w:val="24"/>
                <w:szCs w:val="24"/>
                <w:shd w:val="clear" w:fill="FFFFFF"/>
              </w:rPr>
              <w:t>日15时（北京时间）</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必须在此时间前将</w:t>
            </w: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一览表、</w:t>
            </w:r>
            <w:r>
              <w:rPr>
                <w:rFonts w:hint="eastAsia" w:ascii="宋体" w:hAnsi="宋体" w:eastAsia="宋体" w:cs="宋体"/>
                <w:color w:val="auto"/>
                <w:szCs w:val="21"/>
                <w:highlight w:val="none"/>
              </w:rPr>
              <w:t>电子文档等</w:t>
            </w:r>
            <w:r>
              <w:rPr>
                <w:rFonts w:hint="eastAsia" w:ascii="宋体" w:hAnsi="宋体" w:eastAsia="宋体" w:cs="宋体"/>
                <w:color w:val="auto"/>
                <w:szCs w:val="21"/>
                <w:highlight w:val="none"/>
                <w:lang w:val="zh-CN"/>
              </w:rPr>
              <w:t>文件按磋商文件规定密封后送达开标地点，对迟于该时间递交的上述文件将不予接收，本次招标不接受邮寄的投标文件。</w:t>
            </w:r>
          </w:p>
        </w:tc>
      </w:tr>
    </w:tbl>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bookmarkStart w:id="27" w:name="_Toc361769631"/>
      <w:bookmarkStart w:id="28" w:name="_Toc23106"/>
      <w:bookmarkStart w:id="29" w:name="_Toc19997"/>
      <w:bookmarkStart w:id="30" w:name="_Toc361769765"/>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color w:val="auto"/>
        </w:rPr>
      </w:pPr>
    </w:p>
    <w:p>
      <w:pPr>
        <w:pStyle w:val="31"/>
        <w:pageBreakBefore w:val="0"/>
        <w:kinsoku/>
        <w:overflowPunct/>
        <w:topLinePunct w:val="0"/>
        <w:bidi w:val="0"/>
        <w:spacing w:line="360" w:lineRule="auto"/>
        <w:rPr>
          <w:rFonts w:hint="eastAsia" w:ascii="宋体" w:hAnsi="宋体" w:eastAsia="宋体" w:cs="宋体"/>
          <w:color w:val="auto"/>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8"/>
        <w:ind w:left="0" w:leftChars="0" w:firstLine="0" w:firstLineChars="0"/>
        <w:rPr>
          <w:rFonts w:hint="eastAsia" w:ascii="宋体" w:hAnsi="宋体" w:eastAsia="宋体" w:cs="宋体"/>
          <w:b/>
          <w:bCs/>
          <w:color w:val="auto"/>
          <w:sz w:val="30"/>
          <w:szCs w:val="30"/>
          <w:highlight w:val="none"/>
        </w:rPr>
      </w:pPr>
    </w:p>
    <w:p>
      <w:pPr>
        <w:rPr>
          <w:rFonts w:hint="eastAsia"/>
        </w:rPr>
      </w:pPr>
    </w:p>
    <w:p>
      <w:pPr>
        <w:pStyle w:val="4"/>
        <w:pageBreakBefore w:val="0"/>
        <w:kinsoku/>
        <w:overflowPunct/>
        <w:topLinePunct w:val="0"/>
        <w:bidi w:val="0"/>
        <w:spacing w:line="360" w:lineRule="auto"/>
        <w:rPr>
          <w:rFonts w:hint="eastAsia" w:ascii="宋体" w:hAnsi="宋体" w:eastAsia="宋体" w:cs="宋体"/>
          <w:color w:val="auto"/>
        </w:rPr>
      </w:pPr>
      <w:bookmarkStart w:id="31" w:name="_Toc10032"/>
      <w:r>
        <w:rPr>
          <w:rFonts w:hint="eastAsia" w:ascii="宋体" w:hAnsi="宋体" w:eastAsia="宋体" w:cs="宋体"/>
          <w:color w:val="auto"/>
        </w:rPr>
        <w:t>二、供 应 商 须 知</w:t>
      </w:r>
      <w:bookmarkEnd w:id="27"/>
      <w:bookmarkEnd w:id="28"/>
      <w:bookmarkEnd w:id="29"/>
      <w:bookmarkEnd w:id="30"/>
      <w:bookmarkEnd w:id="31"/>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 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1.1适用范围</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本采购文件仅适用于本磋商文件。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1.2合格的供应商的基本条件：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供应商须符合《中华人民共和国政府采购法》第二十二条之规定，并提供《中华人民共和国政府采购法实施条例》第十七条中要求的材料；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1.2.2供应商未被列入“信用中国”网站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www.creditchina.gov.cn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记录失信 被执行人或重大税收违法案件当事人名单或政府采购严重违法失信行为记录名单；不处于中国政府采购网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1.2.3供应商须提供医疗器械生产或经营许可证</w:t>
      </w:r>
      <w:r>
        <w:rPr>
          <w:rFonts w:hint="eastAsia" w:ascii="宋体" w:hAnsi="宋体" w:eastAsia="宋体" w:cs="宋体"/>
          <w:bCs/>
          <w:color w:val="auto"/>
          <w:kern w:val="2"/>
          <w:sz w:val="21"/>
          <w:szCs w:val="21"/>
          <w:highlight w:val="none"/>
          <w:lang w:val="en-US" w:eastAsia="zh-CN" w:bidi="ar-SA"/>
        </w:rPr>
        <w:t>（备案证）</w:t>
      </w:r>
      <w:r>
        <w:rPr>
          <w:rFonts w:hint="eastAsia" w:ascii="宋体" w:hAnsi="宋体" w:eastAsia="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1.2.5本项目不接受联合体投标。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定义</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”系指</w:t>
      </w:r>
      <w:r>
        <w:rPr>
          <w:rFonts w:hint="eastAsia" w:ascii="宋体" w:hAnsi="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（3）“供应商”系指向</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提交磋商响应文件并参与投标的法人。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（5）“乙方”指成交的供应商，合同一方的当事人。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（6）“服务”指成交供应商</w:t>
      </w:r>
      <w:r>
        <w:rPr>
          <w:rFonts w:hint="eastAsia" w:ascii="宋体" w:hAnsi="宋体" w:cs="宋体"/>
          <w:color w:val="auto"/>
          <w:szCs w:val="21"/>
          <w:highlight w:val="none"/>
          <w:lang w:eastAsia="zh-CN"/>
        </w:rPr>
        <w:t>按照</w:t>
      </w:r>
      <w:r>
        <w:rPr>
          <w:rFonts w:hint="eastAsia" w:ascii="宋体" w:hAnsi="宋体" w:eastAsia="宋体" w:cs="宋体"/>
          <w:color w:val="auto"/>
          <w:szCs w:val="21"/>
          <w:highlight w:val="none"/>
        </w:rPr>
        <w:t>磋商件和磋商内容的规定，承担本项目相关的服务义务。</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 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  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磋商邀请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供应商须知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技术参数及项目要求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响应文件格式要求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2.2磋商文件的澄清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供应商若对磋商文件有疑问，应将要求澄清的问题以文字形式通知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2.3.任何要求对磋商文件进行澄清的供应商，均应在投标截止日期五天前按磋商公告及投标邀请书中的通讯地址以书面形式如信函或电子邮件等通知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对投标截止日期前五天收到的任何澄清要求将以书面形式予以答复，同时将书面答复寄送每个购买磋商文件的供应商，答复中包括所问问题，但不包括问题的来源。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2.3磋商文件的补充和修改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2.3.1更正公告或变更公告的内容为磋商文件的必要组成部分，对所有供应商均具有约束作用。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2.3.2在投标截止期前的任何时候，无论出于何种原因，</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可主动地或在解答供应商提出的澄清问题时对磋商文件进行修改。</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2.3.3磋商文件的修改将以书面形式或电子邮件形式，通知所有购买磋商文件的供应商，并对其具有约束力，供应商应立即以书面或电子邮件形式确认已收到修改文件。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2.3.4为使供应商编写响应文件时有充分时间对磋商文件的修改部分进行研究，</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可酌情延长投标截止日期，并通知每一个供应商。</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磋商响应和谈判总则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磋商响应文件的编写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3.1.1供应商应仔细阅读磋商文件的所有内容，并按照磋商文件的规定及要求的内容和格式，提交完整的响应文件。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3.1.2投标语言和计量单位</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磋商响应文件和来往函件用中文书写，计量单位应使用国际单位。（除非磋商文件中另有规定）</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3.1.3供应商应按投标范围进行投标。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3.1.4供应商应用人民币投标。若由单价计算出的总价与投标总价不一致，以单价计算出的总价作为投标总价。若中文文字形式表示的数值与数字形式表示的数值不一致，以中文文字形式表示的数值为准。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磋商响应文件的组成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3.2.1供应商提交的磋商响应文件至少应包括以下部分：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（2）法人代表授权书（法定代表人为供应商代表并亲自签署投标书的可不提交）</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（3）报价一览表</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（4）供应商情况介绍文件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（5）资格证明文件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（6）供应商业绩证明材料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3.3  磋商响应</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供应商磋商响应时间提交的全部材料必须密封，具体包括：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（1）磋商响应文件一式三份（正本1份，副本2份）1份正本单独密封，2份副本可选择单独或一起密封；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（2）报价一览表（提交时须单独密封）；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（3）电子文档为加盖电子印章的PDF格式，且保证电子文档能正常读取，否则造成的一切后果由供应商自行承担。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正本、副本的内容应当一致，如果正本与副本不符，以正本为准。磋商响应文件应由供应商的法定代表人或经正式授权并对供应商由约束力的代表在磋商响应文件上签字。被授权代表需将以书面形式出具的“法人授权书”附在磋商响应文件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任何行间插字、涂改和增删，必须由磋商响应文件签字人在旁边签字才有效。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3.3.2每本磋商响应文件的内容应装订成册。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3.3.3供应商应按照要求提交资格文件，并对这些资格文件的真实性负责。</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bookmarkStart w:id="32" w:name="_Toc24615"/>
      <w:r>
        <w:rPr>
          <w:rFonts w:hint="eastAsia" w:ascii="宋体" w:hAnsi="宋体" w:eastAsia="宋体" w:cs="宋体"/>
          <w:b/>
          <w:bCs/>
          <w:color w:val="auto"/>
          <w:szCs w:val="21"/>
          <w:highlight w:val="none"/>
        </w:rPr>
        <w:t>3.3.4 磋商响应文件的密封和标注：</w:t>
      </w:r>
      <w:bookmarkEnd w:id="32"/>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供应商需将电子版单独密封并在信封上标明“报价一览表”字样。在封口处加盖印章后单独递交（详见格式一）。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供应商应将磋商响应文件的纸质文件密封，在封口处加盖印章后递交。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注：纸质版正本单独密封，2份副本可选择单独或一起密封）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纸质文件外层封套必须标明以下内容：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 标 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    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磋商文件编号：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甘肃省第二人民医院</w:t>
      </w:r>
      <w:r>
        <w:rPr>
          <w:rFonts w:hint="eastAsia" w:ascii="宋体" w:hAnsi="宋体" w:eastAsia="宋体" w:cs="宋体"/>
          <w:color w:val="auto"/>
          <w:szCs w:val="21"/>
          <w:highlight w:val="none"/>
          <w:u w:val="singl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bCs/>
          <w:color w:val="auto"/>
          <w:szCs w:val="21"/>
          <w:highlight w:val="none"/>
        </w:rPr>
        <w:t>（盖章）</w:t>
      </w:r>
    </w:p>
    <w:p>
      <w:pPr>
        <w:pageBreakBefore w:val="0"/>
        <w:kinsoku/>
        <w:overflowPunct/>
        <w:topLinePunct w:val="0"/>
        <w:bidi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bCs/>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磋商响应文件在年月日时分前不得开启</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3.3.5招标机构对因磋商响应文件未装订成册而造成的磋商文件的损坏、丢失不承担任何责任。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3.3.6招标机构对不可抗力的事件造成的磋商文件的损坏、丢失不承担任何责任。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3.4投标的有效期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从投标截止日期起，投标有效期为90天。在特殊情况下，招标机构可于投标有效期满之前要求供应商同意延长有效期，要求与答复均以书面形式。供应商可以拒绝上述要求，同意延期的供应商在原投标有效期内应享有的权利及责任也相应延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3.5磋商响应文件的修改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在规定的时间内，供应商可以修改其磋商响应文件的内容，但必须以书面形式通知招标机构。在招标规定的修改截止时间后，供应商不可以修改其磋商响应文件的内容。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3.6磋商响应文件的撤回</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在磋商响应截止时间前供应商可以撤回其投标，但在投标截止后不允许撤回投标。</w:t>
      </w:r>
      <w:bookmarkStart w:id="33" w:name="_Toc504477602"/>
      <w:bookmarkStart w:id="34" w:name="_Toc29548"/>
      <w:bookmarkStart w:id="35" w:name="_Toc361769632"/>
      <w:bookmarkStart w:id="36" w:name="_Toc361769766"/>
    </w:p>
    <w:p>
      <w:pPr>
        <w:pageBreakBefore w:val="0"/>
        <w:kinsoku/>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4.竞争性磋商</w:t>
      </w:r>
      <w:bookmarkEnd w:id="33"/>
      <w:bookmarkEnd w:id="34"/>
    </w:p>
    <w:p>
      <w:pPr>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4.1磋商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将在“供应商须知前附表”规定的时间、地点组织</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。供应商应委派代表参加，并向磋商小组递交响应文件。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4.1.2提交了可接受的“撤回”通知的响应文件将不予开封。</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4.1.3评标方法：综合评分法。</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4.2</w:t>
      </w:r>
      <w:r>
        <w:rPr>
          <w:rFonts w:hint="eastAsia" w:ascii="宋体" w:hAnsi="宋体" w:eastAsia="宋体" w:cs="宋体"/>
          <w:b/>
          <w:bCs/>
          <w:color w:val="auto"/>
          <w:szCs w:val="21"/>
          <w:highlight w:val="none"/>
        </w:rPr>
        <w:t>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4.2.1招标机构将按照招投标法及实施条例等相关法律法规规定组建磋商小组。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4.2.2磋商小组由采购人代表及有关技术、经济等方面的专家组成。</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r>
        <w:rPr>
          <w:rFonts w:hint="eastAsia" w:ascii="宋体" w:hAnsi="宋体" w:eastAsia="宋体" w:cs="宋体"/>
          <w:color w:val="auto"/>
          <w:kern w:val="0"/>
          <w:szCs w:val="21"/>
          <w:highlight w:val="none"/>
        </w:rPr>
        <w:t>磋商小组所有成员应当集中与单一供应商分别进行磋商。</w:t>
      </w:r>
      <w:r>
        <w:rPr>
          <w:rFonts w:hint="eastAsia" w:ascii="宋体" w:hAnsi="宋体" w:eastAsia="宋体" w:cs="宋体"/>
          <w:color w:val="auto"/>
          <w:szCs w:val="21"/>
          <w:highlight w:val="none"/>
        </w:rPr>
        <w:t>在磋商中，磋商的任何一方不得透露与磋商有关的其他供应商的技术资料、价格和其他信息。磋商文件有实质性变动的，磋商小组应当以书面形式通知所有参加磋商的供应商。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4.2.4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pStyle w:val="33"/>
        <w:pageBreakBefore w:val="0"/>
        <w:kinsoku/>
        <w:overflowPunct/>
        <w:topLinePunct w:val="0"/>
        <w:bidi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参加磋商的供应商应当对磋商的承诺和最后报价以书面形式确认，并由全权代表签章。</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4.3磋商过程的保密性</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磋商后，直到向成交的供应商授予合同时止，凡与审查、澄清、评价和比较文件的有关资料以及授标意见等，均不得向供应商及与磋商无关的其他人透露。</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在磋商响应过程中，如果供应商试图在响应文件审查、澄清、比较及授予合同方面向买方施加任何影响，其响应文件将被拒绝。</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4.4磋商响应文件的初审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4.4.1磋商小组将审查磋商响应文件是否完整、资格证明文件是否齐全、合格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有无计算上的错误等。</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在详细磋商响应之前，根据本须知的规定，磋商小组要审查每份磋商响应文件是否实质上响应了采购文件的要求。实质上响应的磋商响应文件应该是与采购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4.4.4实质上没有响应采购文件要求的磋商响应文件将被拒绝。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4.4.5  如果磋商响应文件实质性没有响应磋商文件的要求，其投标将被拒绝。供应商不得通过修正或</w:t>
      </w:r>
      <w:r>
        <w:rPr>
          <w:rFonts w:hint="eastAsia" w:ascii="宋体" w:hAnsi="宋体" w:cs="宋体"/>
          <w:color w:val="auto"/>
          <w:szCs w:val="21"/>
          <w:highlight w:val="none"/>
          <w:lang w:eastAsia="zh-CN"/>
        </w:rPr>
        <w:t>撤销</w:t>
      </w:r>
      <w:r>
        <w:rPr>
          <w:rFonts w:hint="eastAsia" w:ascii="宋体" w:hAnsi="宋体" w:eastAsia="宋体" w:cs="宋体"/>
          <w:color w:val="auto"/>
          <w:szCs w:val="21"/>
          <w:highlight w:val="none"/>
        </w:rPr>
        <w:t>不符合要求的偏离或保留从而使其磋商响应文件成为实质上响应的投标。</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4.4.6采购人只对在初审中确定为实质性响应的磋商响应文件进行进一步的详细商务和技术评审。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4.4.7供应商如果是小型和微型企业须提供财库〔2020〕46号《中小企业声明函》，其生产的产品价格给予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%的扣除，用扣除后的价格参与评审。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4.4.8 结合节能环保产品报价占总项目的比例，给予相应的加分。调整后的价格作为供应商的评标价。根据评标价按下述方法测算各供应商的价格分值。</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4.4.9 符合性审查的主要条件（包括但不限于）：</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①磋商响应文件按照磋商文件的格式、内容填写，字迹清晰可辨，内容完整；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②磋商响应文件中法定代表人或法定代表人授权代理人的签字齐全；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③按磋商文件中标明的供应商与资格预审的投标申请人未发生实质性改变，磋商响应文件内标明的供应商与资格证明材料的法人一致；并按磋商文件的规定提供了授权代理人授权书；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④符合本次设计磋商文件的其他要求（如资质、财务状况等）。</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4.5磋商响应文件的澄清</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24.1  为有助于对磋商响应文件的审查、评价和比较，磋商响应期间可分别要求供应商对其磋商响应文件进行澄清或答疑，有关澄清或答疑要求的答复应以书面形式提交。 </w:t>
      </w:r>
    </w:p>
    <w:p>
      <w:pPr>
        <w:pageBreakBefore w:val="0"/>
        <w:kinsoku/>
        <w:overflowPunct/>
        <w:topLinePunct w:val="0"/>
        <w:bidi w:val="0"/>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4.6磋商响应文件的详细评审</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4.6.1磋商小组将只对确定为实质上响应采购文件要求的磋商进行详细磋商。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4.6.2详细磋商即以磋商文件为依据，对所有实质上响应的投标分别从“商务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价格”和“现场陈述”等四个方面进行磋商。</w:t>
      </w: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2"/>
        <w:rPr>
          <w:rFonts w:hint="eastAsia"/>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综合评标细则打分表</w:t>
      </w:r>
    </w:p>
    <w:tbl>
      <w:tblPr>
        <w:tblStyle w:val="4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0"/>
        <w:gridCol w:w="76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基础分值</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投标单位价格分采用低价优先法计算，即满足招标文件要求且投标价格最低的投标报价为评标基准价，其价格分为满分。其他投标单位的价格分统一按照下列公式计算：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%×100%（四舍五入小数点后保留两位数字）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对中小微企业执行财库【20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号文件的规定，对其投标报价按</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%扣除后的价格作为其评标价；不符合财库【20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号文件的规定企业的产品价格不予扣除。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提供近三年类似项目业绩，每提供一份得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合同或中标通知书复印件加盖公章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签署时间为准，未提供不得分）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所投产品的生产厂家获得质量管理体系认证的得1分；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所投产品的生产厂家获得环境管理体系认证的得1分；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所投产品的生产厂家获得职业健康安全管理体系认证的得1分；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提供相应有效的管理体系认证证书，未提供的不得分。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所投产品质量是否满足招标文件要求，是否有具体的违约责任承诺，是否对产品质量保证措施有详细阐述、且提供相关证明材料进行打分：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产品质量满足招标文件要求，有具体的违约责任承诺，对产品质量保证措施有详细阐述、且提供相关证明材料的得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产品质量基本满足招标文件要求，有违约责任承诺，对产品质量保证措施有阐述、且提供相关证明材料的得1分；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w:t>
            </w:r>
            <w:r>
              <w:rPr>
                <w:rFonts w:hint="eastAsia" w:ascii="宋体" w:hAnsi="宋体" w:cs="宋体"/>
                <w:color w:val="auto"/>
                <w:sz w:val="21"/>
                <w:szCs w:val="21"/>
                <w:highlight w:val="none"/>
                <w:lang w:val="en-US" w:eastAsia="zh-CN"/>
              </w:rPr>
              <w:t>质保</w:t>
            </w:r>
            <w:r>
              <w:rPr>
                <w:rFonts w:hint="eastAsia" w:ascii="宋体" w:hAnsi="宋体" w:eastAsia="宋体" w:cs="宋体"/>
                <w:color w:val="auto"/>
                <w:sz w:val="21"/>
                <w:szCs w:val="21"/>
                <w:highlight w:val="none"/>
                <w:lang w:eastAsia="zh-CN"/>
              </w:rPr>
              <w:t>期满后，承诺免费质保期每增加一年加1分，本项最高得2分（提供生产厂家证明材料，未提供不得分）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投标人所投产品的技术参数性能和配置，需提供证明文件，完全满足或高于磋商文件技术参数要求的得20分，每有一项“</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”标记的性能指标不满足的扣除4分，其他技术参数（不带“</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”项）及性能要求不满足的扣除1分，扣完为止。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注：证明材料包括但不限于彩页或官方截图、技术白皮书或第三方权威机构出具的检测报告，若未提供，视为不满足。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rPr>
              <w:t>投标人所提供设备的质量、性能、运行的稳定性和可靠性（提供加盖公章的用户使用情况说明），</w:t>
            </w:r>
            <w:r>
              <w:rPr>
                <w:rFonts w:hint="eastAsia" w:ascii="宋体" w:hAnsi="宋体" w:eastAsia="宋体" w:cs="宋体"/>
                <w:bCs/>
                <w:color w:val="auto"/>
                <w:sz w:val="21"/>
                <w:szCs w:val="21"/>
                <w:lang w:val="en-US" w:eastAsia="zh-CN"/>
              </w:rPr>
              <w:t>每提供一份得1分，最高得3分</w:t>
            </w:r>
            <w:r>
              <w:rPr>
                <w:rFonts w:hint="eastAsia" w:ascii="宋体" w:hAnsi="宋体" w:eastAsia="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581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根据应标方案内容完整性，所投产品选型，整体设计、功能、性能，配套的耗材和备品备件规格及齐全程度等进行评价，应标方案科学、合理、完</w:t>
            </w:r>
            <w:r>
              <w:rPr>
                <w:rFonts w:hint="eastAsia" w:ascii="宋体" w:hAnsi="宋体" w:eastAsia="宋体" w:cs="宋体"/>
                <w:color w:val="auto"/>
                <w:sz w:val="21"/>
                <w:szCs w:val="21"/>
                <w:highlight w:val="none"/>
                <w:lang w:val="en-US" w:eastAsia="zh-CN"/>
              </w:rPr>
              <w:t>善</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应标方案合理、完整的得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w:t>
            </w:r>
            <w:r>
              <w:rPr>
                <w:rFonts w:hint="eastAsia" w:ascii="宋体" w:hAnsi="宋体" w:eastAsia="宋体" w:cs="宋体"/>
                <w:color w:val="auto"/>
                <w:sz w:val="21"/>
                <w:szCs w:val="21"/>
                <w:highlight w:val="none"/>
                <w:lang w:val="en-US" w:eastAsia="zh-CN"/>
              </w:rPr>
              <w:t>简略的得1分；其他不得分。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投标人应在</w:t>
            </w:r>
            <w:r>
              <w:rPr>
                <w:rFonts w:hint="eastAsia" w:ascii="宋体" w:hAnsi="宋体" w:eastAsia="宋体" w:cs="宋体"/>
                <w:bCs/>
                <w:color w:val="auto"/>
                <w:sz w:val="21"/>
                <w:szCs w:val="21"/>
                <w:highlight w:val="none"/>
                <w:lang w:val="en-US" w:eastAsia="zh-CN"/>
              </w:rPr>
              <w:t>磋商响应文件</w:t>
            </w:r>
            <w:r>
              <w:rPr>
                <w:rFonts w:hint="eastAsia" w:ascii="宋体" w:hAnsi="宋体" w:eastAsia="宋体" w:cs="宋体"/>
                <w:bCs/>
                <w:color w:val="auto"/>
                <w:sz w:val="21"/>
                <w:szCs w:val="21"/>
                <w:highlight w:val="none"/>
              </w:rPr>
              <w:t>中详细阐述本项目实施方案，有清晰、详细的</w:t>
            </w:r>
            <w:r>
              <w:rPr>
                <w:rFonts w:hint="eastAsia" w:ascii="宋体" w:hAnsi="宋体" w:eastAsia="宋体" w:cs="宋体"/>
                <w:bCs/>
                <w:color w:val="auto"/>
                <w:sz w:val="21"/>
                <w:szCs w:val="21"/>
                <w:highlight w:val="none"/>
                <w:lang w:val="en-US" w:eastAsia="zh-CN"/>
              </w:rPr>
              <w:t>供货计划</w:t>
            </w:r>
            <w:r>
              <w:rPr>
                <w:rFonts w:hint="eastAsia" w:ascii="宋体" w:hAnsi="宋体" w:eastAsia="宋体" w:cs="宋体"/>
                <w:bCs/>
                <w:color w:val="auto"/>
                <w:sz w:val="21"/>
                <w:szCs w:val="21"/>
                <w:highlight w:val="none"/>
              </w:rPr>
              <w:t>、质量保证措施。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实施方案针对性强、科学合理、内容详尽、可操作性强得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分；实施方案有一定针对性、科学合理、内容完整、可操作性较强得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分；实施方案针对性一般、内容基本完整、可操作性一般的得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完备的服务体系，培训方案及培训计划科学合理，组织完善、针对性强的得8分；投标人具有的服务体系基本完整，培训方案及培训计划较合理，组织针对性较强的得4分；投标人具有服务体系、培训方案及培训计划，组织针对性弱的得2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1.根据投标人提供的售后服务方案进行打分，方案内容包括运输、安装等：</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内容详细完善且承诺服务全面的得5分；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内容完整且承诺服务的得3分；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内容简略且承诺服务不完整的得1分；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其他不得分。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投标人提供所投产品生产厂家授权书的</w:t>
            </w:r>
            <w:r>
              <w:rPr>
                <w:rFonts w:hint="eastAsia" w:ascii="宋体" w:hAnsi="宋体" w:eastAsia="宋体" w:cs="宋体"/>
                <w:color w:val="auto"/>
                <w:sz w:val="21"/>
                <w:szCs w:val="21"/>
                <w:highlight w:val="none"/>
                <w:lang w:val="en-US" w:eastAsia="zh-CN"/>
              </w:rPr>
              <w:t>得3分；提供</w:t>
            </w:r>
            <w:r>
              <w:rPr>
                <w:rFonts w:hint="eastAsia" w:ascii="宋体" w:hAnsi="宋体" w:eastAsia="宋体" w:cs="宋体"/>
                <w:color w:val="auto"/>
                <w:sz w:val="21"/>
                <w:szCs w:val="21"/>
                <w:highlight w:val="none"/>
                <w:lang w:eastAsia="zh-CN"/>
              </w:rPr>
              <w:t>生产厂家</w:t>
            </w:r>
            <w:r>
              <w:rPr>
                <w:rFonts w:hint="eastAsia" w:ascii="宋体" w:hAnsi="宋体" w:eastAsia="宋体" w:cs="宋体"/>
                <w:color w:val="auto"/>
                <w:sz w:val="21"/>
                <w:szCs w:val="21"/>
                <w:highlight w:val="none"/>
                <w:lang w:val="en-US" w:eastAsia="zh-CN"/>
              </w:rPr>
              <w:t>售后服务承诺函的得2分，</w:t>
            </w:r>
            <w:r>
              <w:rPr>
                <w:rFonts w:hint="eastAsia" w:ascii="宋体" w:hAnsi="宋体" w:eastAsia="宋体" w:cs="宋体"/>
                <w:bCs/>
                <w:color w:val="auto"/>
                <w:sz w:val="21"/>
                <w:szCs w:val="21"/>
                <w:highlight w:val="none"/>
              </w:rPr>
              <w:t>未提供的不得分</w:t>
            </w:r>
            <w:r>
              <w:rPr>
                <w:rFonts w:hint="eastAsia" w:ascii="宋体" w:hAnsi="宋体" w:eastAsia="宋体" w:cs="宋体"/>
                <w:color w:val="auto"/>
                <w:sz w:val="21"/>
                <w:szCs w:val="21"/>
                <w:highlight w:val="none"/>
                <w:lang w:val="en-US" w:eastAsia="zh-CN"/>
              </w:rPr>
              <w:t>。</w:t>
            </w:r>
          </w:p>
        </w:tc>
      </w:tr>
    </w:tbl>
    <w:p>
      <w:pPr>
        <w:pageBreakBefore w:val="0"/>
        <w:kinsoku/>
        <w:overflowPunct/>
        <w:topLinePunct w:val="0"/>
        <w:bidi w:val="0"/>
        <w:spacing w:line="360" w:lineRule="auto"/>
        <w:rPr>
          <w:rFonts w:hint="eastAsia" w:ascii="宋体" w:hAnsi="宋体" w:eastAsia="宋体" w:cs="宋体"/>
          <w:b/>
          <w:bCs/>
          <w:color w:val="auto"/>
          <w:szCs w:val="21"/>
          <w:highlight w:val="none"/>
          <w:lang w:val="en-US" w:eastAsia="zh-CN"/>
        </w:rPr>
        <w:sectPr>
          <w:footerReference r:id="rId10" w:type="first"/>
          <w:footerReference r:id="rId9" w:type="default"/>
          <w:pgSz w:w="11906" w:h="16838"/>
          <w:pgMar w:top="1191" w:right="1587" w:bottom="1191" w:left="1587" w:header="851" w:footer="992" w:gutter="0"/>
          <w:pgNumType w:fmt="decimal" w:start="1"/>
          <w:cols w:space="720" w:num="1"/>
          <w:titlePg/>
        </w:sectPr>
      </w:pP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授予合同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合同授予标准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5.1.1甲方应将合同授予被确定为实质上响应磋商文件要求的，能够满意的履行合同义务合理投标价的供应商。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授予合同时变更数量的权利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5.2.1甲方在授予合同时，有权对磋商文件中规定的货物数量和服务予以增加或减少。</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接受和拒绝任何或所有投标的权力</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5.3.1采购人保留在授标之前任何时候接受或拒绝任何投标，以及宣布谈判程序无效或拒绝所有投标的权力，对受影响的供应商不承担任何责任。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5.4.1成交供应商须向招标机构缴纳足额中标服务费后，方可领取成交通知书。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成交供应商须向招标机构按如下标准和规定交纳中标服务费：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（1）成交服务费币种与成交通知书中标价的币种相同；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（2）成交服务费不列在投标表中；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（3）成交服务费按磋商文件规定支付，待</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收到成交服务费后随即发出成交通知书。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5.4.2 成交通知书将是合同的一个组成部分。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5.4.3 </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对未成交原因不作任何解释。</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6.1.1采购方在与成交供应商签订正式合同前，对采购项目内容和设备数量等有增减变更的权利。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6.1.2成交供应商须向</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交纳了中标服务费用后，合同方能生效。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6.1.3成交供应商按甲方要求的时间、地点与甲方签订合同。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除包括“磋商文件”规定的全部内容外，还应包括：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与谈判有关的澄清、说明；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投标单位在投标时随同投标书递交的资料与附图；</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在商谈本合同书时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双方共同签字的补充文件；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有关技术要求的补充内容。</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widowControl/>
        <w:kinsoku/>
        <w:overflowPunct/>
        <w:topLinePunct w:val="0"/>
        <w:bidi w:val="0"/>
        <w:spacing w:line="360" w:lineRule="auto"/>
        <w:jc w:val="center"/>
        <w:rPr>
          <w:rFonts w:hint="eastAsia" w:ascii="宋体" w:hAnsi="宋体" w:eastAsia="宋体" w:cs="宋体"/>
          <w:b/>
          <w:bCs/>
          <w:color w:val="auto"/>
          <w:kern w:val="0"/>
          <w:sz w:val="44"/>
          <w:szCs w:val="44"/>
          <w:highlight w:val="none"/>
        </w:rPr>
        <w:sectPr>
          <w:pgSz w:w="11906" w:h="16838"/>
          <w:pgMar w:top="1191" w:right="1587" w:bottom="1191" w:left="1587" w:header="851" w:footer="992" w:gutter="0"/>
          <w:pgNumType w:fmt="decimal"/>
          <w:cols w:space="720" w:num="1"/>
          <w:titlePg/>
        </w:sectPr>
      </w:pPr>
    </w:p>
    <w:bookmarkEnd w:id="35"/>
    <w:bookmarkEnd w:id="36"/>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rPr>
          <w:rFonts w:hint="eastAsia" w:ascii="宋体" w:hAnsi="宋体" w:eastAsia="宋体" w:cs="宋体"/>
          <w:b/>
          <w:bCs/>
          <w:color w:val="auto"/>
          <w:sz w:val="44"/>
          <w:highlight w:val="none"/>
        </w:rPr>
      </w:pPr>
    </w:p>
    <w:p>
      <w:pPr>
        <w:pageBreakBefore w:val="0"/>
        <w:kinsoku/>
        <w:overflowPunct/>
        <w:topLinePunct w:val="0"/>
        <w:bidi w:val="0"/>
        <w:spacing w:after="160" w:line="360" w:lineRule="auto"/>
        <w:rPr>
          <w:rFonts w:hint="eastAsia" w:ascii="宋体" w:hAnsi="宋体" w:eastAsia="宋体" w:cs="宋体"/>
          <w:color w:val="auto"/>
          <w:sz w:val="24"/>
          <w:highlight w:val="none"/>
        </w:rPr>
      </w:pPr>
      <w:bookmarkStart w:id="37" w:name="_Toc361769774"/>
      <w:bookmarkStart w:id="38" w:name="_Toc365276924"/>
      <w:bookmarkStart w:id="39" w:name="_Toc361769640"/>
    </w:p>
    <w:p>
      <w:pPr>
        <w:pStyle w:val="3"/>
        <w:pageBreakBefore w:val="0"/>
        <w:kinsoku/>
        <w:overflowPunct/>
        <w:topLinePunct w:val="0"/>
        <w:bidi w:val="0"/>
        <w:spacing w:line="360" w:lineRule="auto"/>
        <w:jc w:val="center"/>
        <w:rPr>
          <w:rFonts w:hint="eastAsia" w:ascii="宋体" w:hAnsi="宋体" w:eastAsia="宋体" w:cs="宋体"/>
          <w:color w:val="auto"/>
          <w:highlight w:val="none"/>
          <w:lang w:eastAsia="zh-CN"/>
        </w:rPr>
        <w:sectPr>
          <w:pgSz w:w="11906" w:h="16838"/>
          <w:pgMar w:top="1191" w:right="1587" w:bottom="1191" w:left="1587" w:header="851" w:footer="992" w:gutter="0"/>
          <w:pgNumType w:fmt="decimal"/>
          <w:cols w:space="720" w:num="1"/>
          <w:titlePg/>
        </w:sectPr>
      </w:pPr>
      <w:bookmarkStart w:id="40" w:name="_Toc17294"/>
      <w:bookmarkStart w:id="41" w:name="_Toc480203888"/>
      <w:bookmarkStart w:id="42" w:name="_Toc498079263"/>
      <w:r>
        <w:rPr>
          <w:rFonts w:hint="eastAsia" w:ascii="宋体" w:hAnsi="宋体" w:eastAsia="宋体" w:cs="宋体"/>
          <w:color w:val="auto"/>
          <w:highlight w:val="none"/>
        </w:rPr>
        <w:t xml:space="preserve">第三部分  </w:t>
      </w:r>
      <w:r>
        <w:rPr>
          <w:rFonts w:hint="eastAsia" w:ascii="宋体" w:hAnsi="宋体" w:eastAsia="宋体" w:cs="宋体"/>
          <w:color w:val="auto"/>
          <w:highlight w:val="none"/>
          <w:lang w:val="en-US" w:eastAsia="zh-CN"/>
        </w:rPr>
        <w:t>采购需求</w:t>
      </w:r>
      <w:bookmarkEnd w:id="40"/>
    </w:p>
    <w:bookmarkEnd w:id="37"/>
    <w:bookmarkEnd w:id="38"/>
    <w:bookmarkEnd w:id="39"/>
    <w:bookmarkEnd w:id="41"/>
    <w:bookmarkEnd w:id="42"/>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36"/>
          <w:lang w:val="en-US" w:eastAsia="zh-CN"/>
        </w:rPr>
      </w:pPr>
      <w:bookmarkStart w:id="43" w:name="_Toc498079264"/>
      <w:bookmarkStart w:id="44" w:name="_Toc13953"/>
      <w:bookmarkStart w:id="45" w:name="_Toc27922"/>
      <w:bookmarkStart w:id="51" w:name="_GoBack"/>
      <w:bookmarkEnd w:id="51"/>
      <w:r>
        <w:rPr>
          <w:rFonts w:hint="eastAsia" w:ascii="宋体" w:hAnsi="宋体" w:eastAsia="宋体" w:cs="宋体"/>
          <w:b/>
          <w:bCs/>
          <w:sz w:val="28"/>
          <w:szCs w:val="36"/>
          <w:lang w:val="en-US" w:eastAsia="zh-CN"/>
        </w:rPr>
        <w:t>高流量湿化治疗仪采购需求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一、技术要求（共5台）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1.1整体要求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该设备对吸入氧浓度可调节及一体式氧浓度监测功能，氧浓度范围21%-100%。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1.2配置要求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1.2.1主机                            1台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1.2.2支架                            1个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1.2.3托盘                            1个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1.2.4储物篮                          1个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1.2.5 加热呼吸管路套装及鼻塞导管      2套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1.2.6 一体式移动台车和吊臂            1套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1.3具体功能及参数要求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1.3.1专业模式：适用于成人和儿童。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1.3.2提供鼻塞（大中小号）、气管切开接口、面罩等患者连接。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1.3.3流量设置范围：5-50升/分。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1.3.4氧浓度调节、监测、显示范围：21%-100%。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*1.3.5提供与主机配套使用的原厂耗材，包括管路、湿化水罐、病人界面，并提供注册检验时机器与管路、水罐的整机连接图片，及检验报告首末页的证明文件。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1.3.6主机具有气体过滤功能（提供相关证明文件）。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*1.3.7主机内置消毒功能。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1.3.8主机有实时消毒状态监测和显示，有消毒次数指示。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*1.3.9内置涡轮机。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1.3.10气体温湿度设置范围：31℃—37℃。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1.3.11主机可显示设置参数及实时监测参数：流速、温度、氧浓度。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1.3.12主机具有报警功能：呼吸管路连接异常、漏气、堵塞、氧浓度过高或过低，无法达到目标流量、水罐水量，无法达到目标温度，工作条件不合适，断电报警。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1.3.13 主机具有设置锁定功能。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1.3.14提供模拟操作软件，能够了解如何使用呼吸湿化治疗仪，包括更改设置、模拟故障、测试使用技能以及操作视频。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二、商务及售后要求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2.1交货（实施）期及地点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合同签订后30日内将设备运到院方指定地点。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2.2.1、质保期：整机（含配套附件、附属设备等）质保3年，质保期自正式验收合格之日起计算，提供原厂质保承诺文件。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2.2.2、验收合格后质保期内每年（按365天计算）设备开机率≥95%，若达不到，不足的开机天数按照1：3相应延长质保期。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2.2.3、配备专职售后服务工程师，如实提供售后工程师名单、联系方式等证明材料。接到院方报修 2小时内响应，24小时内抵达现场维修。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2.2.4、质保期内厂家专业售后工程师需每6个月进行一次巡检保养，并向院方留存相应记录。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2.2.5、配件供应：国内有配件仓库，保证十年内配件供应。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2.2.6、提供设备配套的耗材（加热呼吸管路套装、鼻塞导管）、维修配件的明细清单及相应报价。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2.2.7、负责免费培训科室医护人员和 2名院内维修工程师，培训方式：厂家专业人员现场培训，培训次数：3次。培训标准：相应人员能够熟练掌握设备正确操作、日常维护、维修，可顺利开展诊断治疗等相关工作。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2.2.8、中标方需提供操作手册、维修手册、软件备份、说明书等相关技术资料。</w:t>
      </w: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2"/>
        <w:keepNext w:val="0"/>
        <w:keepLines w:val="0"/>
        <w:pageBreakBefore w:val="0"/>
        <w:widowControl w:val="0"/>
        <w:kinsoku/>
        <w:wordWrap/>
        <w:topLinePunct w:val="0"/>
        <w:bidi w:val="0"/>
        <w:snapToGrid/>
        <w:spacing w:line="360" w:lineRule="auto"/>
        <w:rPr>
          <w:rFonts w:hint="eastAsia" w:ascii="宋体" w:hAnsi="宋体" w:eastAsia="宋体" w:cs="宋体"/>
          <w:sz w:val="21"/>
          <w:szCs w:val="21"/>
          <w:lang w:val="en-US" w:eastAsia="zh-CN"/>
        </w:rPr>
      </w:pPr>
    </w:p>
    <w:p>
      <w:pPr>
        <w:pStyle w:val="38"/>
        <w:pageBreakBefore w:val="0"/>
        <w:kinsoku/>
        <w:overflowPunct/>
        <w:topLinePunct w:val="0"/>
        <w:bidi w:val="0"/>
        <w:spacing w:line="360" w:lineRule="auto"/>
        <w:rPr>
          <w:rFonts w:hint="eastAsia" w:ascii="宋体" w:hAnsi="宋体" w:eastAsia="宋体" w:cs="宋体"/>
        </w:rPr>
      </w:pPr>
    </w:p>
    <w:p>
      <w:pPr>
        <w:pageBreakBefore w:val="0"/>
        <w:kinsoku/>
        <w:overflowPunct/>
        <w:topLinePunct w:val="0"/>
        <w:bidi w:val="0"/>
        <w:spacing w:line="360" w:lineRule="auto"/>
        <w:rPr>
          <w:rFonts w:hint="eastAsia" w:ascii="宋体" w:hAnsi="宋体" w:eastAsia="宋体" w:cs="宋体"/>
        </w:rPr>
      </w:pPr>
    </w:p>
    <w:p>
      <w:pPr>
        <w:pStyle w:val="38"/>
        <w:pageBreakBefore w:val="0"/>
        <w:kinsoku/>
        <w:overflowPunct/>
        <w:topLinePunct w:val="0"/>
        <w:bidi w:val="0"/>
        <w:spacing w:line="360" w:lineRule="auto"/>
        <w:rPr>
          <w:rFonts w:hint="eastAsia" w:ascii="宋体" w:hAnsi="宋体" w:eastAsia="宋体" w:cs="宋体"/>
        </w:rPr>
      </w:pPr>
    </w:p>
    <w:p>
      <w:pPr>
        <w:pStyle w:val="3"/>
        <w:pageBreakBefore w:val="0"/>
        <w:numPr>
          <w:ilvl w:val="0"/>
          <w:numId w:val="3"/>
        </w:numPr>
        <w:kinsoku/>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磋商响应文件格</w:t>
      </w:r>
      <w:bookmarkEnd w:id="43"/>
      <w:r>
        <w:rPr>
          <w:rFonts w:hint="eastAsia" w:ascii="宋体" w:hAnsi="宋体" w:eastAsia="宋体" w:cs="宋体"/>
          <w:color w:val="auto"/>
          <w:highlight w:val="none"/>
        </w:rPr>
        <w:t>式</w:t>
      </w:r>
      <w:bookmarkEnd w:id="44"/>
      <w:bookmarkEnd w:id="45"/>
    </w:p>
    <w:p>
      <w:pPr>
        <w:pageBreakBefore w:val="0"/>
        <w:kinsoku/>
        <w:overflowPunct/>
        <w:topLinePunct w:val="0"/>
        <w:bidi w:val="0"/>
        <w:spacing w:after="16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格式一  报价信信封及投标电子版信封格式</w:t>
      </w:r>
    </w:p>
    <w:p>
      <w:pPr>
        <w:pageBreakBefore w:val="0"/>
        <w:kinsoku/>
        <w:overflowPunct/>
        <w:topLinePunct w:val="0"/>
        <w:bidi w:val="0"/>
        <w:spacing w:after="10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请按以下内容填写电子版信封抬头，并将黑框剪下，贴在电子版信封外面，除非特殊情况，否则请不要更改信封格式</w:t>
      </w:r>
      <w:r>
        <w:rPr>
          <w:rFonts w:hint="eastAsia" w:ascii="宋体" w:hAnsi="宋体" w:cs="宋体"/>
          <w:color w:val="auto"/>
          <w:sz w:val="24"/>
          <w:highlight w:val="none"/>
          <w:lang w:eastAsia="zh-CN"/>
        </w:rPr>
        <w:t>：</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9"/>
        <w:gridCol w:w="5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报 价 信                                  </w:t>
            </w:r>
            <w:r>
              <w:rPr>
                <w:rFonts w:hint="eastAsia" w:ascii="宋体" w:hAnsi="宋体" w:eastAsia="宋体" w:cs="宋体"/>
                <w:b/>
                <w:color w:val="auto"/>
                <w:sz w:val="32"/>
                <w:szCs w:val="32"/>
                <w:highlight w:val="none"/>
              </w:rPr>
              <w:t>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sz w:val="24"/>
                <w:highlight w:val="none"/>
              </w:rPr>
            </w:pP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3249"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5031"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after="100" w:line="360" w:lineRule="auto"/>
        <w:rPr>
          <w:rFonts w:hint="eastAsia" w:ascii="宋体" w:hAnsi="宋体" w:eastAsia="宋体" w:cs="宋体"/>
          <w:color w:val="auto"/>
          <w:highlight w:val="none"/>
        </w:rPr>
      </w:pPr>
    </w:p>
    <w:p>
      <w:pPr>
        <w:pStyle w:val="53"/>
        <w:pageBreakBefore w:val="0"/>
        <w:numPr>
          <w:ilvl w:val="1"/>
          <w:numId w:val="0"/>
        </w:numPr>
        <w:kinsoku/>
        <w:overflowPunct/>
        <w:topLinePunct w:val="0"/>
        <w:bidi w:val="0"/>
        <w:spacing w:line="360" w:lineRule="auto"/>
        <w:rPr>
          <w:rFonts w:hint="eastAsia" w:ascii="宋体" w:hAnsi="宋体" w:eastAsia="宋体" w:cs="宋体"/>
          <w:color w:val="auto"/>
          <w:highlight w:val="none"/>
        </w:rPr>
      </w:pPr>
    </w:p>
    <w:p>
      <w:pPr>
        <w:pStyle w:val="55"/>
        <w:pageBreakBefore w:val="0"/>
        <w:kinsoku/>
        <w:overflowPunct/>
        <w:topLinePunct w:val="0"/>
        <w:bidi w:val="0"/>
        <w:spacing w:line="360" w:lineRule="auto"/>
        <w:rPr>
          <w:rFonts w:hint="eastAsia" w:ascii="宋体" w:hAnsi="宋体" w:eastAsia="宋体" w:cs="宋体"/>
          <w:color w:val="auto"/>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78"/>
        <w:gridCol w:w="4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电子版（U盘）                             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4178"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4182"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4178"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4182"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line="360" w:lineRule="auto"/>
        <w:rPr>
          <w:rFonts w:hint="eastAsia" w:ascii="宋体" w:hAnsi="宋体" w:eastAsia="宋体" w:cs="宋体"/>
          <w:color w:val="auto"/>
          <w:highlight w:val="none"/>
        </w:rPr>
      </w:pPr>
      <w:bookmarkStart w:id="46" w:name="_Toc60421813"/>
    </w:p>
    <w:p>
      <w:pPr>
        <w:pageBreakBefore w:val="0"/>
        <w:kinsoku/>
        <w:overflowPunct/>
        <w:topLinePunct w:val="0"/>
        <w:bidi w:val="0"/>
        <w:spacing w:line="360" w:lineRule="auto"/>
        <w:rPr>
          <w:rFonts w:hint="eastAsia" w:ascii="宋体" w:hAnsi="宋体" w:eastAsia="宋体" w:cs="宋体"/>
          <w:color w:val="auto"/>
          <w:highlight w:val="none"/>
        </w:rPr>
      </w:pPr>
    </w:p>
    <w:bookmarkEnd w:id="46"/>
    <w:p>
      <w:pPr>
        <w:pageBreakBefore w:val="0"/>
        <w:kinsoku/>
        <w:overflowPunct/>
        <w:topLinePunct w:val="0"/>
        <w:bidi w:val="0"/>
        <w:spacing w:line="360" w:lineRule="auto"/>
        <w:rPr>
          <w:rFonts w:hint="eastAsia" w:ascii="宋体" w:hAnsi="宋体" w:eastAsia="宋体" w:cs="宋体"/>
          <w:b/>
          <w:color w:val="auto"/>
          <w:sz w:val="30"/>
          <w:szCs w:val="30"/>
          <w:highlight w:val="none"/>
        </w:rPr>
        <w:sectPr>
          <w:footerReference r:id="rId12" w:type="first"/>
          <w:footerReference r:id="rId11" w:type="default"/>
          <w:pgSz w:w="11906" w:h="16838"/>
          <w:pgMar w:top="1191" w:right="1587" w:bottom="1191" w:left="1587" w:header="851" w:footer="992" w:gutter="0"/>
          <w:pgNumType w:fmt="decimal"/>
          <w:cols w:space="720" w:num="1"/>
          <w:titlePg/>
        </w:sectPr>
      </w:pPr>
    </w:p>
    <w:p>
      <w:pPr>
        <w:pageBreakBefore w:val="0"/>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格式二  报价格式</w:t>
      </w: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1、报价一览表格式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报价一览表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824"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928"/>
        <w:gridCol w:w="1906"/>
        <w:gridCol w:w="1418"/>
        <w:gridCol w:w="1760"/>
        <w:gridCol w:w="2161"/>
        <w:gridCol w:w="1498"/>
        <w:gridCol w:w="1375"/>
        <w:gridCol w:w="1289"/>
        <w:gridCol w:w="82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66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90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型号和规格</w:t>
            </w:r>
          </w:p>
        </w:tc>
        <w:tc>
          <w:tcPr>
            <w:tcW w:w="14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60"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216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49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1375"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28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822"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671" w:type="dxa"/>
            <w:gridSpan w:val="6"/>
            <w:tcBorders>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  （小写）：</w:t>
            </w:r>
          </w:p>
        </w:tc>
        <w:tc>
          <w:tcPr>
            <w:tcW w:w="1375" w:type="dxa"/>
            <w:tcBorders>
              <w:top w:val="single" w:color="auto" w:sz="4" w:space="0"/>
              <w:left w:val="single" w:color="auto" w:sz="4" w:space="0"/>
              <w:bottom w:val="double" w:color="auto" w:sz="4" w:space="0"/>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此开标信应按“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须知”的规定密封标记密封单独提交。</w:t>
      </w: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2、投标报价明细表格式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95"/>
        <w:gridCol w:w="1785"/>
        <w:gridCol w:w="1091"/>
        <w:gridCol w:w="799"/>
        <w:gridCol w:w="1050"/>
        <w:gridCol w:w="1050"/>
        <w:gridCol w:w="949"/>
        <w:gridCol w:w="993"/>
        <w:gridCol w:w="178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9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78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91"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79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4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993"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784"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制造厂家</w:t>
            </w:r>
          </w:p>
        </w:tc>
        <w:tc>
          <w:tcPr>
            <w:tcW w:w="16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必须按“报价明细表”的格式详细报出投标总价的各个组成部分的报价，否则作无效投标处理。</w:t>
      </w:r>
    </w:p>
    <w:p>
      <w:pPr>
        <w:pageBreakBefore w:val="0"/>
        <w:kinsoku/>
        <w:overflowPunct/>
        <w:topLinePunct w:val="0"/>
        <w:bidi w:val="0"/>
        <w:spacing w:line="360" w:lineRule="auto"/>
        <w:rPr>
          <w:rFonts w:hint="eastAsia" w:ascii="宋体" w:hAnsi="宋体" w:eastAsia="宋体" w:cs="宋体"/>
          <w:color w:val="auto"/>
          <w:szCs w:val="21"/>
          <w:highlight w:val="none"/>
        </w:rPr>
        <w:sectPr>
          <w:footerReference r:id="rId13" w:type="default"/>
          <w:footerReference r:id="rId14" w:type="even"/>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Cs w:val="21"/>
          <w:highlight w:val="none"/>
        </w:rPr>
        <w:t>2.“报价明细表”各分项报价合计应当与“开标一览表”报价合计相等。</w:t>
      </w:r>
    </w:p>
    <w:p>
      <w:pPr>
        <w:pageBreakBefore w:val="0"/>
        <w:kinsoku/>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货物说明一</w:t>
      </w:r>
      <w:r>
        <w:rPr>
          <w:rFonts w:hint="eastAsia" w:ascii="宋体" w:hAnsi="宋体" w:eastAsia="宋体" w:cs="宋体"/>
          <w:b/>
          <w:bCs/>
          <w:color w:val="auto"/>
          <w:sz w:val="21"/>
          <w:szCs w:val="21"/>
          <w:highlight w:val="none"/>
          <w:lang w:val="en-US" w:eastAsia="zh-CN"/>
        </w:rPr>
        <w:t>览</w:t>
      </w:r>
      <w:r>
        <w:rPr>
          <w:rFonts w:hint="eastAsia" w:ascii="宋体" w:hAnsi="宋体" w:eastAsia="宋体" w:cs="宋体"/>
          <w:b/>
          <w:bCs/>
          <w:color w:val="auto"/>
          <w:sz w:val="21"/>
          <w:szCs w:val="21"/>
          <w:highlight w:val="none"/>
        </w:rPr>
        <w:t>表格式</w:t>
      </w:r>
    </w:p>
    <w:p>
      <w:pPr>
        <w:pStyle w:val="9"/>
        <w:pageBreakBefore w:val="0"/>
        <w:kinsoku/>
        <w:overflowPunct/>
        <w:topLinePunct w:val="0"/>
        <w:bidi w:val="0"/>
        <w:spacing w:line="360" w:lineRule="auto"/>
        <w:ind w:firstLine="48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货物说明一览表</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投标供应商名称：</w:t>
      </w:r>
    </w:p>
    <w:tbl>
      <w:tblPr>
        <w:tblStyle w:val="39"/>
        <w:tblW w:w="13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574"/>
        <w:gridCol w:w="3014"/>
        <w:gridCol w:w="1718"/>
        <w:gridCol w:w="1634"/>
        <w:gridCol w:w="15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型号、厂家及主要参数</w:t>
            </w: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投标供应商（盖章）：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highlight w:val="none"/>
          <w:lang w:eastAsia="zh-CN"/>
        </w:rPr>
        <w:sectPr>
          <w:footerReference r:id="rId15" w:type="default"/>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 w:val="21"/>
          <w:szCs w:val="21"/>
          <w:highlight w:val="none"/>
        </w:rPr>
        <w:t>注：如需要，投标供应商可以对以上各项货物详细技术性能另页描述</w:t>
      </w:r>
      <w:r>
        <w:rPr>
          <w:rFonts w:hint="eastAsia" w:ascii="宋体" w:hAnsi="宋体" w:eastAsia="宋体" w:cs="宋体"/>
          <w:color w:val="auto"/>
          <w:sz w:val="21"/>
          <w:szCs w:val="21"/>
          <w:highlight w:val="none"/>
          <w:lang w:eastAsia="zh-CN"/>
        </w:rPr>
        <w:t>。</w:t>
      </w:r>
    </w:p>
    <w:p>
      <w:pPr>
        <w:pageBreakBefore w:val="0"/>
        <w:kinsoku/>
        <w:overflowPunct/>
        <w:topLinePunct w:val="0"/>
        <w:bidi w:val="0"/>
        <w:spacing w:line="360" w:lineRule="auto"/>
        <w:rPr>
          <w:rFonts w:hint="eastAsia" w:ascii="宋体" w:hAnsi="宋体" w:eastAsia="宋体" w:cs="宋体"/>
          <w:b/>
          <w:color w:val="auto"/>
          <w:sz w:val="28"/>
          <w:szCs w:val="28"/>
          <w:highlight w:val="none"/>
        </w:rPr>
      </w:pPr>
      <w:bookmarkStart w:id="47" w:name="_Toc60421814"/>
      <w:r>
        <w:rPr>
          <w:rFonts w:hint="eastAsia" w:ascii="宋体" w:hAnsi="宋体" w:eastAsia="宋体" w:cs="宋体"/>
          <w:b/>
          <w:color w:val="auto"/>
          <w:sz w:val="28"/>
          <w:szCs w:val="28"/>
          <w:highlight w:val="none"/>
        </w:rPr>
        <w:t>格式三</w:t>
      </w:r>
      <w:bookmarkEnd w:id="47"/>
      <w:r>
        <w:rPr>
          <w:rFonts w:hint="eastAsia" w:ascii="宋体" w:hAnsi="宋体" w:eastAsia="宋体" w:cs="宋体"/>
          <w:b/>
          <w:color w:val="auto"/>
          <w:sz w:val="28"/>
          <w:szCs w:val="28"/>
          <w:highlight w:val="none"/>
        </w:rPr>
        <w:t xml:space="preserve">  投标函格式</w:t>
      </w:r>
    </w:p>
    <w:p>
      <w:pPr>
        <w:pageBreakBefore w:val="0"/>
        <w:kinsoku/>
        <w:overflowPunct/>
        <w:topLinePunct w:val="0"/>
        <w:bidi w:val="0"/>
        <w:spacing w:line="360" w:lineRule="auto"/>
        <w:jc w:val="center"/>
        <w:rPr>
          <w:rFonts w:hint="eastAsia" w:ascii="宋体" w:hAnsi="宋体" w:eastAsia="宋体" w:cs="宋体"/>
          <w:b/>
          <w:bCs/>
          <w:color w:val="auto"/>
          <w:sz w:val="28"/>
          <w:highlight w:val="none"/>
        </w:rPr>
      </w:pPr>
      <w:bookmarkStart w:id="48" w:name="_Toc60421818"/>
      <w:r>
        <w:rPr>
          <w:rFonts w:hint="eastAsia" w:ascii="宋体" w:hAnsi="宋体" w:eastAsia="宋体" w:cs="宋体"/>
          <w:b/>
          <w:bCs/>
          <w:color w:val="auto"/>
          <w:sz w:val="28"/>
          <w:highlight w:val="none"/>
        </w:rPr>
        <w:t>投     标     函</w:t>
      </w:r>
    </w:p>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根据你方磋商项目编号为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项目磋商文件，遵照相关法律等有关规定，经研究上述文件须知、合同条款</w:t>
      </w:r>
      <w:r>
        <w:rPr>
          <w:rFonts w:hint="eastAsia" w:ascii="宋体" w:hAnsi="宋体" w:cs="宋体"/>
          <w:color w:val="auto"/>
          <w:sz w:val="21"/>
          <w:szCs w:val="21"/>
          <w:highlight w:val="none"/>
          <w:lang w:eastAsia="zh-CN"/>
        </w:rPr>
        <w:t>及其</w:t>
      </w:r>
      <w:r>
        <w:rPr>
          <w:rFonts w:hint="eastAsia" w:ascii="宋体" w:hAnsi="宋体" w:eastAsia="宋体" w:cs="宋体"/>
          <w:color w:val="auto"/>
          <w:sz w:val="21"/>
          <w:szCs w:val="21"/>
          <w:highlight w:val="none"/>
        </w:rPr>
        <w:t>他有关文件后，我方对此项目进行响应投标。</w:t>
      </w:r>
    </w:p>
    <w:p>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在此提交的磋商响应文件，正本一份，副本二份，报价信封一份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电子文本二份。包括如下等内容：</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报价一览表；</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技术说明文件；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法人授权书；</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我方已完全明白磋商文件的所有条款要求，并重申以下几点：</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我方决定参加：磋商编号为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号的投标；</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全部货物及服务的投标总价为：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（大、小写）；</w:t>
      </w:r>
    </w:p>
    <w:p>
      <w:pPr>
        <w:pageBreakBefore w:val="0"/>
        <w:numPr>
          <w:ilvl w:val="0"/>
          <w:numId w:val="5"/>
        </w:numPr>
        <w:kinsoku/>
        <w:overflowPunct/>
        <w:topLinePunct w:val="0"/>
        <w:bidi w:val="0"/>
        <w:spacing w:line="360" w:lineRule="auto"/>
        <w:ind w:left="1200" w:leftChars="0" w:hanging="7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本磋商响应文件的有效期在投标截止日后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天有效，如中标，有效期将延至合同</w:t>
      </w:r>
    </w:p>
    <w:p>
      <w:pPr>
        <w:pageBreakBefore w:val="0"/>
        <w:numPr>
          <w:ilvl w:val="0"/>
          <w:numId w:val="0"/>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终止日为止；</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我方已详细研究了磋商文件的所有内容包括修正文（如果有）和所有已提供的参考资料以及有关附件并完全明白，我方放弃在此方面提出含糊意见或误解的一切权力。</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我方明白并愿意在规定的谈判时间和日期之后、投标有效期之内撤回投标，则</w:t>
      </w:r>
      <w:r>
        <w:rPr>
          <w:rFonts w:hint="eastAsia" w:ascii="宋体" w:hAnsi="宋体" w:eastAsia="宋体" w:cs="宋体"/>
          <w:color w:val="auto"/>
          <w:sz w:val="21"/>
          <w:szCs w:val="21"/>
          <w:highlight w:val="none"/>
          <w:lang w:val="en-US" w:eastAsia="zh-CN"/>
        </w:rPr>
        <w:t>视为</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无效</w:t>
      </w:r>
      <w:r>
        <w:rPr>
          <w:rFonts w:hint="eastAsia" w:ascii="宋体" w:hAnsi="宋体" w:eastAsia="宋体" w:cs="宋体"/>
          <w:color w:val="auto"/>
          <w:sz w:val="21"/>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我方同意按照贵方可能提出的要求而提供与投标有关的任何其它数据或信息。</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我方如果成交，将保证履行磋商文件及其补充文件中的全部责任和义务，按质、按量、按期完成《合同书》中的全部任务。</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如我方成交，我方将在收到成交通知书之前，按招标文件规定向</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缴纳服务费。</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所有与本招标有关的函件请发往下列地址：</w:t>
      </w:r>
    </w:p>
    <w:p>
      <w:pPr>
        <w:pageBreakBefore w:val="0"/>
        <w:kinsoku/>
        <w:overflowPunct/>
        <w:topLinePunct w:val="0"/>
        <w:bidi w:val="0"/>
        <w:spacing w:after="100" w:line="360" w:lineRule="auto"/>
        <w:ind w:left="482"/>
        <w:rPr>
          <w:rFonts w:hint="eastAsia" w:ascii="宋体" w:hAnsi="宋体" w:eastAsia="宋体" w:cs="宋体"/>
          <w:color w:val="auto"/>
          <w:sz w:val="21"/>
          <w:szCs w:val="21"/>
          <w:highlight w:val="none"/>
        </w:rPr>
      </w:pPr>
    </w:p>
    <w:tbl>
      <w:tblPr>
        <w:tblStyle w:val="39"/>
        <w:tblW w:w="0" w:type="auto"/>
        <w:jc w:val="center"/>
        <w:tblLayout w:type="fixed"/>
        <w:tblCellMar>
          <w:top w:w="0" w:type="dxa"/>
          <w:left w:w="108" w:type="dxa"/>
          <w:bottom w:w="0" w:type="dxa"/>
          <w:right w:w="108" w:type="dxa"/>
        </w:tblCellMar>
      </w:tblPr>
      <w:tblGrid>
        <w:gridCol w:w="4680"/>
        <w:gridCol w:w="3510"/>
      </w:tblGrid>
      <w:tr>
        <w:tblPrEx>
          <w:tblCellMar>
            <w:top w:w="0" w:type="dxa"/>
            <w:left w:w="108" w:type="dxa"/>
            <w:bottom w:w="0" w:type="dxa"/>
            <w:right w:w="108" w:type="dxa"/>
          </w:tblCellMar>
        </w:tblPrEx>
        <w:trPr>
          <w:trHeight w:val="714"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电子函件</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供应商代表签字</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bl>
    <w:p>
      <w:pPr>
        <w:pStyle w:val="4"/>
        <w:pageBreakBefore w:val="0"/>
        <w:kinsoku/>
        <w:overflowPunct/>
        <w:topLinePunct w:val="0"/>
        <w:bidi w:val="0"/>
        <w:spacing w:line="360" w:lineRule="auto"/>
        <w:jc w:val="both"/>
        <w:rPr>
          <w:rFonts w:hint="eastAsia" w:ascii="宋体" w:hAnsi="宋体" w:eastAsia="宋体" w:cs="宋体"/>
          <w:color w:val="auto"/>
          <w:sz w:val="28"/>
          <w:szCs w:val="28"/>
          <w:highlight w:val="none"/>
          <w:lang w:val="en-US" w:eastAsia="zh-CN"/>
        </w:rPr>
        <w:sectPr>
          <w:footerReference r:id="rId16" w:type="default"/>
          <w:pgSz w:w="11906" w:h="16838"/>
          <w:pgMar w:top="1191" w:right="1587" w:bottom="1191" w:left="1587" w:header="851" w:footer="992" w:gutter="0"/>
          <w:pgNumType w:fmt="decimal"/>
          <w:cols w:space="720" w:num="1"/>
          <w:titlePg/>
          <w:docGrid w:linePitch="286" w:charSpace="0"/>
        </w:sectPr>
      </w:pPr>
      <w:r>
        <w:rPr>
          <w:rFonts w:hint="eastAsia" w:ascii="宋体" w:hAnsi="宋体" w:eastAsia="宋体" w:cs="宋体"/>
          <w:color w:val="auto"/>
          <w:sz w:val="28"/>
          <w:szCs w:val="28"/>
          <w:highlight w:val="none"/>
          <w:lang w:val="en-US" w:eastAsia="zh-CN"/>
        </w:rPr>
        <w:t xml:space="preserve"> </w:t>
      </w:r>
    </w:p>
    <w:bookmarkEnd w:id="48"/>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格式四  法定代表人授权书格式</w:t>
      </w:r>
    </w:p>
    <w:p>
      <w:pPr>
        <w:pageBreakBefore w:val="0"/>
        <w:kinsoku/>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法定代表人授权书格式</w:t>
      </w:r>
    </w:p>
    <w:p>
      <w:pPr>
        <w:pageBreakBefore w:val="0"/>
        <w:kinsoku/>
        <w:overflowPunct/>
        <w:topLinePunct w:val="0"/>
        <w:bidi w:val="0"/>
        <w:spacing w:line="360" w:lineRule="auto"/>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法定代表人授权书</w:t>
      </w: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致：</w:t>
      </w:r>
      <w:r>
        <w:rPr>
          <w:rFonts w:hint="eastAsia" w:ascii="宋体" w:hAnsi="宋体" w:cs="宋体"/>
          <w:b/>
          <w:color w:val="auto"/>
          <w:szCs w:val="21"/>
          <w:highlight w:val="none"/>
          <w:lang w:eastAsia="zh-CN"/>
        </w:rPr>
        <w:t>甘肃省第二人民医院</w:t>
      </w:r>
      <w:r>
        <w:rPr>
          <w:rFonts w:hint="eastAsia" w:ascii="宋体" w:hAnsi="宋体" w:eastAsia="宋体" w:cs="宋体"/>
          <w:b/>
          <w:color w:val="auto"/>
          <w:szCs w:val="21"/>
          <w:highlight w:val="none"/>
        </w:rPr>
        <w:t xml:space="preserve"> </w:t>
      </w:r>
    </w:p>
    <w:p>
      <w:pPr>
        <w:pageBreakBefore w:val="0"/>
        <w:kinsoku/>
        <w:overflowPunct/>
        <w:topLinePunct w:val="0"/>
        <w:bidi w:val="0"/>
        <w:spacing w:line="360" w:lineRule="auto"/>
        <w:ind w:firstLine="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（国家或地区）的</w:t>
      </w:r>
      <w:r>
        <w:rPr>
          <w:rFonts w:hint="eastAsia" w:ascii="宋体" w:hAnsi="宋体" w:eastAsia="宋体" w:cs="宋体"/>
          <w:color w:val="auto"/>
          <w:szCs w:val="21"/>
          <w:highlight w:val="none"/>
          <w:u w:val="single"/>
        </w:rPr>
        <w:t xml:space="preserve">               </w:t>
      </w:r>
    </w:p>
    <w:p>
      <w:pPr>
        <w:pageBreakBefore w:val="0"/>
        <w:kinsoku/>
        <w:overflowPunct/>
        <w:topLinePunct w:val="0"/>
        <w:bidi w:val="0"/>
        <w:snapToGrid w:val="0"/>
        <w:spacing w:before="238"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（供应商名称）的在下面签字的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（法定代表人姓名、职务）代表本公司授权在下面签字的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（被授权人的姓名、职务）为本公司的合法代表人，就</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项目编号为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采购项目</w:t>
      </w:r>
      <w:r>
        <w:rPr>
          <w:rFonts w:hint="eastAsia" w:ascii="宋体" w:hAnsi="宋体" w:eastAsia="宋体" w:cs="宋体"/>
          <w:color w:val="auto"/>
          <w:szCs w:val="21"/>
          <w:highlight w:val="none"/>
        </w:rPr>
        <w:t>的投标和合同执行，以我方的名义处理一切与之有关的事宜。</w:t>
      </w:r>
    </w:p>
    <w:p>
      <w:pPr>
        <w:pageBreakBefore w:val="0"/>
        <w:kinsoku/>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    年  月  日签字生效，特此声明。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供应商（法人公章）：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法人代表与被授权人身份证（复印件）需附在磋商响应文件中。</w:t>
      </w:r>
    </w:p>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kern w:val="0"/>
          <w:szCs w:val="21"/>
          <w:highlight w:val="none"/>
        </w:rPr>
        <w:t>被授权人需携带身份证原件至开标现场。</w:t>
      </w: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格式五、技术规格偏离表</w:t>
      </w:r>
    </w:p>
    <w:p>
      <w:pPr>
        <w:pageBreakBefore w:val="0"/>
        <w:kinsoku/>
        <w:overflowPunct/>
        <w:topLinePunct w:val="0"/>
        <w:bidi w:val="0"/>
        <w:spacing w:after="240" w:line="360" w:lineRule="auto"/>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679"/>
        <w:gridCol w:w="2276"/>
        <w:gridCol w:w="2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071" w:type="dxa"/>
            <w:gridSpan w:val="2"/>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磋商文件要求</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392" w:type="dxa"/>
            <w:noWrap w:val="0"/>
            <w:vAlign w:val="center"/>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67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after="24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u w:val="single"/>
        </w:rPr>
        <w:br w:type="page"/>
      </w:r>
      <w:r>
        <w:rPr>
          <w:rFonts w:hint="eastAsia" w:ascii="宋体" w:hAnsi="宋体" w:eastAsia="宋体" w:cs="宋体"/>
          <w:b/>
          <w:color w:val="auto"/>
          <w:sz w:val="28"/>
          <w:szCs w:val="28"/>
          <w:highlight w:val="none"/>
        </w:rPr>
        <w:t>格式六、商务条款偏离表</w:t>
      </w:r>
    </w:p>
    <w:p>
      <w:pPr>
        <w:pageBreakBefore w:val="0"/>
        <w:kinsoku/>
        <w:overflowPunct/>
        <w:topLinePunct w:val="0"/>
        <w:bidi w:val="0"/>
        <w:spacing w:after="240" w:line="360" w:lineRule="auto"/>
        <w:ind w:hanging="11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20"/>
        <w:gridCol w:w="2400"/>
        <w:gridCol w:w="2400"/>
        <w:gridCol w:w="1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2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磋商文件的商务条款</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磋商响应文件的商务条款</w:t>
            </w:r>
          </w:p>
        </w:tc>
        <w:tc>
          <w:tcPr>
            <w:tcW w:w="1605"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投标货物说明；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格式八  售后服务方案；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 xml:space="preserve">  交货期承诺；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格式十</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投标供应商觉得有必要提供的其它证明材料。</w:t>
      </w:r>
    </w:p>
    <w:p>
      <w:pPr>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格式十</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 xml:space="preserve"> 资格证明文件</w:t>
      </w:r>
    </w:p>
    <w:p>
      <w:pPr>
        <w:pStyle w:val="35"/>
        <w:keepNext w:val="0"/>
        <w:keepLines w:val="0"/>
        <w:widowControl/>
        <w:suppressLineNumbers w:val="0"/>
        <w:shd w:val="clear" w:fill="FFFFFF"/>
        <w:ind w:left="0" w:firstLine="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（三）供应商须提供医疗器械生产或经营许可证（备案证）；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（四）供应商须提供所投产品的医疗器械注册证（备案证）；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（六）本项目不接受联合体投标</w:t>
      </w: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3年内在经营活动中没有重大违法记录的书面声明（格式）</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致：                                             </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我公司在参加本次政府采购活动前，做出以下郑重声明：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一、参加本次政府采购活动前三年内，在经营活动中没有重大违法记录。</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本次政府采购活动前三年内，我公司在甘肃政府采购网等政府采购信息发布平台及当地工商局企业信用查询系统中，无任何重大违法记录。若发现我方上述声明与事实不符，愿按照政府采购相关规定接受相关处罚。 </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（公章）：                   </w:t>
      </w: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法定代表人或法人授权代表（签字）：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中小企业声明函格式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中小企业声明函（货物）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 （联合体）参加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提供的货物全部由符合政策要求的中小企业制造。相关企业 （含联合体中的中小企业、签订分包意向协议的中小企业）的具体情况如下：</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 型企业、微型企业）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 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 为大企业的情形，也不存在与大企业的负责人为同一人的情形。</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 法承担相应责任。</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企业名称（盖章）：</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业  绩  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753"/>
        <w:gridCol w:w="2141"/>
        <w:gridCol w:w="1558"/>
        <w:gridCol w:w="1556"/>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bottom"/>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53"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141"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558"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556"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合同总价</w:t>
            </w:r>
          </w:p>
        </w:tc>
        <w:tc>
          <w:tcPr>
            <w:tcW w:w="1315"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bl>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8"/>
        <w:rPr>
          <w:rFonts w:hint="eastAsia"/>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廉政承诺书</w:t>
      </w:r>
    </w:p>
    <w:p>
      <w:pPr>
        <w:pStyle w:val="9"/>
        <w:pageBreakBefore w:val="0"/>
        <w:kinsoku/>
        <w:overflowPunct/>
        <w:topLinePunct w:val="0"/>
        <w:bidi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 xml:space="preserve">：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我单位响应贵单位项目招标要求参加投标。在这次投标过程中和成交后，我们将严格遵守国家法律法规要求，并郑重承诺：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一、不向项目有关人员及部门赠送礼金礼物、有价证券、回扣以及中介费、介绍费、咨询费等好处费；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二、不为项目有关人员及部门报销应由你方单位或个人支付的费用；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三、不向项目有关人员及部门提供有可能影响公正的宴请和健身娱乐等活动；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四、不为项目有关人员及部门出国（境）、旅游等提供方便；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五、不为项目有关人员个人装修住房、婚丧嫁娶、配偶子女工作安排等提供好处；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六、严格遵守政府招标法、招标法实施条例、招标投标法、合同法等法律，诚实守信，合法经营，坚决抵制各种违法违纪行为。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如违反上述承诺，贵单位有权立即取消我单位投标、成交资格，有权拒绝我单位在一定时期内进入贵单位进行公款存放等竞争性活动，并通报省、市政府监管部门。由此引起的相应损失均由我单位承担。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供应商名称（公章）： </w:t>
      </w: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法定代表人或负责人（签字并盖章）： </w:t>
      </w:r>
    </w:p>
    <w:p>
      <w:pPr>
        <w:pStyle w:val="9"/>
        <w:pageBreakBefore w:val="0"/>
        <w:kinsoku/>
        <w:overflowPunct/>
        <w:topLinePunct w:val="0"/>
        <w:bidi w:val="0"/>
        <w:spacing w:line="360" w:lineRule="auto"/>
        <w:ind w:firstLine="6300" w:firstLineChars="3000"/>
        <w:rPr>
          <w:rFonts w:hint="eastAsia" w:ascii="宋体" w:hAnsi="宋体" w:eastAsia="宋体" w:cs="宋体"/>
          <w:color w:val="auto"/>
          <w:highlight w:val="none"/>
        </w:rPr>
      </w:pPr>
      <w:r>
        <w:rPr>
          <w:rFonts w:hint="eastAsia" w:ascii="宋体" w:hAnsi="宋体" w:eastAsia="宋体" w:cs="宋体"/>
          <w:color w:val="auto"/>
          <w:szCs w:val="21"/>
          <w:highlight w:val="none"/>
        </w:rPr>
        <w:t>签发日期： 年 月 日</w:t>
      </w: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color w:val="auto"/>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3"/>
        <w:pageBreakBefore w:val="0"/>
        <w:kinsoku/>
        <w:overflowPunct/>
        <w:topLinePunct w:val="0"/>
        <w:bidi w:val="0"/>
        <w:spacing w:before="340" w:after="330" w:line="360" w:lineRule="auto"/>
        <w:jc w:val="center"/>
        <w:rPr>
          <w:rFonts w:hint="eastAsia" w:ascii="宋体" w:hAnsi="宋体" w:eastAsia="宋体" w:cs="宋体"/>
          <w:color w:val="auto"/>
        </w:rPr>
      </w:pPr>
      <w:bookmarkStart w:id="49" w:name="_Toc28179"/>
      <w:bookmarkStart w:id="50" w:name="_Toc14359"/>
      <w:r>
        <w:rPr>
          <w:rFonts w:hint="eastAsia" w:ascii="宋体" w:hAnsi="宋体" w:eastAsia="宋体" w:cs="宋体"/>
          <w:color w:val="auto"/>
        </w:rPr>
        <w:t>第五部分 合同文件</w:t>
      </w:r>
      <w:bookmarkEnd w:id="49"/>
      <w:bookmarkEnd w:id="50"/>
    </w:p>
    <w:p>
      <w:pPr>
        <w:pageBreakBefore w:val="0"/>
        <w:kinsoku/>
        <w:overflowPunct/>
        <w:topLinePunct w:val="0"/>
        <w:bidi w:val="0"/>
        <w:spacing w:line="360" w:lineRule="auto"/>
        <w:jc w:val="center"/>
        <w:rPr>
          <w:rFonts w:hint="eastAsia" w:ascii="宋体" w:hAnsi="宋体" w:eastAsia="宋体" w:cs="宋体"/>
          <w:b/>
          <w:color w:val="auto"/>
          <w:sz w:val="24"/>
          <w:szCs w:val="24"/>
        </w:rPr>
      </w:pPr>
    </w:p>
    <w:p>
      <w:pPr>
        <w:pageBreakBefore w:val="0"/>
        <w:kinsoku/>
        <w:overflowPunct/>
        <w:topLinePunct w:val="0"/>
        <w:bidi w:val="0"/>
        <w:spacing w:line="360" w:lineRule="auto"/>
        <w:jc w:val="center"/>
        <w:rPr>
          <w:rFonts w:hint="eastAsia" w:ascii="宋体" w:hAnsi="宋体" w:eastAsia="宋体" w:cs="宋体"/>
          <w:color w:val="auto"/>
          <w:sz w:val="24"/>
          <w:szCs w:val="24"/>
        </w:rPr>
      </w:pPr>
    </w:p>
    <w:p>
      <w:pPr>
        <w:pStyle w:val="55"/>
        <w:pageBreakBefore w:val="0"/>
        <w:kinsoku/>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合同文本为格式合同，其涉及到的条款主要为通用条款。采购人及成交供应商在签订正式合同时，可根据项目特点、属性、要求等需要，对项目实施过程中的供货周期、质量控制、工艺流程、检测检验、验收标准等内容，在不违反磋商文件的原则下进行详细约定，或签订补充协议，最终合同以采购人与成交供应商签订的为准。</w:t>
      </w: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widowControl/>
        <w:jc w:val="both"/>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val="en-US" w:eastAsia="zh-CN" w:bidi="ar"/>
        </w:rPr>
        <w:t>甘</w:t>
      </w:r>
      <w:r>
        <w:rPr>
          <w:rFonts w:hint="eastAsia" w:asciiTheme="majorEastAsia" w:hAnsiTheme="majorEastAsia" w:eastAsiaTheme="majorEastAsia" w:cstheme="majorEastAsia"/>
          <w:b/>
          <w:bCs/>
          <w:color w:val="000000"/>
          <w:kern w:val="0"/>
          <w:sz w:val="52"/>
          <w:szCs w:val="52"/>
          <w:highlight w:val="none"/>
          <w:lang w:bidi="ar"/>
        </w:rPr>
        <w:t>肃省第二人民医院</w:t>
      </w:r>
      <w:r>
        <w:rPr>
          <w:rFonts w:hint="eastAsia" w:asciiTheme="majorEastAsia" w:hAnsiTheme="majorEastAsia" w:eastAsiaTheme="majorEastAsia" w:cstheme="majorEastAsia"/>
          <w:b/>
          <w:bCs/>
          <w:color w:val="000000"/>
          <w:kern w:val="0"/>
          <w:sz w:val="52"/>
          <w:szCs w:val="52"/>
          <w:highlight w:val="none"/>
          <w:lang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asciiTheme="majorEastAsia" w:hAnsiTheme="majorEastAsia" w:eastAsiaTheme="majorEastAsia" w:cstheme="majorEastAsia"/>
          <w:b/>
          <w:bCs/>
          <w:color w:val="000000"/>
          <w:kern w:val="0"/>
          <w:sz w:val="52"/>
          <w:szCs w:val="52"/>
          <w:highlight w:val="none"/>
          <w:lang w:bidi="ar"/>
        </w:rPr>
      </w:pPr>
    </w:p>
    <w:p>
      <w:pPr>
        <w:pStyle w:val="125"/>
        <w:rPr>
          <w:rFonts w:asciiTheme="majorEastAsia" w:hAnsiTheme="majorEastAsia" w:eastAsiaTheme="majorEastAsia" w:cstheme="majorEastAsia"/>
          <w:highlight w:val="none"/>
        </w:rPr>
      </w:pPr>
    </w:p>
    <w:p>
      <w:pPr>
        <w:widowControl/>
        <w:jc w:val="left"/>
        <w:rPr>
          <w:rFonts w:asciiTheme="majorEastAsia" w:hAnsiTheme="majorEastAsia" w:eastAsiaTheme="majorEastAsia" w:cstheme="majorEastAsia"/>
          <w:b/>
          <w:bCs/>
          <w:color w:val="000000"/>
          <w:kern w:val="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widowControl/>
        <w:spacing w:line="48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asciiTheme="majorEastAsia" w:hAnsiTheme="majorEastAsia" w:eastAsiaTheme="majorEastAsia" w:cstheme="majorEastAsia"/>
          <w:b/>
          <w:bCs/>
          <w:color w:val="000000"/>
          <w:kern w:val="0"/>
          <w:sz w:val="36"/>
          <w:szCs w:val="36"/>
          <w:highlight w:val="none"/>
          <w:lang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color w:val="000000"/>
          <w:kern w:val="0"/>
          <w:sz w:val="36"/>
          <w:szCs w:val="36"/>
          <w:highlight w:val="none"/>
          <w:lang w:bidi="ar"/>
        </w:rPr>
        <w:t xml:space="preserve">： </w:t>
      </w:r>
    </w:p>
    <w:p>
      <w:pPr>
        <w:pStyle w:val="125"/>
        <w:rPr>
          <w:rFonts w:asciiTheme="majorEastAsia" w:hAnsiTheme="majorEastAsia" w:eastAsiaTheme="majorEastAsia" w:cstheme="majorEastAsia"/>
          <w:b/>
          <w:color w:val="000000"/>
          <w:sz w:val="36"/>
          <w:szCs w:val="36"/>
          <w:highlight w:val="none"/>
          <w:lang w:bidi="ar"/>
        </w:rPr>
      </w:pPr>
    </w:p>
    <w:p>
      <w:pPr>
        <w:pStyle w:val="125"/>
        <w:rPr>
          <w:rFonts w:asciiTheme="majorEastAsia" w:hAnsiTheme="majorEastAsia" w:eastAsiaTheme="majorEastAsia" w:cstheme="majorEastAsia"/>
          <w:b/>
          <w:color w:val="000000"/>
          <w:sz w:val="36"/>
          <w:szCs w:val="36"/>
          <w:highlight w:val="none"/>
          <w:lang w:bidi="ar"/>
        </w:rPr>
      </w:pPr>
    </w:p>
    <w:p>
      <w:pPr>
        <w:widowControl/>
        <w:spacing w:line="480" w:lineRule="auto"/>
        <w:jc w:val="left"/>
        <w:rPr>
          <w:rFonts w:asciiTheme="majorEastAsia" w:hAnsiTheme="majorEastAsia" w:eastAsiaTheme="majorEastAsia" w:cstheme="majorEastAsia"/>
          <w:color w:val="000000"/>
          <w:kern w:val="0"/>
          <w:sz w:val="31"/>
          <w:szCs w:val="31"/>
          <w:highlight w:val="none"/>
          <w:lang w:bidi="ar"/>
        </w:rPr>
      </w:pPr>
    </w:p>
    <w:p>
      <w:pPr>
        <w:pStyle w:val="125"/>
        <w:rPr>
          <w:rFonts w:asciiTheme="majorEastAsia" w:hAnsiTheme="majorEastAsia" w:eastAsiaTheme="majorEastAsia" w:cstheme="majorEastAsia"/>
          <w:highlight w:val="none"/>
        </w:rPr>
      </w:pPr>
    </w:p>
    <w:p>
      <w:pPr>
        <w:widowControl/>
        <w:spacing w:line="480" w:lineRule="auto"/>
        <w:jc w:val="left"/>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eastAsia="zh-CN" w:bidi="ar"/>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color w:val="000000"/>
          <w:kern w:val="0"/>
          <w:sz w:val="36"/>
          <w:szCs w:val="36"/>
          <w:highlight w:val="none"/>
          <w:lang w:eastAsia="zh-CN" w:bidi="ar"/>
        </w:rPr>
        <w:t>******</w:t>
      </w: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widowControl/>
        <w:jc w:val="center"/>
        <w:rPr>
          <w:rFonts w:asciiTheme="majorEastAsia" w:hAnsiTheme="majorEastAsia" w:eastAsiaTheme="majorEastAsia" w:cstheme="majorEastAsia"/>
          <w:b/>
          <w:bCs/>
          <w:color w:val="000000"/>
          <w:kern w:val="0"/>
          <w:sz w:val="28"/>
          <w:szCs w:val="28"/>
          <w:highlight w:val="none"/>
          <w:lang w:bidi="ar"/>
        </w:rPr>
        <w:sectPr>
          <w:headerReference r:id="rId17" w:type="default"/>
          <w:footerReference r:id="rId19" w:type="default"/>
          <w:headerReference r:id="rId18" w:type="even"/>
          <w:pgSz w:w="11906" w:h="16838"/>
          <w:pgMar w:top="1134" w:right="1134" w:bottom="1134" w:left="1134" w:header="851" w:footer="992" w:gutter="0"/>
          <w:pgNumType w:start="1"/>
          <w:cols w:space="425" w:num="1"/>
          <w:docGrid w:type="lines" w:linePitch="312" w:charSpace="0"/>
        </w:sectPr>
      </w:pPr>
    </w:p>
    <w:p>
      <w:pPr>
        <w:widowControl/>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color w:val="000000"/>
          <w:kern w:val="0"/>
          <w:sz w:val="24"/>
          <w:highlight w:val="none"/>
          <w:lang w:eastAsia="zh-CN" w:bidi="ar"/>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color w:val="000000"/>
          <w:kern w:val="0"/>
          <w:sz w:val="24"/>
          <w:highlight w:val="none"/>
          <w:lang w:eastAsia="zh-CN" w:bidi="ar"/>
        </w:rPr>
        <w:t>******</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6"/>
        </w:numPr>
        <w:jc w:val="center"/>
        <w:rPr>
          <w:rFonts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府采购法》《中华人民共和国政府采购法实施条例》及其他有关法律、法规、规章、规范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1.根据甲方需求乙方提供具有优良质量的产品及安装等服务给甲方，供货明细及合同总 </w:t>
      </w:r>
    </w:p>
    <w:p>
      <w:pPr>
        <w:widowControl/>
        <w:spacing w:line="360" w:lineRule="auto"/>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9"/>
        <w:tblW w:w="5499" w:type="pct"/>
        <w:tblInd w:w="-525" w:type="dxa"/>
        <w:tblLayout w:type="fixed"/>
        <w:tblCellMar>
          <w:top w:w="0" w:type="dxa"/>
          <w:left w:w="108" w:type="dxa"/>
          <w:bottom w:w="0" w:type="dxa"/>
          <w:right w:w="108" w:type="dxa"/>
        </w:tblCellMar>
      </w:tblPr>
      <w:tblGrid>
        <w:gridCol w:w="602"/>
        <w:gridCol w:w="1294"/>
        <w:gridCol w:w="1344"/>
        <w:gridCol w:w="1104"/>
        <w:gridCol w:w="735"/>
        <w:gridCol w:w="735"/>
        <w:gridCol w:w="613"/>
        <w:gridCol w:w="735"/>
        <w:gridCol w:w="1225"/>
        <w:gridCol w:w="984"/>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asciiTheme="majorEastAsia" w:hAnsiTheme="majorEastAsia" w:cstheme="majorEastAsia"/>
                <w:color w:val="000000"/>
                <w:sz w:val="22"/>
                <w:szCs w:val="22"/>
                <w:highlight w:val="none"/>
                <w:lang w:eastAsia="zh-CN"/>
              </w:rPr>
            </w:pPr>
            <w:r>
              <w:rPr>
                <w:rFonts w:hint="eastAsia" w:ascii="Arial" w:hAnsi="Arial" w:eastAsia="宋体" w:cs="Arial"/>
                <w:color w:val="333333"/>
                <w:sz w:val="24"/>
                <w:highlight w:val="none"/>
                <w:shd w:val="clear" w:color="auto" w:fill="FFFFFF"/>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asciiTheme="majorEastAsia" w:hAnsiTheme="majorEastAsia" w:cstheme="majorEastAsia"/>
                <w:color w:val="000000"/>
                <w:sz w:val="22"/>
                <w:szCs w:val="22"/>
                <w:highlight w:val="none"/>
                <w:lang w:val="en-US" w:eastAsia="zh-CN"/>
              </w:rPr>
            </w:pPr>
            <w:r>
              <w:rPr>
                <w:rFonts w:hint="eastAsia" w:ascii="Arial" w:hAnsi="Arial" w:eastAsia="宋体" w:cs="Arial"/>
                <w:color w:val="333333"/>
                <w:sz w:val="24"/>
                <w:highlight w:val="none"/>
                <w:shd w:val="clear" w:color="auto" w:fill="FFFFFF"/>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kern w:val="0"/>
                <w:sz w:val="22"/>
                <w:szCs w:val="22"/>
                <w:highlight w:val="none"/>
                <w:lang w:val="en-US" w:eastAsia="zh-CN"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中国</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台</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b/>
                <w:bCs/>
                <w:kern w:val="0"/>
                <w:sz w:val="22"/>
                <w:szCs w:val="22"/>
                <w:highlight w:val="none"/>
                <w:lang w:val="en-US" w:eastAsia="zh-CN" w:bidi="ar"/>
              </w:rPr>
              <w:t>*********</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lang w:val="en-US" w:eastAsia="zh-CN" w:bidi="ar"/>
        </w:rPr>
        <w:t>5</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0.5</w:t>
      </w:r>
      <w:r>
        <w:rPr>
          <w:rFonts w:hint="eastAsia" w:asciiTheme="majorEastAsia" w:hAnsiTheme="majorEastAsia" w:eastAsiaTheme="majorEastAsia" w:cstheme="majorEastAsia"/>
          <w:color w:val="000000"/>
          <w:kern w:val="0"/>
          <w:sz w:val="24"/>
          <w:highlight w:val="none"/>
          <w:lang w:bidi="ar"/>
        </w:rPr>
        <w:t xml:space="preserve">小时内响应、1小时赶赴现场进行维修。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15日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乙方保证按照合同及招标文件、投标文件、采购相关文件的规定向甲方提供全部的货物、验收、服务、维保修等，并在质量保证期内承担货物质量保证责任。乙方履行合同义务后，甲方按照本合同规定向乙方支付款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20" w:firstLineChars="200"/>
        <w:jc w:val="left"/>
        <w:rPr>
          <w:rFonts w:asciiTheme="majorEastAsia" w:hAnsiTheme="majorEastAsia" w:eastAsiaTheme="majorEastAsia" w:cstheme="majorEastAsia"/>
          <w:highlight w:val="none"/>
        </w:rPr>
      </w:pP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凡重达两吨或两吨以上的包装，乙方应在每件包装箱的两侧用中文和适当的运输标记，标明“重心”和“吊装点”，并根据货物的特点和运输的不同要求，以清晰字样在包装箱上注明“小心轻放</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勿倒置</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防潮”等适当的标志，以便装卸和搬运。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书面通知甲方。若货物中有易燃品或危险品，乙方也须将详细情况书面通知甲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乙方于供货安装验收合格后向甲方交纳总货款的20%作为质量保证金，乙方开具全额发票，</w:t>
      </w:r>
      <w:r>
        <w:rPr>
          <w:rFonts w:hint="eastAsia" w:asciiTheme="majorEastAsia" w:hAnsiTheme="majorEastAsia" w:eastAsiaTheme="majorEastAsia" w:cstheme="majorEastAsia"/>
          <w:color w:val="000000"/>
          <w:kern w:val="0"/>
          <w:sz w:val="24"/>
          <w:highlight w:val="none"/>
          <w:lang w:val="zh-CN" w:bidi="ar"/>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color w:val="000000"/>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14．2 在合同规定的检验期和质量保证期内，如果乙方对甲方提出的追偿、索赔负有责任，乙方应按照甲方同意的下列一种或多种方式解决追偿、解决索赔事宜。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2）用符合规定要求的货物整体或者部分更换有瑕疵、缺陷的部分，乙方应承担—切风险并负担甲方所遭受的全部直接损失及费用。 </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19.1 没有甲方事先书面同意，乙方不得将由甲方或代表甲方提供的有关合同或任何合同条文、规格、计划、图纸、模型、样品或资料提供给与履行本合同无关的任何其他人。即使向与履行本合同有关的人员提供，也应注意保密并限于履行合同必需的范围。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w:t>
      </w:r>
      <w:r>
        <w:rPr>
          <w:rFonts w:hint="eastAsia" w:asciiTheme="majorEastAsia" w:hAnsiTheme="majorEastAsia" w:eastAsiaTheme="majorEastAsia" w:cstheme="majorEastAsia"/>
          <w:sz w:val="24"/>
          <w:highlight w:val="none"/>
          <w:lang w:eastAsia="zh-CN"/>
        </w:rPr>
        <w:t>承担</w:t>
      </w:r>
      <w:r>
        <w:rPr>
          <w:rFonts w:hint="eastAsia" w:asciiTheme="majorEastAsia" w:hAnsiTheme="majorEastAsia" w:eastAsiaTheme="majorEastAsia" w:cstheme="majorEastAsia"/>
          <w:sz w:val="24"/>
          <w:highlight w:val="none"/>
        </w:rPr>
        <w:t>相应责任，通知方按本合同签署页中约定的地址送达仍视为产生正常送达的法律效果。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1.1 合同文本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1.2 投标明细表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1.3 技术响应表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1.4 开标一览表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1.5 中标通知书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1.6 按期交货承诺书、售后服务承诺、培训方案、质量保证期等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1.7 招标文件及澄清文件 </w:t>
      </w:r>
    </w:p>
    <w:p>
      <w:pPr>
        <w:widowControl/>
        <w:spacing w:line="360" w:lineRule="auto"/>
        <w:ind w:firstLine="480" w:firstLineChars="200"/>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1.8 投标文件及乙方在招投标阶段作出的其他承诺、说明、声</w:t>
      </w:r>
      <w:r>
        <w:rPr>
          <w:rFonts w:hint="eastAsia" w:ascii="宋体" w:hAnsi="宋体" w:eastAsia="宋体" w:cs="宋体"/>
          <w:color w:val="auto"/>
          <w:kern w:val="0"/>
          <w:sz w:val="24"/>
          <w:highlight w:val="none"/>
          <w:lang w:val="en-US" w:eastAsia="zh-CN" w:bidi="ar"/>
        </w:rPr>
        <w:t>明</w:t>
      </w:r>
      <w:r>
        <w:rPr>
          <w:rFonts w:hint="eastAsia" w:ascii="宋体" w:hAnsi="宋体" w:eastAsia="宋体" w:cs="宋体"/>
          <w:color w:val="auto"/>
          <w:kern w:val="0"/>
          <w:sz w:val="24"/>
          <w:highlight w:val="none"/>
          <w:lang w:bidi="ar"/>
        </w:rPr>
        <w:t>、保证</w:t>
      </w:r>
      <w:r>
        <w:rPr>
          <w:rFonts w:hint="eastAsia" w:ascii="宋体" w:hAnsi="宋体" w:eastAsia="宋体" w:cs="宋体"/>
          <w:color w:val="auto"/>
          <w:kern w:val="0"/>
          <w:sz w:val="24"/>
          <w:highlight w:val="none"/>
          <w:lang w:eastAsia="zh-CN" w:bidi="ar"/>
        </w:rPr>
        <w:t>。</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 按期交货承诺书</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30.1 本合同经甲乙双方法定代表人或授权代表签字并加盖各自公章后生效。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本合同一式五份，采购方三份，中标方两份。</w:t>
      </w:r>
    </w:p>
    <w:p>
      <w:pPr>
        <w:widowControl/>
        <w:spacing w:line="360" w:lineRule="auto"/>
        <w:ind w:firstLine="420" w:firstLineChars="175"/>
        <w:jc w:val="left"/>
        <w:rPr>
          <w:rFonts w:asciiTheme="majorEastAsia" w:hAnsiTheme="majorEastAsia" w:eastAsiaTheme="majorEastAsia" w:cstheme="majorEastAsia"/>
          <w:color w:val="000000"/>
          <w:kern w:val="0"/>
          <w:sz w:val="24"/>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widowControl/>
        <w:rPr>
          <w:rFonts w:asciiTheme="majorEastAsia" w:hAnsiTheme="majorEastAsia" w:eastAsiaTheme="majorEastAsia" w:cstheme="majorEastAsia"/>
          <w:b/>
          <w:bCs/>
          <w:color w:val="000000"/>
          <w:kern w:val="0"/>
          <w:sz w:val="43"/>
          <w:szCs w:val="43"/>
          <w:highlight w:val="none"/>
          <w:lang w:bidi="ar"/>
        </w:rPr>
      </w:pPr>
    </w:p>
    <w:p>
      <w:pPr>
        <w:widowControl/>
        <w:ind w:firstLine="2590" w:firstLineChars="6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9"/>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default" w:asciiTheme="majorEastAsia" w:hAnsiTheme="majorEastAsia" w:eastAsiaTheme="minorEastAsia" w:cstheme="majorEastAsia"/>
                <w:sz w:val="22"/>
                <w:szCs w:val="22"/>
                <w:highlight w:val="none"/>
                <w:lang w:val="en-US" w:eastAsia="zh-CN"/>
              </w:rPr>
            </w:pPr>
            <w:r>
              <w:rPr>
                <w:rFonts w:hint="eastAsia" w:asciiTheme="majorEastAsia" w:hAnsiTheme="majorEastAsia" w:eastAsiaTheme="majorEastAsia" w:cstheme="majorEastAsia"/>
                <w:kern w:val="0"/>
                <w:sz w:val="22"/>
                <w:szCs w:val="22"/>
                <w:highlight w:val="none"/>
                <w:lang w:bidi="ar"/>
              </w:rPr>
              <w:t>乙方（中标人）名称：</w:t>
            </w:r>
            <w:r>
              <w:rPr>
                <w:rFonts w:hint="eastAsia" w:asciiTheme="majorEastAsia" w:hAnsiTheme="majorEastAsia" w:eastAsiaTheme="majorEastAsia" w:cstheme="majorEastAsia"/>
                <w:kern w:val="0"/>
                <w:sz w:val="22"/>
                <w:szCs w:val="22"/>
                <w:highlight w:val="none"/>
                <w:lang w:val="en-US" w:eastAsia="zh-CN" w:bidi="ar"/>
              </w:rPr>
              <w:t>*****************</w:t>
            </w:r>
            <w:r>
              <w:rPr>
                <w:rFonts w:hint="eastAsia" w:asciiTheme="majorEastAsia" w:hAnsiTheme="majorEastAsia" w:eastAsiaTheme="majorEastAsia" w:cstheme="majorEastAsia"/>
                <w:kern w:val="0"/>
                <w:sz w:val="22"/>
                <w:szCs w:val="22"/>
                <w:highlight w:val="none"/>
                <w:lang w:bidi="ar"/>
              </w:rPr>
              <w:t xml:space="preserve">                                          乙方（中标人）地址：</w:t>
            </w:r>
            <w:r>
              <w:rPr>
                <w:rFonts w:hint="eastAsia" w:ascii="宋体" w:hAnsi="宋体"/>
                <w:sz w:val="22"/>
                <w:szCs w:val="22"/>
                <w:highlight w:val="none"/>
                <w:lang w:val="en-US" w:eastAsia="zh-CN"/>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4"/>
                <w:highlight w:val="none"/>
                <w:lang w:val="zh-CN"/>
              </w:rPr>
              <w:t>合同签订后，</w:t>
            </w:r>
            <w:r>
              <w:rPr>
                <w:rFonts w:hint="eastAsia" w:ascii="宋体" w:hAnsi="宋体" w:eastAsia="宋体" w:cs="宋体"/>
                <w:sz w:val="24"/>
                <w:highlight w:val="none"/>
                <w:lang w:val="zh-CN"/>
              </w:rPr>
              <w:t>货物送达指定地点，乙方安装、调试、试运行、培训，经甲方（使用单位）验收合格后，</w:t>
            </w:r>
            <w:r>
              <w:rPr>
                <w:rFonts w:hint="eastAsia" w:ascii="宋体" w:hAnsi="宋体" w:eastAsia="宋体" w:cs="宋体"/>
                <w:sz w:val="24"/>
                <w:highlight w:val="none"/>
              </w:rPr>
              <w:t>乙方向甲方缴纳中标金额的20%作为质量保证金，乙方开具全额发票，</w:t>
            </w:r>
            <w:r>
              <w:rPr>
                <w:rFonts w:hint="eastAsia" w:asciiTheme="majorEastAsia" w:hAnsiTheme="majorEastAsia" w:eastAsiaTheme="majorEastAsia" w:cstheme="majorEastAsia"/>
                <w:sz w:val="24"/>
                <w:highlight w:val="none"/>
                <w:lang w:val="zh-CN"/>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sz w:val="24"/>
                <w:highlight w:val="none"/>
                <w:lang w:val="zh-CN"/>
              </w:rPr>
              <w:t>），质量保证期相应顺延；乙方拒绝履行质量保证责任的，甲方可以聘请第三方进行维保，产生的维保费甲方有权向乙方主张，并扣除的全部质保金。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kern w:val="0"/>
                <w:sz w:val="22"/>
                <w:szCs w:val="22"/>
                <w:highlight w:val="none"/>
                <w:lang w:bidi="ar"/>
              </w:rPr>
              <w:t>中标金额（大写）： 小写</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质量保证期：整机（含配套附件、附属设备等）质</w:t>
            </w:r>
            <w:r>
              <w:rPr>
                <w:rFonts w:hint="eastAsia" w:asciiTheme="majorEastAsia" w:hAnsiTheme="majorEastAsia" w:eastAsiaTheme="majorEastAsia" w:cstheme="majorEastAsia"/>
                <w:kern w:val="0"/>
                <w:sz w:val="22"/>
                <w:szCs w:val="22"/>
                <w:highlight w:val="none"/>
                <w:lang w:bidi="ar"/>
              </w:rPr>
              <w:t>保</w:t>
            </w:r>
            <w:r>
              <w:rPr>
                <w:rFonts w:hint="eastAsia" w:asciiTheme="majorEastAsia" w:hAnsiTheme="majorEastAsia" w:eastAsiaTheme="majorEastAsia" w:cstheme="majorEastAsia"/>
                <w:color w:val="000000"/>
                <w:kern w:val="0"/>
                <w:sz w:val="22"/>
                <w:szCs w:val="22"/>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向政府招投标、政府采购、行业主张机构申报、报告，将中标人列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交货期：合同签订</w:t>
            </w:r>
            <w:r>
              <w:rPr>
                <w:rFonts w:hint="eastAsia" w:asciiTheme="majorEastAsia" w:hAnsiTheme="majorEastAsia" w:eastAsiaTheme="majorEastAsia" w:cstheme="majorEastAsia"/>
                <w:kern w:val="0"/>
                <w:sz w:val="22"/>
                <w:szCs w:val="22"/>
                <w:highlight w:val="none"/>
                <w:lang w:bidi="ar"/>
              </w:rPr>
              <w:t>后15日历天内.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jc w:val="left"/>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kern w:val="0"/>
                <w:sz w:val="22"/>
                <w:szCs w:val="22"/>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sz w:val="22"/>
                <w:szCs w:val="22"/>
                <w:highlight w:val="none"/>
              </w:rPr>
              <w:t>因乙方故意或重大过失造成甲方财产损失或因乙方原因造成人员伤亡事件时，由此产生的责任全部有乙方承担并赔偿甲方全部损失。</w:t>
            </w:r>
          </w:p>
        </w:tc>
      </w:tr>
    </w:tbl>
    <w:p>
      <w:pPr>
        <w:pStyle w:val="16"/>
        <w:autoSpaceDE w:val="0"/>
        <w:autoSpaceDN w:val="0"/>
        <w:spacing w:before="66" w:line="360" w:lineRule="auto"/>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（以下无正文）</w:t>
      </w:r>
    </w:p>
    <w:p>
      <w:pPr>
        <w:widowControl/>
        <w:spacing w:line="360" w:lineRule="auto"/>
        <w:jc w:val="left"/>
        <w:rPr>
          <w:rFonts w:asciiTheme="majorEastAsia" w:hAnsiTheme="majorEastAsia" w:eastAsiaTheme="majorEastAsia" w:cstheme="majorEastAsia"/>
          <w:color w:val="000000"/>
          <w:kern w:val="0"/>
          <w:sz w:val="24"/>
          <w:highlight w:val="none"/>
          <w:lang w:bidi="ar"/>
        </w:rPr>
      </w:pP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7"/>
        <w:autoSpaceDE w:val="0"/>
        <w:autoSpaceDN w:val="0"/>
        <w:spacing w:after="156" w:afterLines="50" w:line="360" w:lineRule="auto"/>
        <w:ind w:right="-38"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采购项目合同》</w:t>
      </w:r>
      <w:r>
        <w:rPr>
          <w:rFonts w:hint="eastAsia" w:asciiTheme="majorEastAsia" w:hAnsiTheme="majorEastAsia" w:eastAsiaTheme="majorEastAsia" w:cstheme="majorEastAsia"/>
          <w:b w:val="0"/>
          <w:bCs w:val="0"/>
          <w:sz w:val="24"/>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b w:val="0"/>
          <w:bCs w:val="0"/>
          <w:sz w:val="24"/>
          <w:highlight w:val="none"/>
          <w:lang w:bidi="ar"/>
        </w:rPr>
        <w:t>）</w:t>
      </w:r>
    </w:p>
    <w:tbl>
      <w:tblPr>
        <w:tblStyle w:val="40"/>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234" w:type="dxa"/>
          </w:tcPr>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通讯地址：兰州市城关区和政西街1号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0931-4923487                          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730000</w:t>
            </w:r>
          </w:p>
        </w:tc>
        <w:tc>
          <w:tcPr>
            <w:tcW w:w="5116" w:type="dxa"/>
          </w:tcPr>
          <w:p>
            <w:pPr>
              <w:spacing w:line="360" w:lineRule="auto"/>
              <w:jc w:val="left"/>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rPr>
              <w:t>乙方（公章）：</w:t>
            </w:r>
            <w:r>
              <w:rPr>
                <w:rFonts w:hint="eastAsia" w:asciiTheme="majorEastAsia" w:hAnsiTheme="majorEastAsia" w:eastAsiaTheme="majorEastAsia" w:cstheme="majorEastAsia"/>
                <w:sz w:val="24"/>
                <w:highlight w:val="none"/>
                <w:lang w:eastAsia="zh-CN"/>
              </w:rPr>
              <w:t>******</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通讯地址：</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甲方法定代表人： </w:t>
            </w:r>
          </w:p>
          <w:p>
            <w:pPr>
              <w:widowControl/>
              <w:spacing w:line="360" w:lineRule="auto"/>
              <w:ind w:firstLine="1920" w:firstLineChars="8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乙方法定代表人：</w:t>
            </w: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2080" w:firstLineChars="800"/>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宋体" w:hAnsi="宋体" w:cs="宋体"/>
                <w:sz w:val="24"/>
                <w:szCs w:val="32"/>
                <w:highlight w:val="none"/>
              </w:rPr>
              <w:t>招标采购科、医学装备科负责人</w:t>
            </w:r>
            <w:r>
              <w:rPr>
                <w:rFonts w:hint="eastAsia" w:asciiTheme="majorEastAsia" w:hAnsiTheme="majorEastAsia" w:eastAsiaTheme="majorEastAsia" w:cstheme="majorEastAsia"/>
                <w:sz w:val="24"/>
                <w:szCs w:val="32"/>
                <w:highlight w:val="none"/>
              </w:rPr>
              <w:t>：</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  号：</w:t>
            </w:r>
          </w:p>
        </w:tc>
      </w:tr>
    </w:tbl>
    <w:p>
      <w:pPr>
        <w:pStyle w:val="125"/>
        <w:jc w:val="both"/>
        <w:rPr>
          <w:rFonts w:asciiTheme="majorEastAsia" w:hAnsiTheme="majorEastAsia" w:eastAsiaTheme="majorEastAsia" w:cstheme="majorEastAsia"/>
          <w:b/>
          <w:bCs w:val="0"/>
          <w:highlight w:val="none"/>
        </w:rPr>
      </w:pPr>
    </w:p>
    <w:p>
      <w:pPr>
        <w:pageBreakBefore w:val="0"/>
        <w:kinsoku/>
        <w:overflowPunct/>
        <w:topLinePunct w:val="0"/>
        <w:bidi w:val="0"/>
        <w:spacing w:line="360" w:lineRule="auto"/>
        <w:rPr>
          <w:rFonts w:hint="eastAsia" w:ascii="宋体" w:hAnsi="宋体" w:eastAsia="宋体" w:cs="宋体"/>
          <w:color w:val="auto"/>
        </w:rPr>
      </w:pP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0" w:csb1="00000000"/>
  </w:font>
  <w:font w:name="&amp;#23435;&amp;#20307;">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18030">
    <w:altName w:val="宋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jc w:val="center"/>
      <w:rPr>
        <w:rFonts w:ascii="仿宋" w:hAnsi="仿宋" w:eastAsia="仿宋"/>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r>
      <w:rPr>
        <w:rStyle w:val="43"/>
        <w:rFonts w:ascii="宋体" w:hAnsi="宋体"/>
      </w:rPr>
      <w:t xml:space="preserve">        </w:t>
    </w:r>
  </w:p>
  <w:p>
    <w:pPr>
      <w:pStyle w:val="25"/>
      <w:rPr>
        <w:rFonts w:ascii="宋体"/>
        <w:color w:val="FF000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53340</wp:posOffset>
              </wp:positionV>
              <wp:extent cx="547370" cy="246380"/>
              <wp:effectExtent l="0" t="0" r="0" b="0"/>
              <wp:wrapNone/>
              <wp:docPr id="15" name="矩形 15"/>
              <wp:cNvGraphicFramePr/>
              <a:graphic xmlns:a="http://schemas.openxmlformats.org/drawingml/2006/main">
                <a:graphicData uri="http://schemas.microsoft.com/office/word/2010/wordprocessingShape">
                  <wps:wsp>
                    <wps:cNvSpPr/>
                    <wps:spPr>
                      <a:xfrm>
                        <a:off x="0" y="0"/>
                        <a:ext cx="547370" cy="246380"/>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wps:txbx>
                    <wps:bodyPr lIns="0" tIns="0" rIns="0" bIns="0" upright="1"/>
                  </wps:wsp>
                </a:graphicData>
              </a:graphic>
            </wp:anchor>
          </w:drawing>
        </mc:Choice>
        <mc:Fallback>
          <w:pict>
            <v:rect id="_x0000_s1026" o:spid="_x0000_s1026" o:spt="1" style="position:absolute;left:0pt;margin-top:4.2pt;height:19.4pt;width:43.1pt;mso-position-horizontal:center;mso-position-horizontal-relative:margin;z-index:251664384;mso-width-relative:page;mso-height-relative:page;" filled="f" stroked="f" coordsize="21600,21600" o:gfxdata="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oTMA&#10;1gAAAAQBAAAPAAAAAAAAAAEAIAAAACIAAABkcnMvZG93bnJldi54bWxQSwECFAAUAAAACACHTuJA&#10;yHSJIbEBAABmAwAADgAAAAAAAAABACAAAAAlAQAAZHJzL2Uyb0RvYy54bWxQSwUGAAAAAAYABgBZ&#10;AQAASAUAAAAA&#10;">
              <v:fill on="f" focussize="0,0"/>
              <v:stroke on="f"/>
              <v:imagedata o:title=""/>
              <o:lock v:ext="edit" aspectratio="f"/>
              <v:textbox inset="0mm,0mm,0mm,0mm">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4</w:t>
    </w:r>
    <w:r>
      <w:fldChar w:fldCharType="end"/>
    </w:r>
  </w:p>
  <w:p>
    <w:pPr>
      <w:pStyle w:val="2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p>
  <w:p>
    <w:pPr>
      <w:pStyle w:val="25"/>
      <w:rPr>
        <w:rFonts w:ascii="宋体"/>
        <w:color w:val="FF000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130810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10.3pt;height:144pt;width:144pt;mso-position-horizontal:center;mso-position-horizontal-relative:margin;mso-wrap-style:none;z-index:251665408;mso-width-relative:page;mso-height-relative:page;" filled="f" stroked="f" coordsize="21600,21600" o:gfxdata="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2utVXTAAAABwEAAA8AAAAA&#10;AAAAAQAgAAAAIgAAAGRycy9kb3ducmV2LnhtbFBLAQIUABQAAAAIAIdO4kA3K0yd4AEAAL0DAAAO&#10;AAAAAAAAAAEAIAAAACIBAABkcnMvZTJvRG9jLnhtbFBLBQYAAAAABgAGAFkBAAB0BQ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v:textbox>
            </v:shape>
          </w:pict>
        </mc:Fallback>
      </mc:AlternateContent>
    </w:r>
    <w:r>
      <w:drawing>
        <wp:inline distT="0" distB="0" distL="114300" distR="114300">
          <wp:extent cx="1647825" cy="295275"/>
          <wp:effectExtent l="0" t="0" r="9525" b="9525"/>
          <wp:docPr id="11" name="图片 2"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图标3"/>
                  <pic:cNvPicPr>
                    <a:picLocks noChangeAspect="1"/>
                  </pic:cNvPicPr>
                </pic:nvPicPr>
                <pic:blipFill>
                  <a:blip r:embed="rId1"/>
                  <a:stretch>
                    <a:fillRect/>
                  </a:stretch>
                </pic:blipFill>
                <pic:spPr>
                  <a:xfrm>
                    <a:off x="0" y="0"/>
                    <a:ext cx="1647825" cy="295275"/>
                  </a:xfrm>
                  <a:prstGeom prst="rect">
                    <a:avLst/>
                  </a:prstGeom>
                  <a:noFill/>
                  <a:ln>
                    <a:noFill/>
                  </a:ln>
                </pic:spPr>
              </pic:pic>
            </a:graphicData>
          </a:graphic>
        </wp:inline>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hint="eastAsia" w:ascii="仿宋" w:hAnsi="仿宋" w:eastAsia="仿宋"/>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147955</wp:posOffset>
              </wp:positionV>
              <wp:extent cx="45783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1.65pt;height:11.65pt;width:36.05pt;mso-position-horizontal:center;mso-position-horizontal-relative:margin;mso-wrap-style:none;z-index:251663360;mso-width-relative:page;mso-height-relative:page;" filled="f" stroked="f" coordsize="21600,21600" o:gfxdata="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1HF9k0wAAAAUBAAAPAAAAAAAAAAEAIAAAACIAAABkcnMv&#10;ZG93bnJldi54bWxQSwECFAAUAAAACACHTuJAkn9ul88BAACZAwAADgAAAAAAAAABACAAAAAiAQAA&#10;ZHJzL2Uyb0RvYy54bWxQSwUGAAAAAAYABgBZAQAAYwU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DTvU8/AEAAAI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KviSMysMDfxJDYF9goEt1tGe3vmcqh4d&#10;1YWB8rQ0Sap39yB/embhrhW2UbeI0LdKVERvEW9mz66OOD6ClP1XqKiPOARIQEONJnpHbjBCp9Gc&#10;LqOJXCQlr1br6/crziQdLa7WH1er1EHk02WHPnxWYFgMCo40+QQujvc+RDIin0piLwt73XVp+p39&#10;K0GFMZPIR74j8zCUw9mMEqoTyUAYl4meEgUt4C/Oelqkglt6N5x1XywZEXduCnAKyikQVtLFggfO&#10;xvAujLt5cKiblnAnq2/JrL1OQqKrI4czS1qNpO+8xnH3nv+nqj9Pd/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ENO9Tz8AQAAAg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w:drawing>
        <wp:inline distT="0" distB="0" distL="0" distR="0">
          <wp:extent cx="1647825" cy="295275"/>
          <wp:effectExtent l="0" t="0" r="9525" b="9525"/>
          <wp:docPr id="4" name="图片 4"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标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2952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0" b="0"/>
              <wp:wrapNone/>
              <wp:docPr id="1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8"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LVxGUH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18"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9"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Q6jy0QAAAAMBAAAPAAAAAAAAAAEAIAAAACIAAABkcnMvZG93bnJldi54bWxQSwEC&#10;FAAUAAAACACHTuJAZmQ2nfsBAAADBAAADgAAAAAAAAABACAAAAAgAQAAZHJzL2Uyb0RvYy54bWxQ&#10;SwUGAAAAAAYABgBZAQAAjQU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0" b="0"/>
              <wp:wrapNone/>
              <wp:docPr id="1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8eifQ/AEAAAM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ok1Yc2aFoYk/qSGwTzCwxTL60zufU9mj&#10;o8IwUJ5qk1bv7kH+9MzCXStso24RoW+VqIjfIt7Mnl0dcXwEKfuvUFEfcQiQgIYaTTSP7GCETrM5&#10;XWYTuUhKXq3W1+9XnEk6WlytP65WqYPIp8sOffiswLAYFBxp9AlcHO99iGREPpXEXhb2uuvS+Dv7&#10;V4IKYyaRj3xH5mEoh7MZJVQnkoEwbhO9JQpawF+c9bRJBbf0cDjrvlgyIi7dFOAUlFMgrKSLBQ+c&#10;jeFdGJfz4FA3LeFOVt+SWXudhERXRw5nlrQbSd95j+PyPf9PVX/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Hx6J9D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1EB0"/>
    <w:multiLevelType w:val="singleLevel"/>
    <w:tmpl w:val="C2151EB0"/>
    <w:lvl w:ilvl="0" w:tentative="0">
      <w:start w:val="4"/>
      <w:numFmt w:val="chineseCounting"/>
      <w:suff w:val="space"/>
      <w:lvlText w:val="第%1部分"/>
      <w:lvlJc w:val="left"/>
      <w:rPr>
        <w:rFonts w:hint="eastAsia" w:cs="Times New Roman"/>
      </w:rPr>
    </w:lvl>
  </w:abstractNum>
  <w:abstractNum w:abstractNumId="1">
    <w:nsid w:val="0000000D"/>
    <w:multiLevelType w:val="multilevel"/>
    <w:tmpl w:val="0000000D"/>
    <w:lvl w:ilvl="0" w:tentative="0">
      <w:start w:val="1"/>
      <w:numFmt w:val="japaneseCounting"/>
      <w:lvlText w:val="（%1）"/>
      <w:lvlJc w:val="left"/>
      <w:pPr>
        <w:tabs>
          <w:tab w:val="left" w:pos="1287"/>
        </w:tabs>
        <w:ind w:left="1287" w:hanging="7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F"/>
    <w:multiLevelType w:val="multilevel"/>
    <w:tmpl w:val="0000000F"/>
    <w:lvl w:ilvl="0" w:tentative="0">
      <w:start w:val="1"/>
      <w:numFmt w:val="japaneseCounting"/>
      <w:lvlText w:val="（%1）"/>
      <w:lvlJc w:val="left"/>
      <w:pPr>
        <w:tabs>
          <w:tab w:val="left" w:pos="1200"/>
        </w:tabs>
        <w:ind w:left="120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5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4">
    <w:nsid w:val="46335E6F"/>
    <w:multiLevelType w:val="multilevel"/>
    <w:tmpl w:val="46335E6F"/>
    <w:lvl w:ilvl="0" w:tentative="0">
      <w:start w:val="1"/>
      <w:numFmt w:val="decimal"/>
      <w:pStyle w:val="54"/>
      <w:lvlText w:val="（%1）"/>
      <w:lvlJc w:val="left"/>
      <w:pPr>
        <w:ind w:left="987" w:hanging="420"/>
      </w:pPr>
      <w:rPr>
        <w:rFonts w:hint="eastAsia"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5">
    <w:nsid w:val="53E10F40"/>
    <w:multiLevelType w:val="singleLevel"/>
    <w:tmpl w:val="53E10F40"/>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TJkOTEyOTE1YThjZWNiZWI2N2I2MjgxZjNiZWYifQ=="/>
  </w:docVars>
  <w:rsids>
    <w:rsidRoot w:val="00172A27"/>
    <w:rsid w:val="00022B64"/>
    <w:rsid w:val="00081223"/>
    <w:rsid w:val="000B6516"/>
    <w:rsid w:val="000C3458"/>
    <w:rsid w:val="001064B9"/>
    <w:rsid w:val="0011703D"/>
    <w:rsid w:val="0013720F"/>
    <w:rsid w:val="001405EF"/>
    <w:rsid w:val="00142369"/>
    <w:rsid w:val="0014673C"/>
    <w:rsid w:val="00167C64"/>
    <w:rsid w:val="0017095D"/>
    <w:rsid w:val="00172A27"/>
    <w:rsid w:val="00183F2D"/>
    <w:rsid w:val="001942CA"/>
    <w:rsid w:val="001D1BD3"/>
    <w:rsid w:val="00246A91"/>
    <w:rsid w:val="002C13FC"/>
    <w:rsid w:val="002C64D0"/>
    <w:rsid w:val="003129AA"/>
    <w:rsid w:val="00320648"/>
    <w:rsid w:val="003560F8"/>
    <w:rsid w:val="00372820"/>
    <w:rsid w:val="00397226"/>
    <w:rsid w:val="003B6943"/>
    <w:rsid w:val="003C383F"/>
    <w:rsid w:val="003C5437"/>
    <w:rsid w:val="003D466C"/>
    <w:rsid w:val="003F5E42"/>
    <w:rsid w:val="00424509"/>
    <w:rsid w:val="004308EB"/>
    <w:rsid w:val="00435691"/>
    <w:rsid w:val="00442172"/>
    <w:rsid w:val="00482407"/>
    <w:rsid w:val="004A33FE"/>
    <w:rsid w:val="004C1F82"/>
    <w:rsid w:val="004D1A22"/>
    <w:rsid w:val="004F7BFE"/>
    <w:rsid w:val="005137E2"/>
    <w:rsid w:val="005208B9"/>
    <w:rsid w:val="005373A3"/>
    <w:rsid w:val="00566980"/>
    <w:rsid w:val="005C00F9"/>
    <w:rsid w:val="005D70B6"/>
    <w:rsid w:val="005E04DA"/>
    <w:rsid w:val="005F526C"/>
    <w:rsid w:val="00613FEA"/>
    <w:rsid w:val="006230FA"/>
    <w:rsid w:val="006618CB"/>
    <w:rsid w:val="006729F9"/>
    <w:rsid w:val="0069517A"/>
    <w:rsid w:val="006A3A4D"/>
    <w:rsid w:val="006D3630"/>
    <w:rsid w:val="006E51F0"/>
    <w:rsid w:val="0070348B"/>
    <w:rsid w:val="00715333"/>
    <w:rsid w:val="00721146"/>
    <w:rsid w:val="00761E84"/>
    <w:rsid w:val="0077222E"/>
    <w:rsid w:val="007724B7"/>
    <w:rsid w:val="007A431B"/>
    <w:rsid w:val="007B0C3F"/>
    <w:rsid w:val="007B46DC"/>
    <w:rsid w:val="007C1C12"/>
    <w:rsid w:val="007C457C"/>
    <w:rsid w:val="007D2205"/>
    <w:rsid w:val="007F01F9"/>
    <w:rsid w:val="008078CD"/>
    <w:rsid w:val="00813D3E"/>
    <w:rsid w:val="008157BB"/>
    <w:rsid w:val="0083045B"/>
    <w:rsid w:val="00837BD1"/>
    <w:rsid w:val="00862127"/>
    <w:rsid w:val="0087275E"/>
    <w:rsid w:val="008834E0"/>
    <w:rsid w:val="00896973"/>
    <w:rsid w:val="008A38E4"/>
    <w:rsid w:val="008D6A07"/>
    <w:rsid w:val="008E245F"/>
    <w:rsid w:val="008E32D8"/>
    <w:rsid w:val="00930094"/>
    <w:rsid w:val="0095058C"/>
    <w:rsid w:val="009A1C09"/>
    <w:rsid w:val="009B74E0"/>
    <w:rsid w:val="009D35D1"/>
    <w:rsid w:val="009E37BA"/>
    <w:rsid w:val="00A063A6"/>
    <w:rsid w:val="00A47163"/>
    <w:rsid w:val="00AA23E8"/>
    <w:rsid w:val="00AA5897"/>
    <w:rsid w:val="00AB425B"/>
    <w:rsid w:val="00AE28CB"/>
    <w:rsid w:val="00AF1EE6"/>
    <w:rsid w:val="00B322F4"/>
    <w:rsid w:val="00B42D5E"/>
    <w:rsid w:val="00B52D86"/>
    <w:rsid w:val="00B56FA9"/>
    <w:rsid w:val="00B7693E"/>
    <w:rsid w:val="00BE38E8"/>
    <w:rsid w:val="00BF2E78"/>
    <w:rsid w:val="00C1747A"/>
    <w:rsid w:val="00C26193"/>
    <w:rsid w:val="00C45ADD"/>
    <w:rsid w:val="00C85A18"/>
    <w:rsid w:val="00CA2DF4"/>
    <w:rsid w:val="00CA4D0C"/>
    <w:rsid w:val="00CC052A"/>
    <w:rsid w:val="00CC0A5D"/>
    <w:rsid w:val="00D35F84"/>
    <w:rsid w:val="00D56DA9"/>
    <w:rsid w:val="00D80F64"/>
    <w:rsid w:val="00D849D3"/>
    <w:rsid w:val="00DC05A9"/>
    <w:rsid w:val="00DE3B45"/>
    <w:rsid w:val="00E44C4C"/>
    <w:rsid w:val="00E4546D"/>
    <w:rsid w:val="00EC48B2"/>
    <w:rsid w:val="00EE1895"/>
    <w:rsid w:val="00EE3D87"/>
    <w:rsid w:val="00F169A5"/>
    <w:rsid w:val="00F43231"/>
    <w:rsid w:val="00F73BB2"/>
    <w:rsid w:val="00F907DD"/>
    <w:rsid w:val="00F9235C"/>
    <w:rsid w:val="00FB08FF"/>
    <w:rsid w:val="00FC173E"/>
    <w:rsid w:val="00FD6F39"/>
    <w:rsid w:val="00FF3FD0"/>
    <w:rsid w:val="00FF4AB2"/>
    <w:rsid w:val="01072822"/>
    <w:rsid w:val="014567B4"/>
    <w:rsid w:val="015D293B"/>
    <w:rsid w:val="01770390"/>
    <w:rsid w:val="01C162DF"/>
    <w:rsid w:val="01C416E0"/>
    <w:rsid w:val="023C6695"/>
    <w:rsid w:val="026F4C24"/>
    <w:rsid w:val="029838B5"/>
    <w:rsid w:val="02A27EC2"/>
    <w:rsid w:val="02BB609B"/>
    <w:rsid w:val="03100E8A"/>
    <w:rsid w:val="033C39CA"/>
    <w:rsid w:val="03A90E16"/>
    <w:rsid w:val="03E63AD5"/>
    <w:rsid w:val="03F11C32"/>
    <w:rsid w:val="046A5D03"/>
    <w:rsid w:val="04B23039"/>
    <w:rsid w:val="04DD5FEA"/>
    <w:rsid w:val="050F1833"/>
    <w:rsid w:val="051D440B"/>
    <w:rsid w:val="05500142"/>
    <w:rsid w:val="05656236"/>
    <w:rsid w:val="057E5D2D"/>
    <w:rsid w:val="05A0746B"/>
    <w:rsid w:val="05DE4EAB"/>
    <w:rsid w:val="061C1AFD"/>
    <w:rsid w:val="06461C7E"/>
    <w:rsid w:val="065D24C5"/>
    <w:rsid w:val="06792C62"/>
    <w:rsid w:val="0687062B"/>
    <w:rsid w:val="06DC31BE"/>
    <w:rsid w:val="06EF1A66"/>
    <w:rsid w:val="06FC2094"/>
    <w:rsid w:val="073513A6"/>
    <w:rsid w:val="07A27F70"/>
    <w:rsid w:val="07B20D69"/>
    <w:rsid w:val="07BD280B"/>
    <w:rsid w:val="07CD564C"/>
    <w:rsid w:val="07D53C55"/>
    <w:rsid w:val="08502FD2"/>
    <w:rsid w:val="087711E9"/>
    <w:rsid w:val="08A77E35"/>
    <w:rsid w:val="08C558E2"/>
    <w:rsid w:val="08DC4C5E"/>
    <w:rsid w:val="09217669"/>
    <w:rsid w:val="09654C87"/>
    <w:rsid w:val="09D643D9"/>
    <w:rsid w:val="09FD7717"/>
    <w:rsid w:val="0A5F70C0"/>
    <w:rsid w:val="0AA01487"/>
    <w:rsid w:val="0B1748A2"/>
    <w:rsid w:val="0B3A2135"/>
    <w:rsid w:val="0B71523D"/>
    <w:rsid w:val="0BC25CC0"/>
    <w:rsid w:val="0BEF23AC"/>
    <w:rsid w:val="0BF14C1F"/>
    <w:rsid w:val="0C294F0A"/>
    <w:rsid w:val="0C863E58"/>
    <w:rsid w:val="0C9A618C"/>
    <w:rsid w:val="0CC44A18"/>
    <w:rsid w:val="0CDC7E65"/>
    <w:rsid w:val="0D2D2BF9"/>
    <w:rsid w:val="0D4F0021"/>
    <w:rsid w:val="0D88694F"/>
    <w:rsid w:val="0DDD5043"/>
    <w:rsid w:val="0DF5086E"/>
    <w:rsid w:val="0DFB0E02"/>
    <w:rsid w:val="0E167A9B"/>
    <w:rsid w:val="0E1A3494"/>
    <w:rsid w:val="0E245572"/>
    <w:rsid w:val="0E4A0F23"/>
    <w:rsid w:val="0E5356D4"/>
    <w:rsid w:val="0EBE5F2B"/>
    <w:rsid w:val="0EBF1347"/>
    <w:rsid w:val="0EF27136"/>
    <w:rsid w:val="0EFA2549"/>
    <w:rsid w:val="0F0A7030"/>
    <w:rsid w:val="0F612236"/>
    <w:rsid w:val="0F615CB7"/>
    <w:rsid w:val="0FD02B35"/>
    <w:rsid w:val="0FD97736"/>
    <w:rsid w:val="0FF0057F"/>
    <w:rsid w:val="105C6C2B"/>
    <w:rsid w:val="106B5A70"/>
    <w:rsid w:val="107355A7"/>
    <w:rsid w:val="10923D18"/>
    <w:rsid w:val="1092731A"/>
    <w:rsid w:val="109D4DF8"/>
    <w:rsid w:val="10BF0B52"/>
    <w:rsid w:val="113462A8"/>
    <w:rsid w:val="11391EC7"/>
    <w:rsid w:val="11490862"/>
    <w:rsid w:val="11585322"/>
    <w:rsid w:val="117F2F81"/>
    <w:rsid w:val="118F497F"/>
    <w:rsid w:val="11B6003C"/>
    <w:rsid w:val="11D54739"/>
    <w:rsid w:val="11D849E2"/>
    <w:rsid w:val="11E81091"/>
    <w:rsid w:val="11EF0F80"/>
    <w:rsid w:val="121342E6"/>
    <w:rsid w:val="12B34615"/>
    <w:rsid w:val="130F704F"/>
    <w:rsid w:val="134015F0"/>
    <w:rsid w:val="13837E00"/>
    <w:rsid w:val="139027E7"/>
    <w:rsid w:val="13CE07BB"/>
    <w:rsid w:val="13E3563B"/>
    <w:rsid w:val="13E87495"/>
    <w:rsid w:val="14031616"/>
    <w:rsid w:val="142031FF"/>
    <w:rsid w:val="146C554E"/>
    <w:rsid w:val="14C57EE0"/>
    <w:rsid w:val="152D56B1"/>
    <w:rsid w:val="156938EB"/>
    <w:rsid w:val="15A17E1F"/>
    <w:rsid w:val="15B20422"/>
    <w:rsid w:val="160868D3"/>
    <w:rsid w:val="16091A0F"/>
    <w:rsid w:val="160B418F"/>
    <w:rsid w:val="161414C8"/>
    <w:rsid w:val="16431586"/>
    <w:rsid w:val="1668269C"/>
    <w:rsid w:val="166C5C05"/>
    <w:rsid w:val="16BD4EE8"/>
    <w:rsid w:val="16D07657"/>
    <w:rsid w:val="172530E6"/>
    <w:rsid w:val="17646E38"/>
    <w:rsid w:val="182564E6"/>
    <w:rsid w:val="18B82C03"/>
    <w:rsid w:val="19174FB3"/>
    <w:rsid w:val="192F7A6F"/>
    <w:rsid w:val="19313D0A"/>
    <w:rsid w:val="195926A8"/>
    <w:rsid w:val="198513F6"/>
    <w:rsid w:val="198E6D2A"/>
    <w:rsid w:val="19980764"/>
    <w:rsid w:val="1A00444C"/>
    <w:rsid w:val="1A6C77DA"/>
    <w:rsid w:val="1A7C3E8E"/>
    <w:rsid w:val="1A9413D2"/>
    <w:rsid w:val="1AD42BA9"/>
    <w:rsid w:val="1ADD5F96"/>
    <w:rsid w:val="1AE13F9B"/>
    <w:rsid w:val="1B0C1881"/>
    <w:rsid w:val="1B0F6441"/>
    <w:rsid w:val="1BBA57B3"/>
    <w:rsid w:val="1BCD09E2"/>
    <w:rsid w:val="1BCE1F0F"/>
    <w:rsid w:val="1C1442B7"/>
    <w:rsid w:val="1C221779"/>
    <w:rsid w:val="1C276031"/>
    <w:rsid w:val="1C9C01B3"/>
    <w:rsid w:val="1DAB57D3"/>
    <w:rsid w:val="1DBF351D"/>
    <w:rsid w:val="1E545DDB"/>
    <w:rsid w:val="1EC527A7"/>
    <w:rsid w:val="1FF753DF"/>
    <w:rsid w:val="1FFD16D8"/>
    <w:rsid w:val="202D7608"/>
    <w:rsid w:val="209A44DB"/>
    <w:rsid w:val="209B520A"/>
    <w:rsid w:val="20B2722B"/>
    <w:rsid w:val="2103406E"/>
    <w:rsid w:val="21240D9F"/>
    <w:rsid w:val="21345E3E"/>
    <w:rsid w:val="21501025"/>
    <w:rsid w:val="21AF7C76"/>
    <w:rsid w:val="21B71677"/>
    <w:rsid w:val="21D82C90"/>
    <w:rsid w:val="21F00A1C"/>
    <w:rsid w:val="21F0160C"/>
    <w:rsid w:val="220E40E2"/>
    <w:rsid w:val="221D2759"/>
    <w:rsid w:val="22631C60"/>
    <w:rsid w:val="229E5627"/>
    <w:rsid w:val="22E1719E"/>
    <w:rsid w:val="230B27FC"/>
    <w:rsid w:val="234541E2"/>
    <w:rsid w:val="237138A3"/>
    <w:rsid w:val="23864B8B"/>
    <w:rsid w:val="23A632C1"/>
    <w:rsid w:val="23AB7298"/>
    <w:rsid w:val="240301E6"/>
    <w:rsid w:val="240731B1"/>
    <w:rsid w:val="24A43FD9"/>
    <w:rsid w:val="254A16C3"/>
    <w:rsid w:val="259C073A"/>
    <w:rsid w:val="25AB6567"/>
    <w:rsid w:val="25DF4DA2"/>
    <w:rsid w:val="260B278A"/>
    <w:rsid w:val="2619236E"/>
    <w:rsid w:val="26A844C2"/>
    <w:rsid w:val="26D53495"/>
    <w:rsid w:val="26ED42E7"/>
    <w:rsid w:val="285A7CB3"/>
    <w:rsid w:val="285F079E"/>
    <w:rsid w:val="28D75308"/>
    <w:rsid w:val="28E419DB"/>
    <w:rsid w:val="28E614A9"/>
    <w:rsid w:val="28E86CA7"/>
    <w:rsid w:val="28F2003C"/>
    <w:rsid w:val="29076C89"/>
    <w:rsid w:val="292263C3"/>
    <w:rsid w:val="296F2427"/>
    <w:rsid w:val="2991189E"/>
    <w:rsid w:val="29A90DF1"/>
    <w:rsid w:val="29AF5D12"/>
    <w:rsid w:val="29EE62DF"/>
    <w:rsid w:val="2A2C2E1A"/>
    <w:rsid w:val="2A595964"/>
    <w:rsid w:val="2A8B13FB"/>
    <w:rsid w:val="2ACC676B"/>
    <w:rsid w:val="2B082F5D"/>
    <w:rsid w:val="2BB94357"/>
    <w:rsid w:val="2BC605CD"/>
    <w:rsid w:val="2C1A1FC8"/>
    <w:rsid w:val="2C1A56D8"/>
    <w:rsid w:val="2C376228"/>
    <w:rsid w:val="2C96748D"/>
    <w:rsid w:val="2C9936B0"/>
    <w:rsid w:val="2D556F76"/>
    <w:rsid w:val="2D5C6FDF"/>
    <w:rsid w:val="2DD2260A"/>
    <w:rsid w:val="2DF26338"/>
    <w:rsid w:val="2DF640D6"/>
    <w:rsid w:val="2DF974B4"/>
    <w:rsid w:val="2E870C09"/>
    <w:rsid w:val="2E8A41ED"/>
    <w:rsid w:val="2EC366A2"/>
    <w:rsid w:val="2ED008BA"/>
    <w:rsid w:val="2F2F6929"/>
    <w:rsid w:val="2F316DD8"/>
    <w:rsid w:val="2F3559A7"/>
    <w:rsid w:val="2FA52EEF"/>
    <w:rsid w:val="2FF62E4E"/>
    <w:rsid w:val="2FF82D77"/>
    <w:rsid w:val="309570A2"/>
    <w:rsid w:val="309F3985"/>
    <w:rsid w:val="312F0FC3"/>
    <w:rsid w:val="31796BBD"/>
    <w:rsid w:val="3185641B"/>
    <w:rsid w:val="320D35B4"/>
    <w:rsid w:val="320E23A2"/>
    <w:rsid w:val="3233703B"/>
    <w:rsid w:val="32430450"/>
    <w:rsid w:val="325014BD"/>
    <w:rsid w:val="32992D19"/>
    <w:rsid w:val="329C4881"/>
    <w:rsid w:val="32BF273F"/>
    <w:rsid w:val="32CB09E4"/>
    <w:rsid w:val="33251DEF"/>
    <w:rsid w:val="33432DF5"/>
    <w:rsid w:val="33670496"/>
    <w:rsid w:val="33DE1985"/>
    <w:rsid w:val="340B591D"/>
    <w:rsid w:val="34151A55"/>
    <w:rsid w:val="345B61A7"/>
    <w:rsid w:val="34F67D7D"/>
    <w:rsid w:val="35152751"/>
    <w:rsid w:val="35325358"/>
    <w:rsid w:val="355A7325"/>
    <w:rsid w:val="35793E2D"/>
    <w:rsid w:val="35A26C4F"/>
    <w:rsid w:val="35C52FB2"/>
    <w:rsid w:val="35CA52BD"/>
    <w:rsid w:val="35CB48C5"/>
    <w:rsid w:val="362C1585"/>
    <w:rsid w:val="366440FC"/>
    <w:rsid w:val="36E503EE"/>
    <w:rsid w:val="36E57773"/>
    <w:rsid w:val="371E47C1"/>
    <w:rsid w:val="371F0AD7"/>
    <w:rsid w:val="37771386"/>
    <w:rsid w:val="37B671A6"/>
    <w:rsid w:val="37B83065"/>
    <w:rsid w:val="37B92061"/>
    <w:rsid w:val="37C2247C"/>
    <w:rsid w:val="38BD724B"/>
    <w:rsid w:val="393C0DE5"/>
    <w:rsid w:val="397E6DBF"/>
    <w:rsid w:val="39923BB7"/>
    <w:rsid w:val="399C64D4"/>
    <w:rsid w:val="39CE7B2E"/>
    <w:rsid w:val="3A1A67DA"/>
    <w:rsid w:val="3A4E4081"/>
    <w:rsid w:val="3A740D56"/>
    <w:rsid w:val="3AA24FE0"/>
    <w:rsid w:val="3AB24895"/>
    <w:rsid w:val="3ABB5208"/>
    <w:rsid w:val="3B101E80"/>
    <w:rsid w:val="3B1C35AE"/>
    <w:rsid w:val="3B304995"/>
    <w:rsid w:val="3B343D91"/>
    <w:rsid w:val="3B896332"/>
    <w:rsid w:val="3BB51916"/>
    <w:rsid w:val="3BF5199F"/>
    <w:rsid w:val="3BFE54DD"/>
    <w:rsid w:val="3C333FCE"/>
    <w:rsid w:val="3C530863"/>
    <w:rsid w:val="3C59330A"/>
    <w:rsid w:val="3D046A2B"/>
    <w:rsid w:val="3D164FC1"/>
    <w:rsid w:val="3DAF7A0E"/>
    <w:rsid w:val="3DC25290"/>
    <w:rsid w:val="3E1622F6"/>
    <w:rsid w:val="3EA47F32"/>
    <w:rsid w:val="3EBA6554"/>
    <w:rsid w:val="3EDB4A95"/>
    <w:rsid w:val="3EF1761E"/>
    <w:rsid w:val="3EF75C7F"/>
    <w:rsid w:val="3F1D1A02"/>
    <w:rsid w:val="3F2B7DAB"/>
    <w:rsid w:val="3F5B0146"/>
    <w:rsid w:val="3FB84371"/>
    <w:rsid w:val="3FD10025"/>
    <w:rsid w:val="402415B1"/>
    <w:rsid w:val="40364047"/>
    <w:rsid w:val="4064739A"/>
    <w:rsid w:val="408A5E09"/>
    <w:rsid w:val="40FB3141"/>
    <w:rsid w:val="41DD1D28"/>
    <w:rsid w:val="42327BE3"/>
    <w:rsid w:val="425562C7"/>
    <w:rsid w:val="429E68BF"/>
    <w:rsid w:val="42EE28F7"/>
    <w:rsid w:val="42F8291A"/>
    <w:rsid w:val="43000445"/>
    <w:rsid w:val="4336290E"/>
    <w:rsid w:val="43595F4B"/>
    <w:rsid w:val="4383394D"/>
    <w:rsid w:val="43C14956"/>
    <w:rsid w:val="43D1198F"/>
    <w:rsid w:val="43E57DD7"/>
    <w:rsid w:val="445C2CE8"/>
    <w:rsid w:val="445D7FE2"/>
    <w:rsid w:val="448E4E44"/>
    <w:rsid w:val="44A94EE1"/>
    <w:rsid w:val="44C93104"/>
    <w:rsid w:val="45565D69"/>
    <w:rsid w:val="4582723E"/>
    <w:rsid w:val="45996D81"/>
    <w:rsid w:val="459B1DC5"/>
    <w:rsid w:val="468427D9"/>
    <w:rsid w:val="46FC12F1"/>
    <w:rsid w:val="471B69C1"/>
    <w:rsid w:val="47EB0920"/>
    <w:rsid w:val="47F510B4"/>
    <w:rsid w:val="48943F06"/>
    <w:rsid w:val="48A721B3"/>
    <w:rsid w:val="48AD7BAD"/>
    <w:rsid w:val="48D73A89"/>
    <w:rsid w:val="490A029E"/>
    <w:rsid w:val="49302697"/>
    <w:rsid w:val="493745FE"/>
    <w:rsid w:val="49946C7D"/>
    <w:rsid w:val="499B55D0"/>
    <w:rsid w:val="49DB12BF"/>
    <w:rsid w:val="49E74877"/>
    <w:rsid w:val="49EA3E5B"/>
    <w:rsid w:val="49EA619F"/>
    <w:rsid w:val="4A2A09DD"/>
    <w:rsid w:val="4A3D5F21"/>
    <w:rsid w:val="4A490744"/>
    <w:rsid w:val="4A4A34F0"/>
    <w:rsid w:val="4AE32A1C"/>
    <w:rsid w:val="4AEA09A7"/>
    <w:rsid w:val="4B086708"/>
    <w:rsid w:val="4B1C4454"/>
    <w:rsid w:val="4B263FC0"/>
    <w:rsid w:val="4B360091"/>
    <w:rsid w:val="4B49630A"/>
    <w:rsid w:val="4B820D49"/>
    <w:rsid w:val="4B9B2D38"/>
    <w:rsid w:val="4BCB7A4C"/>
    <w:rsid w:val="4C541EBD"/>
    <w:rsid w:val="4C593D64"/>
    <w:rsid w:val="4C7F3609"/>
    <w:rsid w:val="4C884E1E"/>
    <w:rsid w:val="4CA86D16"/>
    <w:rsid w:val="4CD75476"/>
    <w:rsid w:val="4D0D02F5"/>
    <w:rsid w:val="4DA46B1D"/>
    <w:rsid w:val="4DA91DEA"/>
    <w:rsid w:val="4DAF428E"/>
    <w:rsid w:val="4E0F7F85"/>
    <w:rsid w:val="4E6724A4"/>
    <w:rsid w:val="4E742810"/>
    <w:rsid w:val="4E9121D6"/>
    <w:rsid w:val="4EA563EF"/>
    <w:rsid w:val="4EE317CC"/>
    <w:rsid w:val="4EE32C35"/>
    <w:rsid w:val="4EE566F3"/>
    <w:rsid w:val="4F6753D6"/>
    <w:rsid w:val="4FA61625"/>
    <w:rsid w:val="4FB25F72"/>
    <w:rsid w:val="501A426D"/>
    <w:rsid w:val="50210776"/>
    <w:rsid w:val="50584981"/>
    <w:rsid w:val="505B2FB8"/>
    <w:rsid w:val="508939B6"/>
    <w:rsid w:val="510E2D60"/>
    <w:rsid w:val="511D0DA4"/>
    <w:rsid w:val="511E3B3A"/>
    <w:rsid w:val="513325CB"/>
    <w:rsid w:val="513F374E"/>
    <w:rsid w:val="51F93069"/>
    <w:rsid w:val="523154D8"/>
    <w:rsid w:val="52333BFF"/>
    <w:rsid w:val="523E2A97"/>
    <w:rsid w:val="52404441"/>
    <w:rsid w:val="52436758"/>
    <w:rsid w:val="52BC02DD"/>
    <w:rsid w:val="53B879A5"/>
    <w:rsid w:val="53C81C9D"/>
    <w:rsid w:val="54464574"/>
    <w:rsid w:val="54644E0F"/>
    <w:rsid w:val="547B7494"/>
    <w:rsid w:val="54AE2CD1"/>
    <w:rsid w:val="55465B60"/>
    <w:rsid w:val="55522BB8"/>
    <w:rsid w:val="55634D84"/>
    <w:rsid w:val="558D7ED3"/>
    <w:rsid w:val="55F90C99"/>
    <w:rsid w:val="55FA6E1B"/>
    <w:rsid w:val="565170C6"/>
    <w:rsid w:val="56984C3D"/>
    <w:rsid w:val="56BB1FC6"/>
    <w:rsid w:val="56CC3179"/>
    <w:rsid w:val="57027BF0"/>
    <w:rsid w:val="574C622F"/>
    <w:rsid w:val="578E5921"/>
    <w:rsid w:val="57D62F5A"/>
    <w:rsid w:val="587452E7"/>
    <w:rsid w:val="5878081B"/>
    <w:rsid w:val="587B44BC"/>
    <w:rsid w:val="58D87EC5"/>
    <w:rsid w:val="58E56F4B"/>
    <w:rsid w:val="58FB4EE0"/>
    <w:rsid w:val="58FC089D"/>
    <w:rsid w:val="58FD2FE4"/>
    <w:rsid w:val="591C3232"/>
    <w:rsid w:val="597D6D49"/>
    <w:rsid w:val="5A1B1AC8"/>
    <w:rsid w:val="5AF67C3D"/>
    <w:rsid w:val="5AFC4140"/>
    <w:rsid w:val="5B1A6A9D"/>
    <w:rsid w:val="5B1E7634"/>
    <w:rsid w:val="5B213506"/>
    <w:rsid w:val="5B74264A"/>
    <w:rsid w:val="5BA86C48"/>
    <w:rsid w:val="5BBD5244"/>
    <w:rsid w:val="5BD40777"/>
    <w:rsid w:val="5C8A7312"/>
    <w:rsid w:val="5C8F4377"/>
    <w:rsid w:val="5CB02929"/>
    <w:rsid w:val="5CE075B1"/>
    <w:rsid w:val="5D4920F0"/>
    <w:rsid w:val="5D605E77"/>
    <w:rsid w:val="5D960A94"/>
    <w:rsid w:val="5DE36F73"/>
    <w:rsid w:val="5DEB4E64"/>
    <w:rsid w:val="5E334A3C"/>
    <w:rsid w:val="5E5371C4"/>
    <w:rsid w:val="5EFE6C58"/>
    <w:rsid w:val="5F1D4F41"/>
    <w:rsid w:val="5F1E70D0"/>
    <w:rsid w:val="5F2B4324"/>
    <w:rsid w:val="5F4E1012"/>
    <w:rsid w:val="5FA86313"/>
    <w:rsid w:val="5FC85FD2"/>
    <w:rsid w:val="5FF34C51"/>
    <w:rsid w:val="609D7329"/>
    <w:rsid w:val="609E6609"/>
    <w:rsid w:val="60A113CD"/>
    <w:rsid w:val="60A25473"/>
    <w:rsid w:val="60D36EB3"/>
    <w:rsid w:val="60FE6B47"/>
    <w:rsid w:val="6136165B"/>
    <w:rsid w:val="613E50FC"/>
    <w:rsid w:val="615561EA"/>
    <w:rsid w:val="61F51539"/>
    <w:rsid w:val="622E1B6D"/>
    <w:rsid w:val="62AD7252"/>
    <w:rsid w:val="62B3292C"/>
    <w:rsid w:val="630904BD"/>
    <w:rsid w:val="63116FBE"/>
    <w:rsid w:val="63211F87"/>
    <w:rsid w:val="632256D8"/>
    <w:rsid w:val="632F0A0C"/>
    <w:rsid w:val="63802D26"/>
    <w:rsid w:val="638B628F"/>
    <w:rsid w:val="63986677"/>
    <w:rsid w:val="640D7C2F"/>
    <w:rsid w:val="642402F2"/>
    <w:rsid w:val="64415E39"/>
    <w:rsid w:val="64491689"/>
    <w:rsid w:val="64492261"/>
    <w:rsid w:val="64716895"/>
    <w:rsid w:val="64743F7E"/>
    <w:rsid w:val="64A80850"/>
    <w:rsid w:val="64AB2CDC"/>
    <w:rsid w:val="64BD6E87"/>
    <w:rsid w:val="65804C7A"/>
    <w:rsid w:val="65BD63F3"/>
    <w:rsid w:val="65D774B5"/>
    <w:rsid w:val="66893025"/>
    <w:rsid w:val="669914C6"/>
    <w:rsid w:val="66D64AD5"/>
    <w:rsid w:val="66D71853"/>
    <w:rsid w:val="66FA7408"/>
    <w:rsid w:val="670B4B95"/>
    <w:rsid w:val="67105FD6"/>
    <w:rsid w:val="672E0EB0"/>
    <w:rsid w:val="67746F85"/>
    <w:rsid w:val="67752302"/>
    <w:rsid w:val="678E217C"/>
    <w:rsid w:val="67B57771"/>
    <w:rsid w:val="67C14F43"/>
    <w:rsid w:val="67DB299D"/>
    <w:rsid w:val="67E21CD0"/>
    <w:rsid w:val="6824360A"/>
    <w:rsid w:val="682F6969"/>
    <w:rsid w:val="684C4042"/>
    <w:rsid w:val="689836FD"/>
    <w:rsid w:val="689B7AAF"/>
    <w:rsid w:val="68C4578C"/>
    <w:rsid w:val="68DE0513"/>
    <w:rsid w:val="692827B1"/>
    <w:rsid w:val="692E6D7A"/>
    <w:rsid w:val="69702796"/>
    <w:rsid w:val="69922742"/>
    <w:rsid w:val="69EF0BCC"/>
    <w:rsid w:val="6A141655"/>
    <w:rsid w:val="6A143B67"/>
    <w:rsid w:val="6A234DD8"/>
    <w:rsid w:val="6A471542"/>
    <w:rsid w:val="6A6C6A3C"/>
    <w:rsid w:val="6A733429"/>
    <w:rsid w:val="6ACD0AF9"/>
    <w:rsid w:val="6AE4019D"/>
    <w:rsid w:val="6AE71484"/>
    <w:rsid w:val="6B201D6F"/>
    <w:rsid w:val="6B31383F"/>
    <w:rsid w:val="6B7A3FA9"/>
    <w:rsid w:val="6B8E4FDD"/>
    <w:rsid w:val="6BAA13BD"/>
    <w:rsid w:val="6BB018D2"/>
    <w:rsid w:val="6C77656B"/>
    <w:rsid w:val="6CE97DB5"/>
    <w:rsid w:val="6D011C7F"/>
    <w:rsid w:val="6D312455"/>
    <w:rsid w:val="6D4E3A68"/>
    <w:rsid w:val="6DA6436C"/>
    <w:rsid w:val="6DCA3AE9"/>
    <w:rsid w:val="6E343938"/>
    <w:rsid w:val="6E930F87"/>
    <w:rsid w:val="6EB52451"/>
    <w:rsid w:val="6EB56037"/>
    <w:rsid w:val="6EDB389A"/>
    <w:rsid w:val="6EDF442C"/>
    <w:rsid w:val="6EE940BA"/>
    <w:rsid w:val="6EED4C20"/>
    <w:rsid w:val="6F6A0C1E"/>
    <w:rsid w:val="6F814162"/>
    <w:rsid w:val="6F9E1CBF"/>
    <w:rsid w:val="6FED47D8"/>
    <w:rsid w:val="70C31CD3"/>
    <w:rsid w:val="70E675C6"/>
    <w:rsid w:val="713F5D1F"/>
    <w:rsid w:val="717327BE"/>
    <w:rsid w:val="71BC3B43"/>
    <w:rsid w:val="71FA70B5"/>
    <w:rsid w:val="72035796"/>
    <w:rsid w:val="721A23BF"/>
    <w:rsid w:val="72355389"/>
    <w:rsid w:val="724472B1"/>
    <w:rsid w:val="72782494"/>
    <w:rsid w:val="729C3E2B"/>
    <w:rsid w:val="72ED0DA6"/>
    <w:rsid w:val="72F014F2"/>
    <w:rsid w:val="72F71A8A"/>
    <w:rsid w:val="72F75DF0"/>
    <w:rsid w:val="730140EA"/>
    <w:rsid w:val="73025223"/>
    <w:rsid w:val="73732367"/>
    <w:rsid w:val="73A0620C"/>
    <w:rsid w:val="73C72D8A"/>
    <w:rsid w:val="74185868"/>
    <w:rsid w:val="74472D03"/>
    <w:rsid w:val="749D1782"/>
    <w:rsid w:val="74E34438"/>
    <w:rsid w:val="751A11DB"/>
    <w:rsid w:val="75205D51"/>
    <w:rsid w:val="75A91D86"/>
    <w:rsid w:val="767454D5"/>
    <w:rsid w:val="767921A4"/>
    <w:rsid w:val="767B15BE"/>
    <w:rsid w:val="767C77FD"/>
    <w:rsid w:val="76911A31"/>
    <w:rsid w:val="769E6D07"/>
    <w:rsid w:val="76EE7FEF"/>
    <w:rsid w:val="77420546"/>
    <w:rsid w:val="775328F6"/>
    <w:rsid w:val="77B854C6"/>
    <w:rsid w:val="77BF670D"/>
    <w:rsid w:val="77E23D44"/>
    <w:rsid w:val="78334E1D"/>
    <w:rsid w:val="783F2AC8"/>
    <w:rsid w:val="78696B26"/>
    <w:rsid w:val="789A45DA"/>
    <w:rsid w:val="78BD78BD"/>
    <w:rsid w:val="790C27F1"/>
    <w:rsid w:val="79290D37"/>
    <w:rsid w:val="7959517B"/>
    <w:rsid w:val="79814C37"/>
    <w:rsid w:val="79C57518"/>
    <w:rsid w:val="79DF6F61"/>
    <w:rsid w:val="7A1F02B7"/>
    <w:rsid w:val="7A2E28E1"/>
    <w:rsid w:val="7A9463A2"/>
    <w:rsid w:val="7A98019A"/>
    <w:rsid w:val="7AA44E07"/>
    <w:rsid w:val="7AE10CB7"/>
    <w:rsid w:val="7B02637B"/>
    <w:rsid w:val="7B44777D"/>
    <w:rsid w:val="7B573CF1"/>
    <w:rsid w:val="7B8170BF"/>
    <w:rsid w:val="7B993B23"/>
    <w:rsid w:val="7BB02A39"/>
    <w:rsid w:val="7BBB7424"/>
    <w:rsid w:val="7BBC7A94"/>
    <w:rsid w:val="7BC41F41"/>
    <w:rsid w:val="7BD356EF"/>
    <w:rsid w:val="7BDB4B0A"/>
    <w:rsid w:val="7C1C6331"/>
    <w:rsid w:val="7C211272"/>
    <w:rsid w:val="7C283421"/>
    <w:rsid w:val="7C29678B"/>
    <w:rsid w:val="7CAD25F0"/>
    <w:rsid w:val="7D347B36"/>
    <w:rsid w:val="7D7A6DC9"/>
    <w:rsid w:val="7D7F24B4"/>
    <w:rsid w:val="7DED759D"/>
    <w:rsid w:val="7E033295"/>
    <w:rsid w:val="7E0452F7"/>
    <w:rsid w:val="7E0D213D"/>
    <w:rsid w:val="7E2B3E16"/>
    <w:rsid w:val="7E590AF1"/>
    <w:rsid w:val="7F0D57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iPriority="99" w:semiHidden="0"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57"/>
    <w:qFormat/>
    <w:uiPriority w:val="99"/>
    <w:pPr>
      <w:keepNext/>
      <w:keepLines/>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58"/>
    <w:qFormat/>
    <w:uiPriority w:val="99"/>
    <w:pPr>
      <w:keepNext/>
      <w:keepLines/>
      <w:adjustRightInd w:val="0"/>
      <w:spacing w:before="240" w:after="120" w:line="300" w:lineRule="auto"/>
      <w:jc w:val="left"/>
      <w:textAlignment w:val="baseline"/>
      <w:outlineLvl w:val="2"/>
    </w:pPr>
    <w:rPr>
      <w:rFonts w:ascii="Times New Roman" w:hAnsi="Times New Roman"/>
      <w:b/>
      <w:kern w:val="0"/>
      <w:szCs w:val="20"/>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60"/>
    <w:qFormat/>
    <w:uiPriority w:val="99"/>
    <w:pPr>
      <w:keepNext/>
      <w:keepLines/>
      <w:spacing w:before="280" w:after="290" w:line="376" w:lineRule="auto"/>
      <w:outlineLvl w:val="4"/>
    </w:pPr>
    <w:rPr>
      <w:rFonts w:ascii="Times New Roman" w:hAnsi="Times New Roman"/>
      <w:b/>
      <w:sz w:val="28"/>
      <w:szCs w:val="20"/>
    </w:rPr>
  </w:style>
  <w:style w:type="paragraph" w:styleId="8">
    <w:name w:val="heading 6"/>
    <w:basedOn w:val="1"/>
    <w:next w:val="9"/>
    <w:link w:val="61"/>
    <w:qFormat/>
    <w:uiPriority w:val="99"/>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62"/>
    <w:qFormat/>
    <w:uiPriority w:val="99"/>
    <w:pPr>
      <w:keepNext/>
      <w:keepLines/>
      <w:spacing w:before="240" w:after="64" w:line="320" w:lineRule="auto"/>
      <w:outlineLvl w:val="6"/>
    </w:pPr>
    <w:rPr>
      <w:b/>
      <w:sz w:val="24"/>
      <w:szCs w:val="20"/>
    </w:rPr>
  </w:style>
  <w:style w:type="paragraph" w:styleId="11">
    <w:name w:val="heading 8"/>
    <w:basedOn w:val="1"/>
    <w:next w:val="9"/>
    <w:link w:val="63"/>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64"/>
    <w:qFormat/>
    <w:uiPriority w:val="99"/>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cs="Times New Roman"/>
      <w:color w:val="auto"/>
      <w:kern w:val="28"/>
      <w:szCs w:val="20"/>
    </w:rPr>
  </w:style>
  <w:style w:type="paragraph" w:styleId="9">
    <w:name w:val="Normal Indent"/>
    <w:basedOn w:val="1"/>
    <w:next w:val="1"/>
    <w:link w:val="113"/>
    <w:qFormat/>
    <w:uiPriority w:val="99"/>
    <w:pPr>
      <w:ind w:firstLine="420" w:firstLineChars="200"/>
    </w:pPr>
    <w:rPr>
      <w:rFonts w:ascii="Times New Roman" w:hAnsi="Times New Roman"/>
    </w:rPr>
  </w:style>
  <w:style w:type="paragraph" w:styleId="13">
    <w:name w:val="toc 7"/>
    <w:basedOn w:val="1"/>
    <w:next w:val="1"/>
    <w:qFormat/>
    <w:uiPriority w:val="99"/>
    <w:pPr>
      <w:ind w:left="1260"/>
      <w:jc w:val="left"/>
    </w:pPr>
    <w:rPr>
      <w:sz w:val="18"/>
      <w:szCs w:val="18"/>
    </w:rPr>
  </w:style>
  <w:style w:type="paragraph" w:styleId="14">
    <w:name w:val="Document Map"/>
    <w:basedOn w:val="1"/>
    <w:link w:val="65"/>
    <w:qFormat/>
    <w:uiPriority w:val="99"/>
    <w:rPr>
      <w:rFonts w:ascii="宋体" w:hAnsi="Times New Roman"/>
      <w:sz w:val="18"/>
      <w:szCs w:val="18"/>
    </w:rPr>
  </w:style>
  <w:style w:type="paragraph" w:styleId="15">
    <w:name w:val="annotation text"/>
    <w:basedOn w:val="1"/>
    <w:link w:val="66"/>
    <w:qFormat/>
    <w:uiPriority w:val="99"/>
    <w:pPr>
      <w:jc w:val="left"/>
    </w:pPr>
    <w:rPr>
      <w:rFonts w:ascii="Times New Roman" w:hAnsi="Times New Roman"/>
    </w:rPr>
  </w:style>
  <w:style w:type="paragraph" w:styleId="16">
    <w:name w:val="Body Text"/>
    <w:basedOn w:val="1"/>
    <w:next w:val="1"/>
    <w:link w:val="67"/>
    <w:qFormat/>
    <w:uiPriority w:val="99"/>
    <w:pPr>
      <w:spacing w:line="480" w:lineRule="auto"/>
    </w:pPr>
    <w:rPr>
      <w:color w:val="000000"/>
      <w:sz w:val="24"/>
    </w:rPr>
  </w:style>
  <w:style w:type="paragraph" w:styleId="17">
    <w:name w:val="Body Text Indent"/>
    <w:basedOn w:val="1"/>
    <w:next w:val="16"/>
    <w:link w:val="68"/>
    <w:qFormat/>
    <w:uiPriority w:val="99"/>
    <w:pPr>
      <w:spacing w:line="400" w:lineRule="exact"/>
      <w:ind w:left="360"/>
    </w:pPr>
    <w:rPr>
      <w:rFonts w:ascii="华文中宋" w:hAnsi="华文中宋" w:eastAsia="华文中宋"/>
      <w:color w:val="FF6600"/>
      <w:sz w:val="24"/>
    </w:rPr>
  </w:style>
  <w:style w:type="paragraph" w:styleId="18">
    <w:name w:val="toc 5"/>
    <w:basedOn w:val="1"/>
    <w:next w:val="1"/>
    <w:qFormat/>
    <w:uiPriority w:val="99"/>
    <w:pPr>
      <w:ind w:left="840"/>
      <w:jc w:val="left"/>
    </w:pPr>
    <w:rPr>
      <w:sz w:val="18"/>
      <w:szCs w:val="18"/>
    </w:rPr>
  </w:style>
  <w:style w:type="paragraph" w:styleId="19">
    <w:name w:val="toc 3"/>
    <w:basedOn w:val="1"/>
    <w:next w:val="1"/>
    <w:qFormat/>
    <w:uiPriority w:val="99"/>
    <w:pPr>
      <w:ind w:left="420"/>
      <w:jc w:val="left"/>
    </w:pPr>
    <w:rPr>
      <w:i/>
      <w:iCs/>
      <w:sz w:val="20"/>
      <w:szCs w:val="20"/>
    </w:rPr>
  </w:style>
  <w:style w:type="paragraph" w:styleId="20">
    <w:name w:val="Plain Text"/>
    <w:basedOn w:val="1"/>
    <w:next w:val="1"/>
    <w:link w:val="69"/>
    <w:qFormat/>
    <w:uiPriority w:val="99"/>
    <w:pPr>
      <w:jc w:val="left"/>
    </w:pPr>
    <w:rPr>
      <w:rFonts w:ascii="宋体" w:hAnsi="Courier New"/>
      <w:szCs w:val="20"/>
    </w:rPr>
  </w:style>
  <w:style w:type="paragraph" w:styleId="21">
    <w:name w:val="toc 8"/>
    <w:basedOn w:val="1"/>
    <w:next w:val="1"/>
    <w:qFormat/>
    <w:uiPriority w:val="99"/>
    <w:pPr>
      <w:ind w:left="1470"/>
      <w:jc w:val="left"/>
    </w:pPr>
    <w:rPr>
      <w:sz w:val="18"/>
      <w:szCs w:val="18"/>
    </w:rPr>
  </w:style>
  <w:style w:type="paragraph" w:styleId="22">
    <w:name w:val="Date"/>
    <w:basedOn w:val="1"/>
    <w:next w:val="1"/>
    <w:link w:val="70"/>
    <w:qFormat/>
    <w:uiPriority w:val="99"/>
    <w:rPr>
      <w:rFonts w:ascii="Times New Roman" w:hAnsi="Times New Roman"/>
      <w:sz w:val="24"/>
      <w:szCs w:val="20"/>
    </w:rPr>
  </w:style>
  <w:style w:type="paragraph" w:styleId="23">
    <w:name w:val="Body Text Indent 2"/>
    <w:basedOn w:val="1"/>
    <w:link w:val="71"/>
    <w:qFormat/>
    <w:uiPriority w:val="99"/>
    <w:pPr>
      <w:spacing w:before="240" w:line="560" w:lineRule="exact"/>
      <w:ind w:firstLine="480" w:firstLineChars="200"/>
    </w:pPr>
    <w:rPr>
      <w:rFonts w:ascii="Times New Roman" w:hAnsi="Times New Roman"/>
      <w:sz w:val="24"/>
      <w:szCs w:val="32"/>
    </w:rPr>
  </w:style>
  <w:style w:type="paragraph" w:styleId="24">
    <w:name w:val="Balloon Text"/>
    <w:basedOn w:val="1"/>
    <w:link w:val="72"/>
    <w:qFormat/>
    <w:uiPriority w:val="99"/>
    <w:rPr>
      <w:rFonts w:ascii="Times New Roman" w:hAnsi="Times New Roman"/>
      <w:sz w:val="18"/>
      <w:szCs w:val="18"/>
    </w:rPr>
  </w:style>
  <w:style w:type="paragraph" w:styleId="25">
    <w:name w:val="footer"/>
    <w:basedOn w:val="1"/>
    <w:link w:val="73"/>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99"/>
    <w:pPr>
      <w:spacing w:before="120" w:after="120"/>
      <w:jc w:val="left"/>
    </w:pPr>
    <w:rPr>
      <w:b/>
      <w:bCs/>
      <w:caps/>
      <w:sz w:val="20"/>
      <w:szCs w:val="20"/>
    </w:rPr>
  </w:style>
  <w:style w:type="paragraph" w:styleId="28">
    <w:name w:val="toc 4"/>
    <w:basedOn w:val="1"/>
    <w:next w:val="1"/>
    <w:qFormat/>
    <w:uiPriority w:val="99"/>
    <w:pPr>
      <w:ind w:left="630"/>
      <w:jc w:val="left"/>
    </w:pPr>
    <w:rPr>
      <w:sz w:val="18"/>
      <w:szCs w:val="18"/>
    </w:rPr>
  </w:style>
  <w:style w:type="paragraph" w:styleId="29">
    <w:name w:val="toc 6"/>
    <w:basedOn w:val="1"/>
    <w:next w:val="1"/>
    <w:qFormat/>
    <w:uiPriority w:val="99"/>
    <w:pPr>
      <w:ind w:left="1050"/>
      <w:jc w:val="left"/>
    </w:pPr>
    <w:rPr>
      <w:sz w:val="18"/>
      <w:szCs w:val="18"/>
    </w:rPr>
  </w:style>
  <w:style w:type="paragraph" w:styleId="30">
    <w:name w:val="Body Text Indent 3"/>
    <w:basedOn w:val="1"/>
    <w:link w:val="75"/>
    <w:qFormat/>
    <w:uiPriority w:val="99"/>
    <w:pPr>
      <w:spacing w:after="120"/>
      <w:ind w:left="420" w:leftChars="200"/>
    </w:pPr>
    <w:rPr>
      <w:rFonts w:ascii="Times New Roman" w:hAnsi="Times New Roman" w:eastAsia="仿宋_GB2312"/>
      <w:sz w:val="16"/>
      <w:szCs w:val="16"/>
    </w:rPr>
  </w:style>
  <w:style w:type="paragraph" w:styleId="31">
    <w:name w:val="toc 2"/>
    <w:basedOn w:val="1"/>
    <w:next w:val="1"/>
    <w:qFormat/>
    <w:uiPriority w:val="99"/>
    <w:pPr>
      <w:ind w:left="210"/>
      <w:jc w:val="left"/>
    </w:pPr>
    <w:rPr>
      <w:smallCaps/>
      <w:sz w:val="20"/>
      <w:szCs w:val="20"/>
    </w:rPr>
  </w:style>
  <w:style w:type="paragraph" w:styleId="32">
    <w:name w:val="toc 9"/>
    <w:basedOn w:val="1"/>
    <w:next w:val="1"/>
    <w:qFormat/>
    <w:uiPriority w:val="99"/>
    <w:pPr>
      <w:ind w:left="1680"/>
      <w:jc w:val="left"/>
    </w:pPr>
    <w:rPr>
      <w:sz w:val="18"/>
      <w:szCs w:val="18"/>
    </w:rPr>
  </w:style>
  <w:style w:type="paragraph" w:styleId="33">
    <w:name w:val="Body Text 2"/>
    <w:basedOn w:val="1"/>
    <w:link w:val="76"/>
    <w:qFormat/>
    <w:uiPriority w:val="99"/>
    <w:pPr>
      <w:spacing w:after="120" w:line="480" w:lineRule="auto"/>
    </w:pPr>
    <w:rPr>
      <w:rFonts w:ascii="Times New Roman" w:hAnsi="Times New Roman"/>
    </w:rPr>
  </w:style>
  <w:style w:type="paragraph" w:styleId="34">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35">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36">
    <w:name w:val="annotation subject"/>
    <w:basedOn w:val="15"/>
    <w:next w:val="15"/>
    <w:link w:val="77"/>
    <w:qFormat/>
    <w:uiPriority w:val="99"/>
    <w:rPr>
      <w:b/>
      <w:bCs/>
    </w:rPr>
  </w:style>
  <w:style w:type="paragraph" w:styleId="37">
    <w:name w:val="Body Text First Indent"/>
    <w:basedOn w:val="16"/>
    <w:qFormat/>
    <w:locked/>
    <w:uiPriority w:val="0"/>
    <w:pPr>
      <w:ind w:firstLine="420" w:firstLineChars="100"/>
    </w:pPr>
    <w:rPr>
      <w:rFonts w:ascii="宋体"/>
      <w:sz w:val="28"/>
      <w:szCs w:val="20"/>
    </w:rPr>
  </w:style>
  <w:style w:type="paragraph" w:styleId="38">
    <w:name w:val="Body Text First Indent 2"/>
    <w:basedOn w:val="17"/>
    <w:next w:val="1"/>
    <w:link w:val="78"/>
    <w:qFormat/>
    <w:uiPriority w:val="99"/>
    <w:pPr>
      <w:spacing w:after="120"/>
      <w:ind w:left="420" w:leftChars="200" w:firstLine="420" w:firstLineChars="200"/>
    </w:p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qFormat/>
    <w:uiPriority w:val="99"/>
    <w:rPr>
      <w:rFonts w:cs="Times New Roman"/>
      <w:color w:val="555555"/>
      <w:u w:val="none"/>
    </w:rPr>
  </w:style>
  <w:style w:type="character" w:styleId="45">
    <w:name w:val="Emphasis"/>
    <w:qFormat/>
    <w:uiPriority w:val="99"/>
    <w:rPr>
      <w:rFonts w:cs="Times New Roman"/>
      <w:color w:val="CC0000"/>
    </w:rPr>
  </w:style>
  <w:style w:type="character" w:styleId="46">
    <w:name w:val="HTML Definition"/>
    <w:qFormat/>
    <w:uiPriority w:val="99"/>
    <w:rPr>
      <w:rFonts w:cs="Times New Roman"/>
    </w:rPr>
  </w:style>
  <w:style w:type="character" w:styleId="47">
    <w:name w:val="HTML Acronym"/>
    <w:qFormat/>
    <w:uiPriority w:val="99"/>
    <w:rPr>
      <w:rFonts w:cs="Times New Roman"/>
    </w:rPr>
  </w:style>
  <w:style w:type="character" w:styleId="48">
    <w:name w:val="HTML Variable"/>
    <w:qFormat/>
    <w:uiPriority w:val="99"/>
    <w:rPr>
      <w:rFonts w:cs="Times New Roman"/>
    </w:rPr>
  </w:style>
  <w:style w:type="character" w:styleId="49">
    <w:name w:val="Hyperlink"/>
    <w:qFormat/>
    <w:uiPriority w:val="99"/>
    <w:rPr>
      <w:rFonts w:cs="Times New Roman"/>
      <w:color w:val="555555"/>
      <w:u w:val="none"/>
    </w:rPr>
  </w:style>
  <w:style w:type="character" w:styleId="50">
    <w:name w:val="HTML Code"/>
    <w:qFormat/>
    <w:uiPriority w:val="99"/>
    <w:rPr>
      <w:rFonts w:ascii="Courier New" w:hAnsi="Courier New" w:cs="Times New Roman"/>
      <w:sz w:val="20"/>
    </w:rPr>
  </w:style>
  <w:style w:type="character" w:styleId="51">
    <w:name w:val="annotation reference"/>
    <w:qFormat/>
    <w:uiPriority w:val="99"/>
    <w:rPr>
      <w:rFonts w:cs="Times New Roman"/>
      <w:sz w:val="21"/>
    </w:rPr>
  </w:style>
  <w:style w:type="character" w:styleId="52">
    <w:name w:val="HTML Cite"/>
    <w:qFormat/>
    <w:uiPriority w:val="99"/>
    <w:rPr>
      <w:rFonts w:cs="Times New Roman"/>
    </w:rPr>
  </w:style>
  <w:style w:type="paragraph" w:customStyle="1" w:styleId="53">
    <w:name w:val="引言二级条标题"/>
    <w:basedOn w:val="54"/>
    <w:next w:val="55"/>
    <w:qFormat/>
    <w:uiPriority w:val="99"/>
    <w:pPr>
      <w:numPr>
        <w:ilvl w:val="1"/>
        <w:numId w:val="1"/>
      </w:numPr>
      <w:tabs>
        <w:tab w:val="left" w:pos="360"/>
      </w:tabs>
    </w:pPr>
  </w:style>
  <w:style w:type="paragraph" w:customStyle="1" w:styleId="54">
    <w:name w:val="引言一级条标题"/>
    <w:basedOn w:val="1"/>
    <w:next w:val="55"/>
    <w:qFormat/>
    <w:uiPriority w:val="99"/>
    <w:pPr>
      <w:widowControl/>
      <w:numPr>
        <w:ilvl w:val="0"/>
        <w:numId w:val="2"/>
      </w:numPr>
    </w:pPr>
    <w:rPr>
      <w:rFonts w:ascii="Times New Roman" w:hAnsi="Times New Roman" w:eastAsia="黑体"/>
      <w:b/>
    </w:rPr>
  </w:style>
  <w:style w:type="paragraph" w:customStyle="1" w:styleId="55">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6">
    <w:name w:val="标题 1 字符"/>
    <w:link w:val="3"/>
    <w:qFormat/>
    <w:locked/>
    <w:uiPriority w:val="99"/>
    <w:rPr>
      <w:rFonts w:eastAsia="宋体"/>
      <w:b/>
      <w:kern w:val="44"/>
      <w:sz w:val="44"/>
      <w:lang w:val="en-US" w:eastAsia="zh-CN"/>
    </w:rPr>
  </w:style>
  <w:style w:type="character" w:customStyle="1" w:styleId="57">
    <w:name w:val="标题 2 字符"/>
    <w:link w:val="4"/>
    <w:qFormat/>
    <w:locked/>
    <w:uiPriority w:val="99"/>
    <w:rPr>
      <w:rFonts w:ascii="Arial" w:hAnsi="Arial" w:eastAsia="黑体"/>
      <w:b/>
      <w:sz w:val="30"/>
      <w:lang w:val="en-US" w:eastAsia="zh-CN"/>
    </w:rPr>
  </w:style>
  <w:style w:type="character" w:customStyle="1" w:styleId="58">
    <w:name w:val="标题 3 字符"/>
    <w:link w:val="5"/>
    <w:qFormat/>
    <w:locked/>
    <w:uiPriority w:val="99"/>
    <w:rPr>
      <w:rFonts w:eastAsia="宋体"/>
      <w:b/>
      <w:sz w:val="21"/>
      <w:lang w:val="en-US" w:eastAsia="zh-CN"/>
    </w:rPr>
  </w:style>
  <w:style w:type="character" w:customStyle="1" w:styleId="59">
    <w:name w:val="标题 4 字符"/>
    <w:link w:val="6"/>
    <w:qFormat/>
    <w:locked/>
    <w:uiPriority w:val="99"/>
    <w:rPr>
      <w:rFonts w:ascii="Arial" w:hAnsi="Arial" w:eastAsia="黑体"/>
      <w:b/>
      <w:kern w:val="2"/>
      <w:sz w:val="28"/>
      <w:lang w:val="en-US" w:eastAsia="zh-CN"/>
    </w:rPr>
  </w:style>
  <w:style w:type="character" w:customStyle="1" w:styleId="60">
    <w:name w:val="标题 5 字符"/>
    <w:link w:val="7"/>
    <w:qFormat/>
    <w:locked/>
    <w:uiPriority w:val="99"/>
    <w:rPr>
      <w:b/>
      <w:kern w:val="2"/>
      <w:sz w:val="28"/>
    </w:rPr>
  </w:style>
  <w:style w:type="character" w:customStyle="1" w:styleId="61">
    <w:name w:val="标题 6 字符"/>
    <w:link w:val="8"/>
    <w:semiHidden/>
    <w:qFormat/>
    <w:uiPriority w:val="9"/>
    <w:rPr>
      <w:rFonts w:ascii="Cambria" w:hAnsi="Cambria" w:eastAsia="宋体" w:cs="Times New Roman"/>
      <w:b/>
      <w:bCs/>
      <w:sz w:val="24"/>
      <w:szCs w:val="24"/>
    </w:rPr>
  </w:style>
  <w:style w:type="character" w:customStyle="1" w:styleId="62">
    <w:name w:val="标题 7 字符"/>
    <w:link w:val="10"/>
    <w:semiHidden/>
    <w:qFormat/>
    <w:uiPriority w:val="9"/>
    <w:rPr>
      <w:rFonts w:ascii="Calibri" w:hAnsi="Calibri"/>
      <w:b/>
      <w:bCs/>
      <w:sz w:val="24"/>
      <w:szCs w:val="24"/>
    </w:rPr>
  </w:style>
  <w:style w:type="character" w:customStyle="1" w:styleId="63">
    <w:name w:val="标题 8 字符"/>
    <w:link w:val="11"/>
    <w:semiHidden/>
    <w:qFormat/>
    <w:uiPriority w:val="9"/>
    <w:rPr>
      <w:rFonts w:ascii="Cambria" w:hAnsi="Cambria" w:eastAsia="宋体" w:cs="Times New Roman"/>
      <w:sz w:val="24"/>
      <w:szCs w:val="24"/>
    </w:rPr>
  </w:style>
  <w:style w:type="character" w:customStyle="1" w:styleId="64">
    <w:name w:val="标题 9 字符"/>
    <w:link w:val="12"/>
    <w:semiHidden/>
    <w:qFormat/>
    <w:uiPriority w:val="9"/>
    <w:rPr>
      <w:rFonts w:ascii="Cambria" w:hAnsi="Cambria" w:eastAsia="宋体" w:cs="Times New Roman"/>
      <w:szCs w:val="21"/>
    </w:rPr>
  </w:style>
  <w:style w:type="character" w:customStyle="1" w:styleId="65">
    <w:name w:val="文档结构图 字符"/>
    <w:link w:val="14"/>
    <w:qFormat/>
    <w:locked/>
    <w:uiPriority w:val="99"/>
    <w:rPr>
      <w:rFonts w:ascii="宋体"/>
      <w:kern w:val="2"/>
      <w:sz w:val="18"/>
    </w:rPr>
  </w:style>
  <w:style w:type="character" w:customStyle="1" w:styleId="66">
    <w:name w:val="批注文字 字符"/>
    <w:link w:val="15"/>
    <w:qFormat/>
    <w:locked/>
    <w:uiPriority w:val="99"/>
    <w:rPr>
      <w:kern w:val="2"/>
      <w:sz w:val="24"/>
    </w:rPr>
  </w:style>
  <w:style w:type="character" w:customStyle="1" w:styleId="67">
    <w:name w:val="正文文本 字符"/>
    <w:link w:val="16"/>
    <w:semiHidden/>
    <w:qFormat/>
    <w:uiPriority w:val="99"/>
    <w:rPr>
      <w:rFonts w:ascii="Calibri" w:hAnsi="Calibri"/>
      <w:szCs w:val="24"/>
    </w:rPr>
  </w:style>
  <w:style w:type="character" w:customStyle="1" w:styleId="68">
    <w:name w:val="正文文本缩进 字符"/>
    <w:link w:val="17"/>
    <w:qFormat/>
    <w:locked/>
    <w:uiPriority w:val="99"/>
    <w:rPr>
      <w:rFonts w:ascii="华文中宋" w:hAnsi="华文中宋" w:eastAsia="华文中宋"/>
      <w:color w:val="FF6600"/>
      <w:kern w:val="2"/>
      <w:sz w:val="24"/>
    </w:rPr>
  </w:style>
  <w:style w:type="character" w:customStyle="1" w:styleId="69">
    <w:name w:val="纯文本 字符"/>
    <w:link w:val="20"/>
    <w:qFormat/>
    <w:locked/>
    <w:uiPriority w:val="99"/>
    <w:rPr>
      <w:rFonts w:ascii="宋体" w:hAnsi="Courier New" w:eastAsia="宋体"/>
      <w:kern w:val="2"/>
      <w:sz w:val="21"/>
      <w:lang w:val="en-US" w:eastAsia="zh-CN"/>
    </w:rPr>
  </w:style>
  <w:style w:type="character" w:customStyle="1" w:styleId="70">
    <w:name w:val="日期 字符"/>
    <w:link w:val="22"/>
    <w:qFormat/>
    <w:locked/>
    <w:uiPriority w:val="99"/>
    <w:rPr>
      <w:rFonts w:eastAsia="宋体"/>
      <w:kern w:val="2"/>
      <w:sz w:val="24"/>
      <w:lang w:val="en-US" w:eastAsia="zh-CN"/>
    </w:rPr>
  </w:style>
  <w:style w:type="character" w:customStyle="1" w:styleId="71">
    <w:name w:val="正文文本缩进 2 字符"/>
    <w:link w:val="23"/>
    <w:qFormat/>
    <w:locked/>
    <w:uiPriority w:val="99"/>
    <w:rPr>
      <w:rFonts w:eastAsia="宋体"/>
      <w:kern w:val="2"/>
      <w:sz w:val="32"/>
      <w:lang w:val="en-US" w:eastAsia="zh-CN"/>
    </w:rPr>
  </w:style>
  <w:style w:type="character" w:customStyle="1" w:styleId="72">
    <w:name w:val="批注框文本 字符"/>
    <w:link w:val="24"/>
    <w:qFormat/>
    <w:locked/>
    <w:uiPriority w:val="99"/>
    <w:rPr>
      <w:rFonts w:eastAsia="宋体"/>
      <w:kern w:val="2"/>
      <w:sz w:val="18"/>
      <w:lang w:val="en-US" w:eastAsia="zh-CN"/>
    </w:rPr>
  </w:style>
  <w:style w:type="character" w:customStyle="1" w:styleId="73">
    <w:name w:val="页脚 字符"/>
    <w:link w:val="25"/>
    <w:qFormat/>
    <w:locked/>
    <w:uiPriority w:val="99"/>
    <w:rPr>
      <w:rFonts w:eastAsia="宋体"/>
      <w:kern w:val="2"/>
      <w:sz w:val="18"/>
      <w:lang w:val="en-US" w:eastAsia="zh-CN"/>
    </w:rPr>
  </w:style>
  <w:style w:type="character" w:customStyle="1" w:styleId="74">
    <w:name w:val="页眉 字符"/>
    <w:link w:val="26"/>
    <w:qFormat/>
    <w:locked/>
    <w:uiPriority w:val="99"/>
    <w:rPr>
      <w:kern w:val="2"/>
      <w:sz w:val="18"/>
    </w:rPr>
  </w:style>
  <w:style w:type="character" w:customStyle="1" w:styleId="75">
    <w:name w:val="正文文本缩进 3 字符"/>
    <w:link w:val="30"/>
    <w:qFormat/>
    <w:locked/>
    <w:uiPriority w:val="99"/>
    <w:rPr>
      <w:rFonts w:eastAsia="仿宋_GB2312"/>
      <w:kern w:val="2"/>
      <w:sz w:val="16"/>
      <w:lang w:val="en-US" w:eastAsia="zh-CN"/>
    </w:rPr>
  </w:style>
  <w:style w:type="character" w:customStyle="1" w:styleId="76">
    <w:name w:val="正文文本 2 字符"/>
    <w:link w:val="33"/>
    <w:qFormat/>
    <w:locked/>
    <w:uiPriority w:val="99"/>
    <w:rPr>
      <w:rFonts w:eastAsia="宋体"/>
      <w:kern w:val="2"/>
      <w:sz w:val="24"/>
      <w:lang w:val="en-US" w:eastAsia="zh-CN"/>
    </w:rPr>
  </w:style>
  <w:style w:type="character" w:customStyle="1" w:styleId="77">
    <w:name w:val="批注主题 字符"/>
    <w:link w:val="36"/>
    <w:qFormat/>
    <w:locked/>
    <w:uiPriority w:val="99"/>
    <w:rPr>
      <w:b/>
      <w:kern w:val="2"/>
      <w:sz w:val="24"/>
    </w:rPr>
  </w:style>
  <w:style w:type="character" w:customStyle="1" w:styleId="78">
    <w:name w:val="正文文本首行缩进 2 字符"/>
    <w:link w:val="38"/>
    <w:semiHidden/>
    <w:qFormat/>
    <w:uiPriority w:val="99"/>
    <w:rPr>
      <w:rFonts w:ascii="Calibri" w:hAnsi="Calibri" w:eastAsia="华文中宋"/>
      <w:color w:val="FF6600"/>
      <w:kern w:val="2"/>
      <w:sz w:val="24"/>
      <w:szCs w:val="24"/>
    </w:rPr>
  </w:style>
  <w:style w:type="paragraph" w:customStyle="1" w:styleId="79">
    <w:name w:val="Char"/>
    <w:basedOn w:val="1"/>
    <w:link w:val="115"/>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0">
    <w:name w:val="List Paragraph1"/>
    <w:basedOn w:val="1"/>
    <w:qFormat/>
    <w:uiPriority w:val="99"/>
    <w:pPr>
      <w:ind w:firstLine="420" w:firstLineChars="200"/>
    </w:pPr>
  </w:style>
  <w:style w:type="paragraph" w:customStyle="1" w:styleId="81">
    <w:name w:val="Table Paragraph"/>
    <w:basedOn w:val="1"/>
    <w:qFormat/>
    <w:uiPriority w:val="99"/>
    <w:rPr>
      <w:rFonts w:ascii="宋体" w:hAnsi="宋体" w:cs="宋体"/>
      <w:lang w:val="zh-CN"/>
    </w:rPr>
  </w:style>
  <w:style w:type="paragraph" w:customStyle="1" w:styleId="82">
    <w:name w:val="ÕýÎÄ"/>
    <w:qFormat/>
    <w:uiPriority w:val="99"/>
    <w:pPr>
      <w:widowControl w:val="0"/>
      <w:overflowPunct w:val="0"/>
      <w:autoSpaceDE w:val="0"/>
      <w:autoSpaceDN w:val="0"/>
      <w:adjustRightInd w:val="0"/>
      <w:jc w:val="both"/>
      <w:textAlignment w:val="baseline"/>
    </w:pPr>
    <w:rPr>
      <w:rFonts w:ascii="Calibri" w:hAnsi="Calibri" w:eastAsia="宋体" w:cs="Times New Roman"/>
      <w:kern w:val="2"/>
      <w:sz w:val="21"/>
      <w:lang w:val="en-US" w:eastAsia="zh-CN" w:bidi="ar-SA"/>
    </w:rPr>
  </w:style>
  <w:style w:type="paragraph" w:customStyle="1" w:styleId="83">
    <w:name w:val="p15"/>
    <w:basedOn w:val="1"/>
    <w:qFormat/>
    <w:uiPriority w:val="99"/>
    <w:pPr>
      <w:widowControl/>
    </w:pPr>
    <w:rPr>
      <w:kern w:val="0"/>
      <w:szCs w:val="21"/>
    </w:rPr>
  </w:style>
  <w:style w:type="paragraph" w:customStyle="1" w:styleId="84">
    <w:name w:val="Absatz2AL"/>
    <w:basedOn w:val="16"/>
    <w:next w:val="1"/>
    <w:qFormat/>
    <w:uiPriority w:val="99"/>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18"/>
      <w:szCs w:val="18"/>
    </w:rPr>
  </w:style>
  <w:style w:type="paragraph" w:customStyle="1" w:styleId="86">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87">
    <w:name w:val="正文格式"/>
    <w:basedOn w:val="1"/>
    <w:link w:val="110"/>
    <w:qFormat/>
    <w:uiPriority w:val="99"/>
    <w:pPr>
      <w:widowControl/>
      <w:ind w:firstLine="560" w:firstLineChars="200"/>
      <w:jc w:val="left"/>
    </w:pPr>
    <w:rPr>
      <w:rFonts w:ascii="仿宋" w:hAnsi="仿宋" w:eastAsia="仿宋"/>
      <w:sz w:val="28"/>
      <w:szCs w:val="32"/>
    </w:rPr>
  </w:style>
  <w:style w:type="paragraph" w:styleId="8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89">
    <w:name w:val="List Paragraph"/>
    <w:basedOn w:val="1"/>
    <w:qFormat/>
    <w:uiPriority w:val="99"/>
    <w:pPr>
      <w:ind w:firstLine="420" w:firstLineChars="200"/>
    </w:pPr>
    <w:rPr>
      <w:szCs w:val="22"/>
    </w:rPr>
  </w:style>
  <w:style w:type="paragraph" w:customStyle="1" w:styleId="90">
    <w:name w:val="p0"/>
    <w:basedOn w:val="1"/>
    <w:qFormat/>
    <w:uiPriority w:val="99"/>
    <w:pPr>
      <w:widowControl/>
      <w:snapToGrid w:val="0"/>
      <w:jc w:val="left"/>
    </w:pPr>
    <w:rPr>
      <w:rFonts w:ascii="宋体" w:hAnsi="宋体" w:cs="宋体"/>
      <w:kern w:val="0"/>
      <w:sz w:val="34"/>
      <w:szCs w:val="34"/>
    </w:rPr>
  </w:style>
  <w:style w:type="paragraph" w:customStyle="1" w:styleId="91">
    <w:name w:val="正文1"/>
    <w:basedOn w:val="1"/>
    <w:qFormat/>
    <w:uiPriority w:val="99"/>
    <w:pPr>
      <w:spacing w:line="312" w:lineRule="exact"/>
    </w:pPr>
    <w:rPr>
      <w:rFonts w:ascii="Times New Roman"/>
    </w:rPr>
  </w:style>
  <w:style w:type="paragraph" w:customStyle="1" w:styleId="92">
    <w:name w:val="_Style 63"/>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3">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4">
    <w:name w:val="普通(网站)1"/>
    <w:basedOn w:val="1"/>
    <w:qFormat/>
    <w:uiPriority w:val="99"/>
    <w:pPr>
      <w:widowControl/>
      <w:spacing w:before="100" w:after="100"/>
      <w:jc w:val="left"/>
    </w:pPr>
    <w:rPr>
      <w:rFonts w:ascii="宋体" w:hAnsi="宋体"/>
      <w:sz w:val="24"/>
      <w:szCs w:val="20"/>
    </w:rPr>
  </w:style>
  <w:style w:type="paragraph" w:customStyle="1" w:styleId="95">
    <w:name w:val="Char2"/>
    <w:basedOn w:val="1"/>
    <w:qFormat/>
    <w:uiPriority w:val="99"/>
    <w:pPr>
      <w:tabs>
        <w:tab w:val="left" w:pos="425"/>
      </w:tabs>
      <w:ind w:left="425" w:hanging="425"/>
    </w:pPr>
  </w:style>
  <w:style w:type="paragraph" w:customStyle="1" w:styleId="96">
    <w:name w:val="默认段落字体 Para Char Char Char Char Char Char Char Char Char1 Char Char Char Char Char Char Char Char"/>
    <w:basedOn w:val="14"/>
    <w:qFormat/>
    <w:uiPriority w:val="99"/>
    <w:pPr>
      <w:shd w:val="clear" w:color="auto" w:fill="000080"/>
    </w:pPr>
    <w:rPr>
      <w:rFonts w:hAnsi="宋体"/>
      <w:kern w:val="0"/>
      <w:sz w:val="24"/>
      <w:szCs w:val="24"/>
    </w:rPr>
  </w:style>
  <w:style w:type="paragraph" w:customStyle="1" w:styleId="97">
    <w:name w:val="标书正文"/>
    <w:basedOn w:val="1"/>
    <w:qFormat/>
    <w:uiPriority w:val="99"/>
    <w:pPr>
      <w:snapToGrid w:val="0"/>
      <w:spacing w:line="360" w:lineRule="auto"/>
      <w:ind w:firstLine="200" w:firstLineChars="200"/>
    </w:pPr>
    <w:rPr>
      <w:sz w:val="24"/>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表格"/>
    <w:basedOn w:val="1"/>
    <w:qFormat/>
    <w:uiPriority w:val="99"/>
    <w:pPr>
      <w:adjustRightInd w:val="0"/>
      <w:snapToGrid w:val="0"/>
      <w:jc w:val="center"/>
    </w:pPr>
    <w:rPr>
      <w:bCs/>
      <w:u w:color="FFFFFF"/>
    </w:rPr>
  </w:style>
  <w:style w:type="paragraph" w:customStyle="1" w:styleId="100">
    <w:name w:val="样式 正文缩进 + 首行缩进:  2 字符"/>
    <w:basedOn w:val="9"/>
    <w:link w:val="108"/>
    <w:qFormat/>
    <w:uiPriority w:val="99"/>
    <w:pPr>
      <w:spacing w:line="360" w:lineRule="auto"/>
      <w:ind w:firstLine="200"/>
    </w:pPr>
    <w:rPr>
      <w:rFonts w:cs="宋体"/>
      <w:sz w:val="24"/>
      <w:szCs w:val="20"/>
    </w:rPr>
  </w:style>
  <w:style w:type="paragraph" w:customStyle="1" w:styleId="10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 w:val="18"/>
      <w:szCs w:val="18"/>
    </w:rPr>
  </w:style>
  <w:style w:type="paragraph" w:customStyle="1" w:styleId="1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paragraph" w:customStyle="1" w:styleId="103">
    <w:name w:val="xl28"/>
    <w:basedOn w:val="1"/>
    <w:qFormat/>
    <w:uiPriority w:val="99"/>
    <w:pPr>
      <w:widowControl/>
      <w:pBdr>
        <w:bottom w:val="single" w:color="auto" w:sz="4" w:space="0"/>
      </w:pBdr>
      <w:spacing w:before="100" w:beforeAutospacing="1" w:after="100" w:afterAutospacing="1"/>
      <w:jc w:val="center"/>
    </w:pPr>
    <w:rPr>
      <w:rFonts w:ascii="仿宋_GB2312" w:hAnsi="Arial Unicode MS" w:eastAsia="仿宋_GB2312" w:cs="Arial Unicode MS"/>
      <w:b/>
      <w:bCs/>
      <w:kern w:val="0"/>
      <w:sz w:val="24"/>
    </w:rPr>
  </w:style>
  <w:style w:type="paragraph" w:customStyle="1" w:styleId="104">
    <w:name w:val="内容1"/>
    <w:basedOn w:val="1"/>
    <w:qFormat/>
    <w:uiPriority w:val="99"/>
    <w:pPr>
      <w:ind w:firstLine="480" w:firstLineChars="200"/>
    </w:pPr>
    <w:rPr>
      <w:rFonts w:ascii="宋体"/>
      <w:kern w:val="0"/>
    </w:rPr>
  </w:style>
  <w:style w:type="paragraph" w:customStyle="1" w:styleId="105">
    <w:name w:val="样式 样式 (符号) 宋体 小四 首行缩进:  0.85 厘米 段后: 6 磅 行距: 固定值 20 磅 + 首行缩进:  2 ..."/>
    <w:basedOn w:val="1"/>
    <w:qFormat/>
    <w:uiPriority w:val="99"/>
    <w:pPr>
      <w:spacing w:line="360" w:lineRule="auto"/>
      <w:ind w:firstLine="560" w:firstLineChars="200"/>
    </w:pPr>
    <w:rPr>
      <w:rFonts w:ascii="仿宋_GB2312" w:hAnsi="宋体" w:eastAsia="仿宋_GB2312" w:cs="宋体"/>
      <w:kern w:val="24"/>
      <w:sz w:val="28"/>
      <w:szCs w:val="28"/>
    </w:rPr>
  </w:style>
  <w:style w:type="paragraph" w:customStyle="1" w:styleId="106">
    <w:name w:val="批注框文本1"/>
    <w:basedOn w:val="1"/>
    <w:link w:val="112"/>
    <w:qFormat/>
    <w:uiPriority w:val="99"/>
    <w:rPr>
      <w:rFonts w:ascii="Times New Roman" w:hAnsi="Times New Roman"/>
      <w:kern w:val="0"/>
      <w:sz w:val="18"/>
      <w:szCs w:val="20"/>
    </w:rPr>
  </w:style>
  <w:style w:type="paragraph" w:customStyle="1" w:styleId="10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character" w:customStyle="1" w:styleId="108">
    <w:name w:val="样式 正文缩进 + 首行缩进:  2 字符 Char Char"/>
    <w:link w:val="100"/>
    <w:qFormat/>
    <w:locked/>
    <w:uiPriority w:val="99"/>
    <w:rPr>
      <w:rFonts w:eastAsia="宋体"/>
      <w:kern w:val="2"/>
      <w:sz w:val="24"/>
      <w:lang w:val="en-US" w:eastAsia="zh-CN"/>
    </w:rPr>
  </w:style>
  <w:style w:type="character" w:customStyle="1" w:styleId="109">
    <w:name w:val="纯文本 Char1"/>
    <w:qFormat/>
    <w:locked/>
    <w:uiPriority w:val="99"/>
    <w:rPr>
      <w:rFonts w:ascii="宋体" w:hAnsi="Courier New"/>
      <w:kern w:val="2"/>
      <w:sz w:val="21"/>
    </w:rPr>
  </w:style>
  <w:style w:type="character" w:customStyle="1" w:styleId="110">
    <w:name w:val="正文格式 Char"/>
    <w:link w:val="87"/>
    <w:qFormat/>
    <w:locked/>
    <w:uiPriority w:val="99"/>
    <w:rPr>
      <w:rFonts w:ascii="仿宋" w:hAnsi="仿宋" w:eastAsia="仿宋"/>
      <w:kern w:val="2"/>
      <w:sz w:val="32"/>
    </w:rPr>
  </w:style>
  <w:style w:type="character" w:customStyle="1" w:styleId="111">
    <w:name w:val="Footer-Even Char Char"/>
    <w:qFormat/>
    <w:uiPriority w:val="99"/>
    <w:rPr>
      <w:kern w:val="2"/>
      <w:sz w:val="18"/>
    </w:rPr>
  </w:style>
  <w:style w:type="character" w:customStyle="1" w:styleId="112">
    <w:name w:val="Balloon Text Char Char"/>
    <w:link w:val="106"/>
    <w:qFormat/>
    <w:locked/>
    <w:uiPriority w:val="99"/>
    <w:rPr>
      <w:rFonts w:eastAsia="宋体"/>
      <w:sz w:val="18"/>
    </w:rPr>
  </w:style>
  <w:style w:type="character" w:customStyle="1" w:styleId="113">
    <w:name w:val="正文缩进 字符"/>
    <w:link w:val="9"/>
    <w:qFormat/>
    <w:locked/>
    <w:uiPriority w:val="99"/>
    <w:rPr>
      <w:kern w:val="2"/>
      <w:sz w:val="24"/>
    </w:rPr>
  </w:style>
  <w:style w:type="character" w:customStyle="1" w:styleId="114">
    <w:name w:val="ca-21"/>
    <w:qFormat/>
    <w:uiPriority w:val="99"/>
    <w:rPr>
      <w:rFonts w:ascii="宋体-18030" w:hAnsi="宋体-18030" w:eastAsia="宋体-18030"/>
      <w:sz w:val="24"/>
    </w:rPr>
  </w:style>
  <w:style w:type="character" w:customStyle="1" w:styleId="115">
    <w:name w:val="Char Char Char"/>
    <w:link w:val="79"/>
    <w:qFormat/>
    <w:locked/>
    <w:uiPriority w:val="99"/>
    <w:rPr>
      <w:rFonts w:ascii="Verdana" w:hAnsi="Verdana" w:eastAsia="仿宋_GB2312"/>
      <w:sz w:val="24"/>
      <w:lang w:val="en-US" w:eastAsia="en-US"/>
    </w:rPr>
  </w:style>
  <w:style w:type="character" w:customStyle="1" w:styleId="116">
    <w:name w:val="ca-1"/>
    <w:qFormat/>
    <w:uiPriority w:val="99"/>
  </w:style>
  <w:style w:type="character" w:customStyle="1" w:styleId="117">
    <w:name w:val="style81"/>
    <w:qFormat/>
    <w:uiPriority w:val="99"/>
    <w:rPr>
      <w:sz w:val="21"/>
    </w:rPr>
  </w:style>
  <w:style w:type="character" w:customStyle="1" w:styleId="118">
    <w:name w:val="ca-11"/>
    <w:qFormat/>
    <w:uiPriority w:val="99"/>
    <w:rPr>
      <w:rFonts w:ascii="宋体" w:hAnsi="宋体" w:eastAsia="宋体"/>
      <w:sz w:val="24"/>
    </w:rPr>
  </w:style>
  <w:style w:type="character" w:customStyle="1" w:styleId="119">
    <w:name w:val="font01"/>
    <w:basedOn w:val="41"/>
    <w:qFormat/>
    <w:uiPriority w:val="0"/>
    <w:rPr>
      <w:rFonts w:ascii="Arial" w:hAnsi="Arial" w:cs="Arial"/>
      <w:color w:val="000000"/>
      <w:sz w:val="24"/>
      <w:szCs w:val="24"/>
      <w:u w:val="none"/>
    </w:rPr>
  </w:style>
  <w:style w:type="character" w:customStyle="1" w:styleId="120">
    <w:name w:val="font31"/>
    <w:basedOn w:val="41"/>
    <w:qFormat/>
    <w:uiPriority w:val="0"/>
    <w:rPr>
      <w:rFonts w:hint="eastAsia" w:ascii="宋体" w:hAnsi="宋体" w:eastAsia="宋体" w:cs="宋体"/>
      <w:color w:val="000000"/>
      <w:sz w:val="24"/>
      <w:szCs w:val="24"/>
      <w:u w:val="none"/>
    </w:rPr>
  </w:style>
  <w:style w:type="character" w:customStyle="1" w:styleId="121">
    <w:name w:val="font41"/>
    <w:basedOn w:val="41"/>
    <w:qFormat/>
    <w:uiPriority w:val="0"/>
    <w:rPr>
      <w:rFonts w:hint="eastAsia" w:ascii="宋体" w:hAnsi="宋体" w:eastAsia="宋体" w:cs="宋体"/>
      <w:color w:val="000000"/>
      <w:sz w:val="24"/>
      <w:szCs w:val="24"/>
      <w:u w:val="none"/>
    </w:rPr>
  </w:style>
  <w:style w:type="character" w:customStyle="1" w:styleId="122">
    <w:name w:val="NormalCharacter"/>
    <w:link w:val="123"/>
    <w:semiHidden/>
    <w:qFormat/>
    <w:uiPriority w:val="0"/>
    <w:rPr>
      <w:rFonts w:ascii="Tahoma" w:hAnsi="Tahoma" w:eastAsia="宋体"/>
      <w:kern w:val="2"/>
      <w:sz w:val="24"/>
      <w:szCs w:val="20"/>
      <w:lang w:val="en-US" w:eastAsia="zh-CN" w:bidi="ar-SA"/>
    </w:rPr>
  </w:style>
  <w:style w:type="paragraph" w:customStyle="1" w:styleId="123">
    <w:name w:val="UserStyle_3"/>
    <w:basedOn w:val="1"/>
    <w:link w:val="122"/>
    <w:qFormat/>
    <w:uiPriority w:val="0"/>
    <w:pPr>
      <w:jc w:val="both"/>
      <w:textAlignment w:val="baseline"/>
    </w:pPr>
    <w:rPr>
      <w:rFonts w:ascii="Tahoma" w:hAnsi="Tahoma" w:eastAsia="宋体"/>
      <w:kern w:val="2"/>
      <w:sz w:val="24"/>
      <w:szCs w:val="20"/>
      <w:lang w:val="en-US" w:eastAsia="zh-CN" w:bidi="ar-SA"/>
    </w:rPr>
  </w:style>
  <w:style w:type="paragraph" w:customStyle="1" w:styleId="124">
    <w:name w:val="Normal1"/>
    <w:qFormat/>
    <w:uiPriority w:val="0"/>
    <w:rPr>
      <w:rFonts w:ascii="Calibri" w:hAnsi="Calibri" w:eastAsia="Times New Roman" w:cs="Times New Roman"/>
      <w:sz w:val="24"/>
      <w:szCs w:val="24"/>
      <w:lang w:val="en-US" w:eastAsia="zh-CN" w:bidi="ar-SA"/>
    </w:rPr>
  </w:style>
  <w:style w:type="paragraph" w:customStyle="1" w:styleId="125">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47</Pages>
  <Words>20368</Words>
  <Characters>21603</Characters>
  <Lines>200</Lines>
  <Paragraphs>56</Paragraphs>
  <TotalTime>5</TotalTime>
  <ScaleCrop>false</ScaleCrop>
  <LinksUpToDate>false</LinksUpToDate>
  <CharactersWithSpaces>22968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2021-05-30T08:18:00Z</dcterms:created>
  <dc:creator>zz</dc:creator>
  <cp:lastModifiedBy>孤星寒月</cp:lastModifiedBy>
  <cp:lastPrinted>2021-05-31T03:21:00Z</cp:lastPrinted>
  <dcterms:modified xsi:type="dcterms:W3CDTF">2023-08-01T08:39:07Z</dcterms:modified>
  <dc:title>甘肃省中医院监护系统等医疗设备政府采购项目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A8D00CB7CE2144C193B879F9DBED0739</vt:lpwstr>
  </property>
</Properties>
</file>