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Style w:val="10"/>
          <w:rFonts w:hint="eastAsia" w:ascii="宋体" w:hAnsi="宋体" w:eastAsia="宋体"/>
          <w:color w:val="000000"/>
          <w:sz w:val="36"/>
          <w:szCs w:val="36"/>
        </w:rPr>
        <w:t>智慧冷链记录仪G9-TH（有线传感器）</w:t>
      </w:r>
      <w:r>
        <w:rPr>
          <w:rFonts w:hint="eastAsia" w:ascii="宋体" w:hAnsi="宋体" w:eastAsia="宋体"/>
          <w:sz w:val="36"/>
          <w:szCs w:val="36"/>
        </w:rPr>
        <w:t>招标参数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777"/>
        <w:gridCol w:w="709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Hlk50472744"/>
            <w:r>
              <w:rPr>
                <w:rFonts w:hint="eastAsia" w:ascii="宋体" w:hAnsi="宋体" w:eastAsia="宋体" w:cs="宋体"/>
                <w:sz w:val="24"/>
                <w:szCs w:val="24"/>
              </w:rPr>
              <w:t>资质文件表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资质文件名称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国家高新技术企业证书（加分项）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知识产权管理体系认证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电信增值业务经营许可证（加分项）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第二类医疗器械经营备案凭证（加分项）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成长之星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浙江省科技型中小企业证书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软件企业证书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杭州市高新技术企业证书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商标注册证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实验室C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NAS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认证证书（加分项）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ISO9001认证书（加分项）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SO14001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认证书（加分项）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SO45001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认证书（加分项）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信息安全管理体系认证书（加分项）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商品售后服务评价体系认证（加分项）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AAA信用——企业资信等级证书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AAA信用——企业信用等级证书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AAA信用——质量服务诚信单位证书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AAA信用——重合同守信用企业证书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AAA信用——诚信经营示范单位证书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AAA信用——重质量守信用单位证书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AAA信用——重服务守信用单位证书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发明专利——1项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外观设计专利证书——6项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实用新型专利证书——23项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z w:val="24"/>
                <w:szCs w:val="24"/>
              </w:rPr>
              <w:t>MC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有害物质检测报告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软件企业认定证书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软件著作权登记证书——15项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公共云平台系统信息安全等级测评报告（加分项）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软件测评报告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V1.0版省级软件测评报告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V1.2版省级软件测评报告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V2.0版省级软件测评报告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>
      <w:pPr>
        <w:rPr>
          <w:rStyle w:val="10"/>
          <w:rFonts w:ascii="宋体" w:hAnsi="宋体" w:eastAsia="宋体"/>
          <w:color w:val="000000"/>
          <w:sz w:val="36"/>
          <w:szCs w:val="36"/>
        </w:rPr>
      </w:pPr>
    </w:p>
    <w:p>
      <w:pPr>
        <w:rPr>
          <w:rStyle w:val="10"/>
          <w:rFonts w:ascii="宋体" w:hAnsi="宋体" w:eastAsia="宋体"/>
          <w:color w:val="000000"/>
          <w:sz w:val="36"/>
          <w:szCs w:val="36"/>
        </w:rPr>
      </w:pPr>
    </w:p>
    <w:p>
      <w:pPr>
        <w:rPr>
          <w:rStyle w:val="10"/>
          <w:rFonts w:hint="eastAsia" w:ascii="宋体" w:hAnsi="宋体" w:eastAsia="宋体"/>
          <w:color w:val="000000"/>
          <w:sz w:val="36"/>
          <w:szCs w:val="36"/>
        </w:rPr>
      </w:pPr>
    </w:p>
    <w:p>
      <w:pPr>
        <w:rPr>
          <w:rStyle w:val="10"/>
          <w:rFonts w:ascii="宋体" w:hAnsi="宋体" w:eastAsia="宋体"/>
          <w:color w:val="000000"/>
          <w:sz w:val="36"/>
          <w:szCs w:val="36"/>
        </w:rPr>
      </w:pPr>
      <w:r>
        <w:rPr>
          <w:rStyle w:val="10"/>
          <w:rFonts w:hint="eastAsia" w:ascii="宋体" w:hAnsi="宋体" w:eastAsia="宋体"/>
          <w:color w:val="000000"/>
          <w:sz w:val="36"/>
          <w:szCs w:val="36"/>
        </w:rPr>
        <w:t>G9-TH硬件参数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eastAsia" w:ascii="宋体" w:hAnsi="宋体" w:eastAsia="宋体"/>
          <w:b/>
          <w:bCs/>
          <w:color w:val="000000"/>
          <w:sz w:val="28"/>
          <w:szCs w:val="28"/>
        </w:rPr>
        <w:t>硬件</w:t>
      </w:r>
    </w:p>
    <w:p>
      <w:pPr>
        <w:numPr>
          <w:ilvl w:val="0"/>
          <w:numId w:val="1"/>
        </w:numPr>
        <w:snapToGrid w:val="0"/>
        <w:spacing w:line="520" w:lineRule="exact"/>
        <w:jc w:val="left"/>
        <w:rPr>
          <w:rStyle w:val="10"/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智慧冷链记录仪运用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物联网WSN技术，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4G全网通+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无线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WIFI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双通讯制式设计。温湿度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传感器采用高精度传感器，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</w:t>
      </w:r>
      <w:r>
        <w:rPr>
          <w:rStyle w:val="10"/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智慧冷链记录仪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终端包含内置环境温湿度监测，可外置接入一路超低温、两路普通温湿度传感器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20" w:lineRule="exact"/>
        <w:jc w:val="left"/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3、温度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测量范围：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-200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，湿度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测量范围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）%RH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4、温度测量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精度：±0.2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-0.5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，湿度测量精度：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±2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--5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%RH 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（需提供市级以上质量技术监督局校准报告）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采用不小于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英寸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TFT彩色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显示屏。可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同时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实时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湿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度数据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，温湿度超标，显示数字红色提醒；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屏幕显示内容：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通道信息、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传感器温湿度值、环境温湿度值、日期、时间、4G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和W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IFI无线通讯信号质量、锂电池电量、报警开关状态、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报警状态、服务器连接状态、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外部电源连接状态、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各通道上下限阈值、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硬件版本号、固件版本号、终端IMEI码。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6、终端自带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内置大容量Flash存储芯片，储存数据≥80000组；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本地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温湿度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数据实时传输至云平台，当通讯断开连接支持断点记录，待通讯恢复后自动断点补传数据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，确保数据的完整性，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也可通过软件直接读取终端数据，供监管部门督查，确保数据不断链。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（需现场演示功能）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8、终端采用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电容触摸按键，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防误触设计，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方便快捷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短按可支持界面跳转，长按5s可开/关机。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9、设备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参数可通过平台下发指令进行远程设置，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方便后期系统维护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配备LED指示灯，分别指示不同状态。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设备超限报警时，具有本地声光报警功能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供电电源：高容量可充电锂电池+充电电源接口；采用≥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4000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mAH可充电锂电池供电，寿命≥3年。断电仍可持续工作≥2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天，当外部电源断电时能够正常记录数据、并发送断电报警信息，及时通知用户采取措施处理，保障药品的安全，确保数据不断链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报警具备温度超标报警、湿度超标报警、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传感器异常报警、电池低电量报警、外部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电源断开报警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20" w:lineRule="exact"/>
        <w:jc w:val="left"/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报警方式：声光报警、短信报警、微信小程序推送、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电话语音报警；（为保证报警信息的合法性，投标产品制造商需具备全国范围增值电信业务经营许可证）</w:t>
      </w:r>
    </w:p>
    <w:p>
      <w:pPr>
        <w:numPr>
          <w:ilvl w:val="0"/>
          <w:numId w:val="2"/>
        </w:num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内置基站（LBS）定位系统，达到精确定位，实现位置查看。</w:t>
      </w:r>
    </w:p>
    <w:p>
      <w:pPr>
        <w:numPr>
          <w:ilvl w:val="0"/>
          <w:numId w:val="0"/>
        </w:num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外置传感器探头，用户可自行拆卸维护以便于传感器精度年度校准。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远程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OTA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升级，通过远程对设备内部程序进行远程、维护。远程监测设备运行，高级加密标准算法，防窃听，防篡改。</w:t>
      </w:r>
    </w:p>
    <w:p>
      <w:pPr>
        <w:snapToGrid w:val="0"/>
        <w:spacing w:line="520" w:lineRule="exact"/>
        <w:jc w:val="left"/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16、产品制造商需具备完善的管理体系，需有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ISO900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1质量管理体系认证证书，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5001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职业健康安全管理体系认证证书，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4001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环境管理体系认证证书、商品售后服务评价体系认证等。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ISO27001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信息安全管理体系认证证书。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17、产品制造商需具有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ISO17025 CNAS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认可国家实验室，保证产品的温湿度精度。</w:t>
      </w:r>
    </w:p>
    <w:p>
      <w:pPr>
        <w:snapToGrid w:val="0"/>
        <w:spacing w:line="520" w:lineRule="exact"/>
        <w:jc w:val="left"/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投标产品具有自主知识产权，公司通过知识产权管理体系认证。</w:t>
      </w:r>
    </w:p>
    <w:p>
      <w:pPr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平台管理功能(安装在服务器或云平台上)：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要求平台采用B/S架构，具备服务端的数据采集软件、基于 Web 的环境数据管理分析平台及其它移动端查看管理方式。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能实时在线监测所有温度监测点的数据，保存到系统数据库中，并在软件界面上实时显示出来。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要求设备开机后，可通过设备编号查询设备是否存在，能根据需要选择分类车、箱、库等等；可自定义设备名称，用户可以根据实际场景命名和却分设备；可配置各设备终端通道报警阈值、预警阈值，预警可根据需求决定是否启用，可配置设备终端通道,用户可以根据实际使用场景进行通道分配，自定义数据记录间隔，超标间隔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参数可通过平台下发指令进行远程设置，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可以与设备进行同步，不必去现场操作，方便快捷；非定位设备可自定义设备G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定位位置，方便再地图上进行全局观察。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．要求设备以区块图展示设备实时信息，至少1次/分钟刷新，保证设备数据、状态的实时性，实时展示设备状态、通道数量、温湿度值、时间以及设备电量，可以快捷跳转历史数据或者曲线数据；可按名称、设备编号、自定义顺序排序，可按设备通道状态、分类、名称、设备编号进行设备筛选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具有实时查询设备G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位功能，展示地图区域；实时显示设备名称、设备状态、数量以及设备通道状态和数量。不同状态、不同分类设备按照不同颜色不同图标区分；当设备处于同一区域时，自动合并显示，防止设备信息覆盖，可以通过回放查询设备轨迹，回放过程显示定位位置信息以及温湿度值，清楚查询设备经过运行轨迹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能查看数据记录，直观展示最近数据，支持全部设备查询，支持单独设备查询，可通过使用状态查询正常或者超标数据；可通过时间区间按照日、周、月进行快捷查询；可通道设备名称、设备编号筛选；提供数据的PDF和EXCEL文件下载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查看数据曲线，只管展示数据曲线记录，支持多台设备查询，支持单独设备查询，可选择展示设备上下标识线，；可通过时间区间按照日、周、月进行快捷查询；可通道设备名称、设备编号筛选；曲线展示要包含每个通道的上下限、最大值、最小值、极差、平均值、方差、标准差；可保存曲线为jpeg格式，可提供数据的PDF和EXCEL文件下载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8.支持断点记录，当通讯断开连接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待通讯恢复后自动断点补传数据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，确保数据完整，可提供数据的PDF和EXCEL文件下载。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对超标数据进行超标原因处理，支持对单个或者所有设备进行处理，可以按日、周、月快捷选择时间，填写超标原因。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具有一级管理多级使用的监测功能；监控对象：拆合管理设备通道，多用于医疗管理疾控等项目，设备按照省、市、县、乡/镇等分配通道，不同用户管理不同单元，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随时布署在不同区域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；不通区域可上自定义上传平面图，可按以监控对象为点位进行平面图布点。可自定义分配监控对象于用于绑定关系，用户可根据需要绑定指定层级多个监控对象。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按照监控对象查询数据记录，支持全部监控对象查询，支持单独监控对象查询，可通过使用状态查询正常或者超标数据；可通过时间区间按照日、周、月进行快捷查询；可通过监控对象名称镜像筛选；多层级监控对象数据可按子层级进行展示；提供数据的PDF和EXCEL文件下载。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可实时监测设备温湿度数据，操作简单，接收全面，可以设置单台设备或者所有设备报警；可以选择不同时间段报警。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要求平台设有不同类别的报警，例：短信、语音、邮件、微信、平台（网页端），保证了报警信息的完整性。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具有可同时给多个用户发送报警功能，非平台用户也可添加至联系人信息接收报警。</w:t>
      </w:r>
    </w:p>
    <w:p>
      <w:pPr>
        <w:snapToGrid w:val="0"/>
        <w:spacing w:line="520" w:lineRule="exact"/>
        <w:jc w:val="left"/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具有多层级报警功能，可设置多个的报警层级进行保证产品的安全性，多层级报警之间可自定义层级延迟时间、报警周期事件，保证设备温湿度异常时逐级上报通知，做到异常及时监管。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多种报警规则，包含：超标、关机、门磁开关、低电、预警、离线、上线、上电、开机、断电；可按实际场景设置预警，当数据到达预警值就会发送报警指令，及时通知用户采取措施处理；当遇到断电、超标等突发情况，第一时间发送报警，保证产品的最大化安全。</w:t>
      </w:r>
    </w:p>
    <w:p>
      <w:pPr>
        <w:snapToGrid w:val="0"/>
        <w:spacing w:line="520" w:lineRule="exact"/>
        <w:jc w:val="left"/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具有记录报警信息记录功能，确保报警信息的完整。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日志记录功能：用户日志、监控对象日志、设备日志，用户对公司、设备、监控对象、报警的一系列操作都会记录到日志，具有处理历史数据、诊断问题的追踪以及理解系统的活动等重要作用。</w:t>
      </w:r>
    </w:p>
    <w:p>
      <w:pPr>
        <w:snapToGrid w:val="0"/>
        <w:spacing w:line="520" w:lineRule="exact"/>
        <w:jc w:val="left"/>
        <w:rPr>
          <w:rStyle w:val="10"/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信息费（一年的流量费和600条短息费），一台冰箱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每年</w:t>
      </w:r>
      <w:bookmarkStart w:id="1" w:name="_GoBack"/>
      <w:bookmarkEnd w:id="1"/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240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15B68"/>
    <w:multiLevelType w:val="singleLevel"/>
    <w:tmpl w:val="D9A15B68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019B35EC"/>
    <w:multiLevelType w:val="singleLevel"/>
    <w:tmpl w:val="019B35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YTYyOTFiODBiZDVkZmNlYzQ5ODMyM2VjOGUyOTAifQ=="/>
    <w:docVar w:name="KSO_WPS_MARK_KEY" w:val="34245637-d574-44d7-9d91-77b09391c260"/>
  </w:docVars>
  <w:rsids>
    <w:rsidRoot w:val="004D343A"/>
    <w:rsid w:val="0004743D"/>
    <w:rsid w:val="00084ABB"/>
    <w:rsid w:val="000A0649"/>
    <w:rsid w:val="00211BA2"/>
    <w:rsid w:val="002C0A76"/>
    <w:rsid w:val="003F1CCA"/>
    <w:rsid w:val="0046116F"/>
    <w:rsid w:val="004D343A"/>
    <w:rsid w:val="00872940"/>
    <w:rsid w:val="00885B72"/>
    <w:rsid w:val="00890D37"/>
    <w:rsid w:val="009058AC"/>
    <w:rsid w:val="009E0E67"/>
    <w:rsid w:val="00A16B52"/>
    <w:rsid w:val="00AA37CA"/>
    <w:rsid w:val="00B3036C"/>
    <w:rsid w:val="00B96DDC"/>
    <w:rsid w:val="00C36527"/>
    <w:rsid w:val="00CB63C5"/>
    <w:rsid w:val="00D22B06"/>
    <w:rsid w:val="00D6150A"/>
    <w:rsid w:val="00D84D69"/>
    <w:rsid w:val="00DA4FF3"/>
    <w:rsid w:val="00F01DE9"/>
    <w:rsid w:val="00F86550"/>
    <w:rsid w:val="034C0C60"/>
    <w:rsid w:val="1A256277"/>
    <w:rsid w:val="26947DD7"/>
    <w:rsid w:val="368B5264"/>
    <w:rsid w:val="3D737E5C"/>
    <w:rsid w:val="3E386546"/>
    <w:rsid w:val="44E840C0"/>
    <w:rsid w:val="44EE12D4"/>
    <w:rsid w:val="468F7916"/>
    <w:rsid w:val="527016C5"/>
    <w:rsid w:val="553A1096"/>
    <w:rsid w:val="56DE475F"/>
    <w:rsid w:val="5AE722AF"/>
    <w:rsid w:val="60EA2BCE"/>
    <w:rsid w:val="61813D1E"/>
    <w:rsid w:val="6D6F08E3"/>
    <w:rsid w:val="72D052B8"/>
    <w:rsid w:val="7460515C"/>
    <w:rsid w:val="795D3D7C"/>
    <w:rsid w:val="7BDC717B"/>
    <w:rsid w:val="7D3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标题 2 字符"/>
    <w:basedOn w:val="7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paragraph" w:customStyle="1" w:styleId="12">
    <w:name w:val="正文缩进1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3215</Words>
  <Characters>3458</Characters>
  <Lines>26</Lines>
  <Paragraphs>7</Paragraphs>
  <TotalTime>5</TotalTime>
  <ScaleCrop>false</ScaleCrop>
  <LinksUpToDate>false</LinksUpToDate>
  <CharactersWithSpaces>3466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2020-09-08T07:41:00Z</dcterms:created>
  <dc:creator>23559</dc:creator>
  <cp:lastModifiedBy>徐阁含</cp:lastModifiedBy>
  <dcterms:modified xsi:type="dcterms:W3CDTF">2024-01-12T11:15:23Z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9C7C7AC4E9824387816B1580EAF3DE17_13</vt:lpwstr>
  </property>
</Properties>
</file>