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9B449">
      <w:pPr>
        <w:tabs>
          <w:tab w:val="left" w:pos="180"/>
          <w:tab w:val="left" w:pos="1620"/>
        </w:tabs>
        <w:spacing w:line="360" w:lineRule="auto"/>
        <w:ind w:firstLine="321" w:firstLineChars="100"/>
        <w:jc w:val="center"/>
        <w:rPr>
          <w:rFonts w:hint="eastAsia"/>
        </w:rPr>
      </w:pPr>
      <w:r>
        <w:rPr>
          <w:rFonts w:hint="eastAsia" w:ascii="Arial" w:hAnsi="Arial" w:cs="Arial"/>
          <w:b/>
          <w:color w:val="333333"/>
          <w:sz w:val="32"/>
          <w:szCs w:val="32"/>
          <w:lang w:val="en-US" w:eastAsia="zh-CN"/>
        </w:rPr>
        <w:t>病理科</w:t>
      </w:r>
      <w:bookmarkStart w:id="0" w:name="_GoBack"/>
      <w:bookmarkEnd w:id="0"/>
      <w:r>
        <w:rPr>
          <w:rFonts w:hint="eastAsia" w:ascii="Arial" w:hAnsi="Arial" w:cs="Arial"/>
          <w:b/>
          <w:color w:val="333333"/>
          <w:sz w:val="32"/>
          <w:szCs w:val="32"/>
        </w:rPr>
        <w:t>各设备校准参数要求</w:t>
      </w:r>
    </w:p>
    <w:p w14:paraId="2C846ED9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设备名称、型号规格：</w:t>
      </w:r>
    </w:p>
    <w:p w14:paraId="5D0E5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低速离心机（TDZ5-BP）；</w:t>
      </w:r>
    </w:p>
    <w:p w14:paraId="3D04E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高速冷冻离心机2台（TGL-MC）；</w:t>
      </w:r>
    </w:p>
    <w:p w14:paraId="22214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超净工作台（BCM-1300A）；</w:t>
      </w:r>
    </w:p>
    <w:p w14:paraId="2D735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生物安全柜（BSC1300-II-A2）；</w:t>
      </w:r>
    </w:p>
    <w:p w14:paraId="1EB4B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移液器2套（eppendorf：0.1-2.5μL、0.5-10μL、10-100μL、20-200μL、100-1000μL）；</w:t>
      </w:r>
    </w:p>
    <w:p w14:paraId="72F95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超微量分光光度计（UPT-100）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2BACC6E5">
      <w:pP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</w:rPr>
        <w:t>服务内容：</w:t>
      </w:r>
    </w:p>
    <w:p w14:paraId="0658D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00" w:leftChars="200" w:hanging="480" w:hanging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资质要求：确保校准服务商具备CNAS或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CMA认定的国家法定计量检测机构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，并且其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检测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范围涵盖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校准的设备类型。</w:t>
      </w:r>
    </w:p>
    <w:p w14:paraId="1E725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00" w:leftChars="200" w:hanging="480" w:hanging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追溯性：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验证及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校准所使用的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必须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有法定计量机构出具的校准证书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4DF32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00" w:leftChars="200" w:hanging="480" w:hanging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状态：校准时，设备应处于正常、清洁的工作状态。</w:t>
      </w:r>
    </w:p>
    <w:p w14:paraId="42371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00" w:leftChars="200" w:hanging="480" w:hanging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环境条件：校准应在设备要求或实验室控制的稳定环境（温度、湿度）下进行。</w:t>
      </w:r>
    </w:p>
    <w:p w14:paraId="31A3E25D">
      <w:pPr>
        <w:rPr>
          <w:rFonts w:hint="default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三、各设备</w:t>
      </w:r>
      <w:r>
        <w:rPr>
          <w:rFonts w:hint="eastAsia" w:asciiTheme="minorEastAsia" w:hAnsiTheme="minorEastAsia" w:cstheme="minorEastAsia"/>
          <w:b/>
          <w:bCs/>
          <w:color w:val="333333"/>
          <w:sz w:val="24"/>
          <w:szCs w:val="24"/>
          <w:lang w:val="en-US" w:eastAsia="zh-CN"/>
        </w:rPr>
        <w:t>验证项目应包括</w:t>
      </w:r>
    </w:p>
    <w:p w14:paraId="4309231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低速离心机</w:t>
      </w:r>
    </w:p>
    <w:p w14:paraId="46745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核心校准参数：</w:t>
      </w:r>
    </w:p>
    <w:p w14:paraId="6DC94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314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转速偏差：在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的实际转速与设定转速的偏差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允差：±2.5%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38D6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314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计时偏差：运行设定时间与实际时间的偏差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允差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±1%或±10秒。</w:t>
      </w:r>
    </w:p>
    <w:p w14:paraId="139A90B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高速冷冻离心机</w:t>
      </w:r>
    </w:p>
    <w:p w14:paraId="4644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1.核心校准参数：</w:t>
      </w:r>
    </w:p>
    <w:p w14:paraId="37F1C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314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1.1转速偏差：在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的实际转速与设定转速的偏差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。允差：通常为±0.5%-±1%。</w:t>
      </w:r>
    </w:p>
    <w:p w14:paraId="0ABD9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314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1.2计时偏差：运行设定时间与实际时间的偏差。允差：±0.5%或±5秒。</w:t>
      </w:r>
    </w:p>
    <w:p w14:paraId="250D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314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1.3温度偏差、波动度及均匀度：需测量腔体不同点的温度。要求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通常偏差±2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，波动度和均匀度±2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59C2DE5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超净工作台</w:t>
      </w:r>
    </w:p>
    <w:p w14:paraId="091A0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1.核心校准参数：</w:t>
      </w:r>
    </w:p>
    <w:p w14:paraId="448E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314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1.1外观：箱体表面、工作区侧壁及台面应无明显划伤、锈斑、压痕，表面光洁、外形平整规矩；表面涂层不应龟裂、翘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起泡、脱落、流挂和色泽不均。零部件表面应光洁，不应有锈蚀氧化、压痕，不应有锐边、明显毛刺。说明功能的文字和图形符号标志应该正确、清晰、端正、牢固，能耐酒精擦拭；焊接牢固，表面光滑。机箱焊接应牢固，焊接表面应光滑。</w:t>
      </w:r>
    </w:p>
    <w:p w14:paraId="75103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314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1.2功能：可移动的洁净工作台，开启与关闭应轻便，在行程范围内滑动应顺畅，并不应有明显的晃动现象。开关、按键的操作应灵活可靠，零部件应紧固无松动、指示正确。洁净工作台处于正常工作状态时，有明显的机振声。</w:t>
      </w:r>
    </w:p>
    <w:p w14:paraId="516F3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314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1.3平均风速：平均流速应在0.2m/s-1.5m/s之间。</w:t>
      </w:r>
    </w:p>
    <w:p w14:paraId="0960B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314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1.4风速不均匀度：≤20%。</w:t>
      </w:r>
    </w:p>
    <w:p w14:paraId="1E738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314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1.5扫描检漏：≤0.01%。</w:t>
      </w:r>
    </w:p>
    <w:p w14:paraId="5BC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314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1.6空气洁净度：5级。</w:t>
      </w:r>
    </w:p>
    <w:p w14:paraId="2FCCD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314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1.7气流模式：气流流线应垂直台面或出风面，不得有死角和回流。</w:t>
      </w:r>
    </w:p>
    <w:p w14:paraId="27FFE3B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生物安全柜</w:t>
      </w:r>
    </w:p>
    <w:p w14:paraId="419E3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核心校准参数：</w:t>
      </w:r>
    </w:p>
    <w:p w14:paraId="0A601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1.1外观：箱体表面、工作区侧壁及台面应无明显划伤、锈斑、压痕，表面光洁、外形平整规矩；表面涂层不应龟裂、翘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、起泡、脱落、流挂和色泽不均。零部件表面应光洁，不应有锈蚀氧化、压痕，不应有锐边、明显毛刺。说明功能的文字和图形符号标志应该正确、清晰、端正、牢固，能耐酒精擦拭；焊接牢固，表面光滑。机箱焊接应牢固，焊接表面应光滑。  </w:t>
      </w:r>
    </w:p>
    <w:p w14:paraId="3AAD2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1.2前窗操作口报警：安全柜前窗开启高度超过或低于前窗操作标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高度时声音报警器应报警。开启高度回到标称高度，报警声音应解除。</w:t>
      </w:r>
    </w:p>
    <w:p w14:paraId="3E411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1.3下降气流流速：下降气流平均流速应在0.37 m/s±0.025 m/s之间。各测点实测值与平均流速相差均应不超过士0.08 m/s。</w:t>
      </w:r>
    </w:p>
    <w:p w14:paraId="0B6BE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1.4流入气流流速：流入气流平均流速应在0.55 m/s±0.025 m/s之间。前窗操作口工作区每米宽度的流量应不低于0.1m/s。</w:t>
      </w:r>
    </w:p>
    <w:p w14:paraId="516DA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1.5高效过滤器完整性：送风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/排风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过滤器在任何点的漏过率应不超过0.01%。</w:t>
      </w:r>
    </w:p>
    <w:p w14:paraId="09807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1.6气流模式：安全柜工作区内气流应不从安全柜溢出。前窗操作口周边气流向内，无外溢气流，流入气流不进入工作区。 </w:t>
      </w:r>
    </w:p>
    <w:p w14:paraId="0F63C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1.7噪声：≤67.0dB。</w:t>
      </w:r>
    </w:p>
    <w:p w14:paraId="23919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1.8照度：平均照度≥650Ix，每个照度实测值≥430Ix。</w:t>
      </w:r>
    </w:p>
    <w:p w14:paraId="7A02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1.9紫外灯：≥400mW/㎡。</w:t>
      </w:r>
    </w:p>
    <w:p w14:paraId="3B94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1.10振动：净振动振幅≤5um。</w:t>
      </w:r>
    </w:p>
    <w:p w14:paraId="3A7D98D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五）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移液器</w:t>
      </w:r>
    </w:p>
    <w:p w14:paraId="072C1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1.核心校准参数：</w:t>
      </w:r>
    </w:p>
    <w:p w14:paraId="32B75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00" w:leftChars="200" w:hanging="480" w:hanging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1.1准确度（系统误差）：实际移取体积的平均值与设定体积的偏差。</w:t>
      </w:r>
    </w:p>
    <w:p w14:paraId="13E78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00" w:leftChars="200" w:hanging="480" w:hanging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1.2精密度（随机误差）：多次移取同一体积的变异系数。</w:t>
      </w:r>
    </w:p>
    <w:p w14:paraId="6435E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00" w:leftChars="200" w:hanging="480" w:hanging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1.3 校准点和环境：</w:t>
      </w:r>
    </w:p>
    <w:p w14:paraId="76CB4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428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1.3.1 校准点：至少包括最小、中间和最大量程三个点。</w:t>
      </w:r>
    </w:p>
    <w:p w14:paraId="00A1A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99" w:leftChars="428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1.3.2要求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准确度通常要求优于±2.0%，精密度优于±1.0%。</w:t>
      </w:r>
    </w:p>
    <w:p w14:paraId="7724E4F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六）超微量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分光光度计</w:t>
      </w:r>
    </w:p>
    <w:p w14:paraId="12917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1.核心校准参数：</w:t>
      </w:r>
    </w:p>
    <w:p w14:paraId="2EC6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 波长准确性：使用标准物质测量，实际波长与标准波长的偏差。要求：紫外可见区分光光度计通常要求±1nm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250A9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1.2 光度准确性：使用已知吸光度的标准滤光片或溶液在特定波长下测量，实际吸光度与标准值的偏差。要求：通常吸光度为0.5A时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偏差优于±0.005A；1.0A时，优于±0.010A。</w:t>
      </w:r>
    </w:p>
    <w:p w14:paraId="5A8BC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1.3光度重复性：多次测量同一标准物质的吸光度，计算其标准偏差。</w:t>
      </w:r>
    </w:p>
    <w:p w14:paraId="27D95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1.4杂散光：使用能完全截止特定波长以下/以上光线的溶液测量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要求：通常&lt;0.05%-0.1%。</w:t>
      </w:r>
    </w:p>
    <w:p w14:paraId="4E90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1.5基线平直度：扫描空白溶液，观察基线是否平稳。</w:t>
      </w:r>
    </w:p>
    <w:p w14:paraId="22D9B00E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验证方案和验证报告</w:t>
      </w:r>
    </w:p>
    <w:p w14:paraId="46D64C9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kern w:val="2"/>
          <w:sz w:val="24"/>
          <w:szCs w:val="24"/>
          <w:lang w:val="en-US" w:eastAsia="zh-CN" w:bidi="ar-SA"/>
        </w:rPr>
        <w:t>验证方应当在验证实施过程中建立并形成验证控制文件，包括验证方案、标准、报告、评价、偏差处理和预防措施等。</w:t>
      </w:r>
    </w:p>
    <w:p w14:paraId="474B694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kern w:val="2"/>
          <w:sz w:val="24"/>
          <w:szCs w:val="24"/>
          <w:lang w:val="en-US" w:eastAsia="zh-CN" w:bidi="ar-SA"/>
        </w:rPr>
        <w:t>验证完成后应当出具验证报告，包括验证实施人员、验证过程中采集数据汇总，结果分析及结果总体评价，报告应由质量负责人审核批准。</w:t>
      </w:r>
    </w:p>
    <w:p w14:paraId="5CB61784">
      <w:pPr>
        <w:pStyle w:val="2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kern w:val="2"/>
          <w:sz w:val="24"/>
          <w:szCs w:val="24"/>
          <w:lang w:val="en-US" w:eastAsia="zh-CN" w:bidi="ar-SA"/>
        </w:rPr>
      </w:pPr>
    </w:p>
    <w:p w14:paraId="6F0241E1">
      <w:pPr>
        <w:pStyle w:val="2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kern w:val="2"/>
          <w:sz w:val="24"/>
          <w:szCs w:val="24"/>
          <w:lang w:val="en-US" w:eastAsia="zh-CN" w:bidi="ar-SA"/>
        </w:rPr>
      </w:pPr>
    </w:p>
    <w:p w14:paraId="5C879163">
      <w:pPr>
        <w:pStyle w:val="2"/>
        <w:numPr>
          <w:ilvl w:val="0"/>
          <w:numId w:val="0"/>
        </w:numPr>
        <w:ind w:leftChars="200"/>
        <w:rPr>
          <w:rFonts w:hint="default" w:asciiTheme="minorEastAsia" w:hAnsiTheme="minorEastAsia" w:eastAsiaTheme="minorEastAsia" w:cstheme="minorEastAsia"/>
          <w:i w:val="0"/>
          <w:kern w:val="2"/>
          <w:sz w:val="24"/>
          <w:szCs w:val="24"/>
          <w:lang w:val="en-US" w:eastAsia="zh-CN" w:bidi="ar-SA"/>
        </w:rPr>
      </w:pPr>
    </w:p>
    <w:p w14:paraId="5DF5D497">
      <w:pPr>
        <w:pStyle w:val="2"/>
        <w:rPr>
          <w:rFonts w:hint="default"/>
          <w:lang w:val="en-US" w:eastAsia="zh-CN"/>
        </w:rPr>
      </w:pPr>
    </w:p>
    <w:p w14:paraId="1D9268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30253"/>
    <w:multiLevelType w:val="singleLevel"/>
    <w:tmpl w:val="29D302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C411A4"/>
    <w:multiLevelType w:val="singleLevel"/>
    <w:tmpl w:val="56C411A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23C72"/>
    <w:rsid w:val="25CA56F8"/>
    <w:rsid w:val="3F0849D4"/>
    <w:rsid w:val="44951F8B"/>
    <w:rsid w:val="57843388"/>
    <w:rsid w:val="66FC2415"/>
    <w:rsid w:val="6A8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adjustRightInd w:val="0"/>
      <w:snapToGrid w:val="0"/>
      <w:spacing w:before="120" w:after="120"/>
      <w:ind w:left="459" w:firstLine="567"/>
    </w:pPr>
    <w:rPr>
      <w:rFonts w:ascii="华文楷体" w:hAnsi="华文楷体" w:eastAsia="Times New Roman"/>
      <w:i/>
      <w:sz w:val="22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1749</Words>
  <Characters>2037</Characters>
  <Lines>0</Lines>
  <Paragraphs>0</Paragraphs>
  <TotalTime>107</TotalTime>
  <ScaleCrop>false</ScaleCrop>
  <LinksUpToDate>false</LinksUpToDate>
  <CharactersWithSpaces>2061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2025-10-30T09:01:00Z</dcterms:created>
  <dc:creator>CUSTOMER</dc:creator>
  <cp:lastModifiedBy>白</cp:lastModifiedBy>
  <dcterms:modified xsi:type="dcterms:W3CDTF">2025-12-12T03:06:05Z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eyJoZGlkIjoiYzU4NTUyY2UwZDU4MDJiMmE1MjA4ODQ0ODRiN2M2MWUiLCJ1c2VySWQiOiIzMTk0MTU0OTEifQ==</vt:lpwstr>
  </property>
  <property fmtid="{D5CDD505-2E9C-101B-9397-08002B2CF9AE}" pid="4" name="ICV">
    <vt:lpwstr>C821507045084884B2F77D2602FFD875_13</vt:lpwstr>
  </property>
</Properties>
</file>