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4D6D8">
      <w:pPr>
        <w:pStyle w:val="3"/>
        <w:numPr>
          <w:numId w:val="0"/>
        </w:numPr>
        <w:spacing w:line="360" w:lineRule="auto"/>
        <w:ind w:firstLine="3534" w:firstLineChars="1100"/>
        <w:jc w:val="both"/>
        <w:rPr>
          <w:rFonts w:ascii="宋体" w:hAnsi="宋体" w:cs="宋体"/>
          <w:color w:val="auto"/>
          <w:sz w:val="32"/>
          <w:szCs w:val="32"/>
        </w:rPr>
      </w:pPr>
      <w:bookmarkStart w:id="0" w:name="_Toc139965326"/>
      <w:bookmarkStart w:id="1" w:name="_Toc128372052"/>
      <w:bookmarkStart w:id="2" w:name="_Toc18296"/>
      <w:bookmarkStart w:id="3" w:name="_Toc327439435"/>
      <w:bookmarkStart w:id="4" w:name="_Toc128372730"/>
      <w:bookmarkStart w:id="14" w:name="_GoBack"/>
      <w:bookmarkEnd w:id="14"/>
      <w:r>
        <w:rPr>
          <w:rFonts w:hint="eastAsia" w:ascii="宋体" w:hAnsi="宋体" w:cs="宋体"/>
          <w:color w:val="auto"/>
          <w:sz w:val="32"/>
          <w:szCs w:val="32"/>
        </w:rPr>
        <w:t xml:space="preserve"> 采购需求及技术要求</w:t>
      </w:r>
    </w:p>
    <w:p w14:paraId="2EC66046">
      <w:pPr>
        <w:pStyle w:val="33"/>
        <w:bidi w:val="0"/>
        <w:spacing w:line="360" w:lineRule="auto"/>
        <w:ind w:firstLine="600" w:firstLineChars="200"/>
        <w:rPr>
          <w:rFonts w:hint="eastAsia" w:ascii="宋体" w:hAnsi="宋体" w:eastAsia="宋体" w:cs="宋体"/>
          <w:spacing w:val="7"/>
          <w:kern w:val="2"/>
          <w:sz w:val="24"/>
          <w:szCs w:val="24"/>
          <w:lang w:val="en-US" w:eastAsia="zh-CN" w:bidi="ar-SA"/>
        </w:rPr>
      </w:pPr>
      <w:r>
        <w:rPr>
          <w:rFonts w:hint="eastAsia" w:ascii="仿宋" w:hAnsi="仿宋" w:eastAsia="仿宋"/>
          <w:b w:val="0"/>
          <w:bCs w:val="0"/>
          <w:sz w:val="30"/>
          <w:szCs w:val="30"/>
          <w:lang w:val="en-US" w:eastAsia="zh-CN"/>
        </w:rPr>
        <w:t>1、</w:t>
      </w:r>
      <w:r>
        <w:rPr>
          <w:rFonts w:hint="eastAsia" w:ascii="宋体" w:hAnsi="宋体" w:eastAsia="宋体" w:cs="宋体"/>
          <w:spacing w:val="7"/>
          <w:kern w:val="2"/>
          <w:sz w:val="24"/>
          <w:szCs w:val="24"/>
          <w:lang w:val="en-US" w:eastAsia="zh-CN" w:bidi="ar-SA"/>
        </w:rPr>
        <w:t>维修保养遵循的目的</w:t>
      </w:r>
    </w:p>
    <w:p w14:paraId="20CFD7BE">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甘肃省第二人民医院锅炉房内燃气锅炉对燃气蒸汽锅炉本体及燃烧器和浴室故障隐患进行预前检查和排除。发现和消除设备存在的缺陷，更换或修理损坏部件，保证锅炉及浴室安全附件的灵敏可靠，使设备及附件恢复和保持原有的技术性能，就会给锅炉及浴室的安全经济运行带来隐患，对锅炉及浴室所有设备及辅机进行定期维护保养，锅炉及浴室维护可分为月度维护保养（例行保养）、应急维修。通过专业的维护保养，延长锅炉及浴室设备使用寿命，面对紧急抢修，确保锅炉及浴室安全经济运行，保证生产的安全性和可靠性。</w:t>
      </w:r>
    </w:p>
    <w:p w14:paraId="696652FC">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pacing w:val="7"/>
          <w:kern w:val="2"/>
          <w:sz w:val="24"/>
          <w:szCs w:val="24"/>
          <w:lang w:val="en-US" w:eastAsia="zh-CN" w:bidi="ar-SA"/>
        </w:rPr>
      </w:pPr>
      <w:bookmarkStart w:id="5" w:name="_Toc25262"/>
      <w:bookmarkEnd w:id="5"/>
      <w:r>
        <w:rPr>
          <w:rFonts w:hint="eastAsia" w:ascii="宋体" w:hAnsi="宋体" w:eastAsia="宋体" w:cs="宋体"/>
          <w:spacing w:val="7"/>
          <w:kern w:val="2"/>
          <w:sz w:val="24"/>
          <w:szCs w:val="24"/>
          <w:lang w:val="en-US" w:eastAsia="zh-CN" w:bidi="ar-SA"/>
        </w:rPr>
        <w:t>2、保养范围：</w:t>
      </w:r>
    </w:p>
    <w:p w14:paraId="07236212">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8T热水锅炉本体，配套的安全联锁控制柜、燃烧机，锅炉配套的所有相关阀门、仪表、水箱及附属零配件。</w:t>
      </w:r>
    </w:p>
    <w:p w14:paraId="4425968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4T蒸汽锅炉本体，配套的安全联锁控制柜、燃烧机，锅炉配套的所有相关阀门、仪表、水箱及附属零配件。</w:t>
      </w:r>
    </w:p>
    <w:p w14:paraId="0A608CC8">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蒸汽炉软水树脂交换机配套的所有相关设备、管道及附属零配件。</w:t>
      </w:r>
    </w:p>
    <w:p w14:paraId="29133011">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浴室设备间配套的所有相关安全联锁控制柜、阀门、仪表、管道、水箱及淋浴间所有的附属零配件。</w:t>
      </w:r>
    </w:p>
    <w:p w14:paraId="43C4E656">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3.1.日常维修</w:t>
      </w:r>
    </w:p>
    <w:p w14:paraId="2334439F">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锅炉、浴室补水泵，锅炉房及浴室内的软化水设备，水箱，锅炉、浴室的循环泵，变频器，锅炉、浴室安全联锁控制柜、锅炉燃烧机头。包括锅炉作业间的所有地漏盖、值班室含二楼生活区洗澡系统及所有的暖气管道除锈、除污、防腐及卫生间上下水的泄漏或损坏的配件阀门维修更换和保养。技术工程师24小时服务，保证接到报修通知后即以2小时内（接到通知+路程时间）赴现场予以高效解决与处理，将故障损失控制在最低限度。</w:t>
      </w:r>
    </w:p>
    <w:p w14:paraId="01428734">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电控柜：电气控制及线路检查调试。</w:t>
      </w:r>
    </w:p>
    <w:p w14:paraId="5571E067">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（1）燃烧系统：</w:t>
      </w:r>
    </w:p>
    <w:p w14:paraId="5E779824">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①锅炉燃烧机的调试，每季度不少于一次对烟气成分进行测试分析，并根据分析所得数据对燃烧器进行调整,以达到最佳的锅炉运行状态,帮助我院节约能源。</w:t>
      </w:r>
    </w:p>
    <w:p w14:paraId="63067A4E">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②清理火焰检测器受光面并测试其保护情况。</w:t>
      </w:r>
    </w:p>
    <w:p w14:paraId="3A9C69D6">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③清理燃料过滤器，调整点火电极位置等工作。</w:t>
      </w:r>
    </w:p>
    <w:p w14:paraId="099465F6">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④清洁电动机、风机上的污物、灰尘；检查风机电机电气绝缘、润滑、震动等工作。</w:t>
      </w:r>
    </w:p>
    <w:p w14:paraId="07D3EBD9">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（2）水位控制装置：测试极低极高连锁报警功能，高低水位自动补水功能。检查水位计及水位计考克（密封旋塞）的密封。</w:t>
      </w:r>
    </w:p>
    <w:p w14:paraId="043489F9">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（3）压力控制装置：测试压力控制器极高报警连锁功能，高低压力自动启停功能。</w:t>
      </w:r>
    </w:p>
    <w:p w14:paraId="2CD528DF">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（4）锅炉房及浴室所有相关附属设备：检查包括软化水箱、热交换器、补水装置、软化水装置、加药装置等附属设备的运行状态，进行参数调整整定，故障处理，保障功能正常、性能可靠。</w:t>
      </w:r>
    </w:p>
    <w:p w14:paraId="62C71D63">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（5）锅炉及浴室阀门仪表附件：检查测试电动阀、流量计、安全阀、减压阀、压力和温度传感器、压力表、温度计在内阀门仪表运行状态，进行参数调整整定，故障处理，保障功能正常、性能可靠。</w:t>
      </w:r>
    </w:p>
    <w:p w14:paraId="1E23644F">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（6）可燃气体探测装置：对可燃气体探测装置的联动控制进行测试和检修，包括报警、燃气电动阀切断、风机联动启动。</w:t>
      </w:r>
    </w:p>
    <w:p w14:paraId="68250DB8">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3.2、定期保养要求</w:t>
      </w:r>
    </w:p>
    <w:p w14:paraId="48B9ECD4">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（1）维保单位专业工程师每年供暖前、停暖后开展定期保养。</w:t>
      </w:r>
    </w:p>
    <w:p w14:paraId="42C54451">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（2）维保单位提前一个月内向医院递交锅炉设备保养计划，并经医院审核同意确认。</w:t>
      </w:r>
    </w:p>
    <w:p w14:paraId="08954CE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（3）维保单位在对医院的锅炉及浴室设备进行定期保养前，须提前一周书面通知，并经医院确认同意后方可进行。</w:t>
      </w:r>
    </w:p>
    <w:p w14:paraId="5644452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（4）维保单位在完成定期保养工作之后，应及时填写《锅炉定期及浴室保养记录表》，并由医院动力组管理人员或负责人签字确认。</w:t>
      </w:r>
    </w:p>
    <w:p w14:paraId="738BDBCD">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3.3、锅炉本体及浴室维护保养：</w:t>
      </w:r>
    </w:p>
    <w:p w14:paraId="5430AA4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锅炉炉体、浴室设备及附属配件螺栓的检查及紧固；检查炉体油漆有无变色；锅炉前炉门保温材料腐蚀和损坏程度的检查及修复。损坏炉门密封压条的修复；锅炉三个回程的除锈、除杂物、清灰、清碳及防腐蚀处理；锅炉导流条除锈、除杂物及防腐处理；后烟箱的清灰及防腐处理；锅炉冷凝水管、烟道冷凝水管的疏通；锅炉锅筒内的清洗。包括锅筒内壁，火管外壁的清洗；控制器内部的吹灰；检查线路是否有松动；控制线路的整理；锅炉控制器内外部污渍的清理。浴室设备间、淋浴室的所有相关附属配件除锈、除污、防腐的维护更换、保养处理及淋浴室的换气扇维修、更换保养及每年更换淋浴室隔挡间的所有浴帘进行一次新的更换。</w:t>
      </w:r>
    </w:p>
    <w:p w14:paraId="564E36FF">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燃烧器和燃气阀组：</w:t>
      </w:r>
    </w:p>
    <w:p w14:paraId="15B51146">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燃烧器与炉门挂板连接螺栓的紧固；燃烧头螺丝的紧固；燃烧头稳焰盘的清理；点火电极、电离子棒的检查、清理，并更换烧灼严重的电极和探针；燃烧器风机叶轮的检查、清理；燃烧器风道的检查、清理；有问题燃烧器电机轴承的更换；燃烧器接线柜（箱、盒）内部的吹灰及电源线的整理；检查机械传动部分是否有变形和损坏；燃烧器控制器面板的擦洗；燃气过滤器的检查清理；燃气过滤器过滤棉的清洗及更换；燃烧器阀组、各保护装置线路的检查和整理。</w:t>
      </w:r>
    </w:p>
    <w:p w14:paraId="48011489">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锅炉、浴室设备间阀门仪表及电气检测</w:t>
      </w:r>
    </w:p>
    <w:p w14:paraId="3ABA342D">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对供热系统的温度计、压力表、安全阀进行检测。 对锅炉、浴室设备的温度传感器、压力控制器、水位电极的检测整定。 对锅炉、浴室配电系统所有相关的电器元件、控制线路的检查，清理配电柜集灰。</w:t>
      </w:r>
    </w:p>
    <w:p w14:paraId="1B33749F">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锅炉、浴室设备调试</w:t>
      </w:r>
    </w:p>
    <w:p w14:paraId="14BB1ECA">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锅炉试运行前及浴室定期（每月）的循环水泵及阀门的检查；锅炉试运行前及浴室定期（每月）定压机组的检查；锅炉及浴室控制柜送电后，温度限定保护检查、检测；水位安全保护检查、检测；压力安全保护检查、检测；锅炉的点火试运行；故障检查处理；锅炉运行依据燃烧情况整定空燃比；锅炉及浴室运行注意事项告知操作人员。</w:t>
      </w:r>
    </w:p>
    <w:p w14:paraId="7BE0E6EA">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pacing w:val="7"/>
          <w:kern w:val="2"/>
          <w:sz w:val="24"/>
          <w:szCs w:val="24"/>
          <w:lang w:val="en-US" w:eastAsia="zh-CN" w:bidi="ar-SA"/>
        </w:rPr>
      </w:pPr>
      <w:bookmarkStart w:id="6" w:name="_Toc1726"/>
      <w:bookmarkEnd w:id="6"/>
      <w:r>
        <w:rPr>
          <w:rFonts w:hint="eastAsia" w:ascii="宋体" w:hAnsi="宋体" w:eastAsia="宋体" w:cs="宋体"/>
          <w:spacing w:val="7"/>
          <w:kern w:val="2"/>
          <w:sz w:val="24"/>
          <w:szCs w:val="24"/>
          <w:lang w:val="en-US" w:eastAsia="zh-CN" w:bidi="ar-SA"/>
        </w:rPr>
        <w:t>4、甘肃省第二人民医院锅炉房锅炉及浴室设备的完好标准</w:t>
      </w:r>
    </w:p>
    <w:p w14:paraId="2BCFF74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bookmarkStart w:id="7" w:name="_Toc3000"/>
      <w:bookmarkEnd w:id="7"/>
      <w:r>
        <w:rPr>
          <w:rFonts w:hint="eastAsia" w:ascii="宋体" w:hAnsi="宋体" w:eastAsia="宋体" w:cs="宋体"/>
          <w:spacing w:val="7"/>
          <w:kern w:val="2"/>
          <w:sz w:val="24"/>
          <w:szCs w:val="24"/>
          <w:lang w:val="en-US" w:eastAsia="zh-CN" w:bidi="ar-SA"/>
        </w:rPr>
        <w:t>4.1、零、部件</w:t>
      </w:r>
    </w:p>
    <w:p w14:paraId="3BA23F7A">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（1）燃气锅炉及浴室设备间、淋浴室的零、部件及附件完整齐全，安全附件如安全阀、压力表完好、齐全并按规定定期校验。淋浴室相关的淋浴器、出水感应器、换气扇定期维护，损坏的立即更换。</w:t>
      </w:r>
    </w:p>
    <w:p w14:paraId="048089AC">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（2）对可燃气体探测装置的感应探头、仪表、计量器具和各种安全装置齐全，完整，灵敏，准确、可靠，并按规定定期进行校验。包括进行测试和检修可燃气体的报警、燃气电动阀切断、风机联动启动。</w:t>
      </w:r>
    </w:p>
    <w:p w14:paraId="5451548E">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（3）基础无倾斜、下沉、裂纹等现象。</w:t>
      </w:r>
    </w:p>
    <w:p w14:paraId="1534766C">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（4）各部连接螺栓、地脚螺栓紧固齐整，无锈蚀，符合技术要求。</w:t>
      </w:r>
    </w:p>
    <w:p w14:paraId="262E8C23">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（5）管道、管件、阀门、管架等安装合理，牢固完整，标志分明，符合要求。</w:t>
      </w:r>
    </w:p>
    <w:p w14:paraId="295C475A">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（6）燃气锅炉汽水管路焊接质量均符合技术要求。</w:t>
      </w:r>
    </w:p>
    <w:p w14:paraId="34296792">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（7）防腐、保温设施完整有效，符合技术要求。</w:t>
      </w:r>
    </w:p>
    <w:p w14:paraId="7981788C">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bookmarkStart w:id="8" w:name="_Toc24182"/>
      <w:bookmarkEnd w:id="8"/>
      <w:r>
        <w:rPr>
          <w:rFonts w:hint="eastAsia" w:ascii="宋体" w:hAnsi="宋体" w:eastAsia="宋体" w:cs="宋体"/>
          <w:spacing w:val="7"/>
          <w:kern w:val="2"/>
          <w:sz w:val="24"/>
          <w:szCs w:val="24"/>
          <w:lang w:val="en-US" w:eastAsia="zh-CN" w:bidi="ar-SA"/>
        </w:rPr>
        <w:t xml:space="preserve">4.2、运行性能 </w:t>
      </w:r>
    </w:p>
    <w:p w14:paraId="12518A55">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（1）燃气锅炉及浴室各部温度、压力、流量等参数符合技术要求。</w:t>
      </w:r>
    </w:p>
    <w:p w14:paraId="49FCCF0B">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（2）燃气锅炉及浴室各部位阀门开关正常。</w:t>
      </w:r>
    </w:p>
    <w:p w14:paraId="4E52EC73">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（3）工作能力达到铭牌出力或查定能力。</w:t>
      </w:r>
    </w:p>
    <w:p w14:paraId="7FEDD987">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bookmarkStart w:id="9" w:name="_Toc24996"/>
      <w:bookmarkEnd w:id="9"/>
      <w:r>
        <w:rPr>
          <w:rFonts w:hint="eastAsia" w:ascii="宋体" w:hAnsi="宋体" w:eastAsia="宋体" w:cs="宋体"/>
          <w:spacing w:val="7"/>
          <w:kern w:val="2"/>
          <w:sz w:val="24"/>
          <w:szCs w:val="24"/>
          <w:lang w:val="en-US" w:eastAsia="zh-CN" w:bidi="ar-SA"/>
        </w:rPr>
        <w:t>4.3、技术资料</w:t>
      </w:r>
    </w:p>
    <w:p w14:paraId="1714F3A3">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燃气锅炉及浴室相关的设备档案齐全，各项记录填写及时、准确；设备档案完备。</w:t>
      </w:r>
    </w:p>
    <w:p w14:paraId="5AD0BCEE">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bookmarkStart w:id="10" w:name="_Toc17555"/>
      <w:bookmarkEnd w:id="10"/>
      <w:r>
        <w:rPr>
          <w:rFonts w:hint="eastAsia" w:ascii="宋体" w:hAnsi="宋体" w:eastAsia="宋体" w:cs="宋体"/>
          <w:spacing w:val="7"/>
          <w:kern w:val="2"/>
          <w:sz w:val="24"/>
          <w:szCs w:val="24"/>
          <w:lang w:val="en-US" w:eastAsia="zh-CN" w:bidi="ar-SA"/>
        </w:rPr>
        <w:t>4.4、设备及环境</w:t>
      </w:r>
    </w:p>
    <w:p w14:paraId="08160DAE">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（1）设备及环境整齐清洁，无污垢、垃圾。</w:t>
      </w:r>
    </w:p>
    <w:p w14:paraId="48D7F19C">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（2）设备的胀口、焊口、管口、法兰、阀门、填料函等密封面完好。</w:t>
      </w:r>
    </w:p>
    <w:p w14:paraId="269E16C1">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4.5、服务责任：</w:t>
      </w:r>
    </w:p>
    <w:p w14:paraId="6BFAA1DF">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（1）日常常规检查及维护保养</w:t>
      </w:r>
    </w:p>
    <w:p w14:paraId="6F6529F7">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具体内容如下：</w:t>
      </w:r>
    </w:p>
    <w:p w14:paraId="0AEA371C">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①锅炉及浴室的日常清洁；</w:t>
      </w:r>
    </w:p>
    <w:p w14:paraId="4104DEEC">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②设备运行状况及通风状况的检查记录；</w:t>
      </w:r>
    </w:p>
    <w:p w14:paraId="4CC05844">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 xml:space="preserve">③燃烧机的日常维护保养、燃烧器的表面清洁、气阀组件过滤器网和风门的清洁； </w:t>
      </w:r>
    </w:p>
    <w:p w14:paraId="45D6CAA4">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④炉体的日常维护保养，锅炉循环水的PH值的测试：按照特殊设备相关标准规定，锅炉循环水的PH 值为10-12左右，采用钠离子软化法的单位必须还要辅以锅炉内投药处理，使循环水的 水质符合国标）；</w:t>
      </w:r>
    </w:p>
    <w:p w14:paraId="6621F858">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⑤水位显示器的清洁、炉体的排污；</w:t>
      </w:r>
    </w:p>
    <w:p w14:paraId="17A55E9D">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⑥操作人员须经常对水质进行检测记录，对水处理设备进行检查，补充盐量；</w:t>
      </w:r>
    </w:p>
    <w:p w14:paraId="71642053">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⑦机房内管路气密性检查及燃气压力变动情况记录；</w:t>
      </w:r>
    </w:p>
    <w:p w14:paraId="0EF69465">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⑧做好锅炉及浴室的日常运行记录，出现不正常现象，应作好详细记录，司炉操作人员不能排除故障时，应及时通知维保公司；</w:t>
      </w:r>
    </w:p>
    <w:p w14:paraId="307BE67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⑨医院操作人员必须按照有关规定、规范要求进行操作。</w:t>
      </w:r>
    </w:p>
    <w:p w14:paraId="664EFFD0">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 xml:space="preserve">（2）每季度定期维护，具体内容如下； </w:t>
      </w:r>
    </w:p>
    <w:p w14:paraId="30674391">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①燃烧器内部的清洁校正；</w:t>
      </w:r>
    </w:p>
    <w:p w14:paraId="3261338C">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②点火电极的清洁及调整；</w:t>
      </w:r>
    </w:p>
    <w:p w14:paraId="48414E9B">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③火焰探测器的清洁；</w:t>
      </w:r>
    </w:p>
    <w:p w14:paraId="06CA100C">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④高压线的清洁；</w:t>
      </w:r>
    </w:p>
    <w:p w14:paraId="300EDB39">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⑤强弱电电控柜的检查；</w:t>
      </w:r>
    </w:p>
    <w:p w14:paraId="1E952398">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⑥燃烧器技术参数的校核及调整并使其工作于最佳状态；</w:t>
      </w:r>
    </w:p>
    <w:p w14:paraId="79BC8454">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⑦燃烧器零配件损坏更换工作及其锅炉水处理的维修保养；</w:t>
      </w:r>
    </w:p>
    <w:p w14:paraId="234E8274">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锅炉停机后锅炉进行一次加药湿法保养；</w:t>
      </w:r>
    </w:p>
    <w:p w14:paraId="38EB718C">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安全联锁装置的校准测试。</w:t>
      </w:r>
    </w:p>
    <w:p w14:paraId="78FA07D5">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（3）每季度定期巡检，具体内容如下；</w:t>
      </w:r>
    </w:p>
    <w:p w14:paraId="6281ED3E">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①根据用户实际使用情况对燃烧机进行调整，使燃烧状态达到最佳；</w:t>
      </w:r>
    </w:p>
    <w:p w14:paraId="090A7B22">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②对燃烧机电磁阀进行调整及清理；</w:t>
      </w:r>
    </w:p>
    <w:p w14:paraId="507D0435">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③对锅炉补水泵的自动、手动进行检查调整；</w:t>
      </w:r>
    </w:p>
    <w:p w14:paraId="20A1D523">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④对锅炉水处理进行检查调整；</w:t>
      </w:r>
    </w:p>
    <w:p w14:paraId="4C855BC9">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pacing w:val="7"/>
          <w:kern w:val="2"/>
          <w:sz w:val="24"/>
          <w:szCs w:val="24"/>
          <w:lang w:val="en-US" w:eastAsia="zh-CN" w:bidi="ar-SA"/>
        </w:rPr>
      </w:pPr>
      <w:bookmarkStart w:id="11" w:name="_Toc31311"/>
      <w:bookmarkEnd w:id="11"/>
      <w:r>
        <w:rPr>
          <w:rFonts w:hint="eastAsia" w:ascii="宋体" w:hAnsi="宋体" w:eastAsia="宋体" w:cs="宋体"/>
          <w:spacing w:val="7"/>
          <w:kern w:val="2"/>
          <w:sz w:val="24"/>
          <w:szCs w:val="24"/>
          <w:lang w:val="en-US" w:eastAsia="zh-CN" w:bidi="ar-SA"/>
        </w:rPr>
        <w:t>5、甘肃省第二人民医院锅炉房内锅炉及浴室售后服务</w:t>
      </w:r>
    </w:p>
    <w:p w14:paraId="49729253">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维保公司售后服务人员定期对燃烧器进行规范的维护保养，具体时间根据用户开机情况制定；</w:t>
      </w:r>
    </w:p>
    <w:p w14:paraId="48643220">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6、省第二人民医院锅炉锅炉房维保费用开支说明</w:t>
      </w:r>
    </w:p>
    <w:p w14:paraId="2A46EFAA">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6.1、锅炉本体的内检外检费用及安全阀压力表、天然气泄漏安全感应头检测费用由维保公司承担，锅炉检验，安全阀压力表的运检由承包方配合完成。</w:t>
      </w:r>
    </w:p>
    <w:p w14:paraId="1A452D2E">
      <w:pPr>
        <w:keepNext w:val="0"/>
        <w:keepLines w:val="0"/>
        <w:pageBreakBefore w:val="0"/>
        <w:widowControl w:val="0"/>
        <w:numPr>
          <w:ilvl w:val="0"/>
          <w:numId w:val="0"/>
        </w:numPr>
        <w:kinsoku/>
        <w:wordWrap/>
        <w:overflowPunct/>
        <w:topLinePunct w:val="0"/>
        <w:autoSpaceDE/>
        <w:autoSpaceDN/>
        <w:bidi w:val="0"/>
        <w:snapToGrid/>
        <w:spacing w:line="360" w:lineRule="auto"/>
        <w:ind w:leftChars="0" w:firstLine="508" w:firstLineChars="200"/>
        <w:rPr>
          <w:rFonts w:hint="default"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6.2、在维保期间如购买单个配件费用超过五百元（含五百元）由医院承担，维保公司免费安装，单个配件费用在五百元以下由维保单位承担并免费安装.</w:t>
      </w:r>
    </w:p>
    <w:p w14:paraId="1233D81F">
      <w:pPr>
        <w:pStyle w:val="4"/>
        <w:spacing w:before="0" w:after="100" w:afterAutospacing="1" w:line="360" w:lineRule="auto"/>
        <w:rPr>
          <w:rFonts w:hint="default" w:ascii="宋体" w:hAnsi="宋体" w:cs="宋体"/>
          <w:color w:val="auto"/>
          <w:spacing w:val="10"/>
          <w:lang w:val="en-US"/>
        </w:rPr>
      </w:pPr>
      <w:r>
        <w:rPr>
          <w:rFonts w:hint="eastAsia" w:ascii="宋体" w:hAnsi="宋体" w:cs="宋体"/>
          <w:color w:val="auto"/>
          <w:spacing w:val="10"/>
        </w:rPr>
        <w:t>7.</w:t>
      </w:r>
      <w:r>
        <w:rPr>
          <w:rFonts w:hint="eastAsia" w:ascii="宋体" w:hAnsi="宋体" w:cs="宋体"/>
          <w:color w:val="auto"/>
          <w:spacing w:val="10"/>
          <w:lang w:val="en-US" w:eastAsia="zh-CN"/>
        </w:rPr>
        <w:t>项目内容</w:t>
      </w:r>
    </w:p>
    <w:p w14:paraId="6EA1891B">
      <w:pPr>
        <w:spacing w:line="360" w:lineRule="auto"/>
        <w:rPr>
          <w:rFonts w:hint="eastAsia" w:ascii="宋体" w:hAnsi="宋体" w:cs="宋体"/>
          <w:i w:val="0"/>
          <w:iCs w:val="0"/>
          <w:sz w:val="24"/>
          <w:szCs w:val="24"/>
          <w:u w:val="none"/>
          <w:lang w:val="en-US" w:eastAsia="zh-CN"/>
        </w:rPr>
      </w:pPr>
      <w:r>
        <w:rPr>
          <w:rFonts w:hint="eastAsia" w:ascii="宋体" w:hAnsi="宋体" w:cs="宋体"/>
          <w:color w:val="auto"/>
          <w:spacing w:val="10"/>
          <w:sz w:val="24"/>
        </w:rPr>
        <w:t>项目名称：</w:t>
      </w:r>
      <w:r>
        <w:rPr>
          <w:rFonts w:hint="eastAsia" w:ascii="宋体" w:hAnsi="宋体" w:cs="宋体"/>
          <w:i w:val="0"/>
          <w:iCs w:val="0"/>
          <w:sz w:val="24"/>
          <w:szCs w:val="24"/>
          <w:u w:val="none"/>
          <w:lang w:val="en-US" w:eastAsia="zh-CN"/>
        </w:rPr>
        <w:t>甘肃省第二人民医院</w:t>
      </w:r>
      <w:r>
        <w:rPr>
          <w:rFonts w:hint="eastAsia" w:ascii="宋体" w:hAnsi="宋体" w:cs="宋体"/>
          <w:i w:val="0"/>
          <w:iCs w:val="0"/>
          <w:sz w:val="24"/>
          <w:szCs w:val="24"/>
          <w:u w:val="single"/>
          <w:lang w:val="en-US" w:eastAsia="zh-CN"/>
        </w:rPr>
        <w:t>锅炉维护保养服务</w:t>
      </w:r>
      <w:r>
        <w:rPr>
          <w:rFonts w:hint="eastAsia" w:ascii="宋体" w:hAnsi="宋体" w:cs="宋体"/>
          <w:i w:val="0"/>
          <w:iCs w:val="0"/>
          <w:sz w:val="24"/>
          <w:szCs w:val="24"/>
          <w:u w:val="none"/>
          <w:lang w:val="en-US" w:eastAsia="zh-CN"/>
        </w:rPr>
        <w:t>采购项目</w:t>
      </w:r>
    </w:p>
    <w:tbl>
      <w:tblPr>
        <w:tblStyle w:val="17"/>
        <w:tblW w:w="9437" w:type="dxa"/>
        <w:jc w:val="center"/>
        <w:tblLayout w:type="autofit"/>
        <w:tblCellMar>
          <w:top w:w="0" w:type="dxa"/>
          <w:left w:w="108" w:type="dxa"/>
          <w:bottom w:w="0" w:type="dxa"/>
          <w:right w:w="108" w:type="dxa"/>
        </w:tblCellMar>
      </w:tblPr>
      <w:tblGrid>
        <w:gridCol w:w="667"/>
        <w:gridCol w:w="2207"/>
        <w:gridCol w:w="1527"/>
        <w:gridCol w:w="1073"/>
        <w:gridCol w:w="1052"/>
        <w:gridCol w:w="2911"/>
      </w:tblGrid>
      <w:tr w14:paraId="3290EC57">
        <w:tblPrEx>
          <w:tblCellMar>
            <w:top w:w="0" w:type="dxa"/>
            <w:left w:w="108" w:type="dxa"/>
            <w:bottom w:w="0" w:type="dxa"/>
            <w:right w:w="108" w:type="dxa"/>
          </w:tblCellMar>
        </w:tblPrEx>
        <w:trPr>
          <w:trHeight w:val="737" w:hRule="atLeast"/>
          <w:jc w:val="center"/>
        </w:trPr>
        <w:tc>
          <w:tcPr>
            <w:tcW w:w="0" w:type="auto"/>
            <w:tcBorders>
              <w:top w:val="single" w:color="auto" w:sz="4" w:space="0"/>
              <w:left w:val="single" w:color="000000" w:sz="8" w:space="0"/>
              <w:bottom w:val="single" w:color="000000" w:sz="4" w:space="0"/>
              <w:right w:val="single" w:color="000000" w:sz="4" w:space="0"/>
            </w:tcBorders>
            <w:noWrap w:val="0"/>
            <w:vAlign w:val="center"/>
          </w:tcPr>
          <w:p w14:paraId="1C6E5142">
            <w:pPr>
              <w:bidi w:val="0"/>
              <w:spacing w:line="360" w:lineRule="auto"/>
              <w:rPr>
                <w:rFonts w:hint="eastAsia"/>
              </w:rPr>
            </w:pPr>
            <w:bookmarkStart w:id="12" w:name="_Toc10142"/>
            <w:bookmarkStart w:id="13" w:name="_Toc8476"/>
            <w:r>
              <w:rPr>
                <w:rFonts w:hint="eastAsia"/>
                <w:lang w:val="en-US" w:eastAsia="zh-CN"/>
              </w:rPr>
              <w:t>序号</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019928C5">
            <w:pPr>
              <w:bidi w:val="0"/>
              <w:spacing w:line="360" w:lineRule="auto"/>
              <w:jc w:val="center"/>
              <w:rPr>
                <w:rFonts w:hint="default"/>
                <w:lang w:val="en-US"/>
              </w:rPr>
            </w:pPr>
            <w:r>
              <w:rPr>
                <w:rFonts w:hint="eastAsia"/>
                <w:lang w:val="en-US" w:eastAsia="zh-CN"/>
              </w:rPr>
              <w:t>项目名称</w:t>
            </w:r>
          </w:p>
        </w:tc>
        <w:tc>
          <w:tcPr>
            <w:tcW w:w="1457" w:type="dxa"/>
            <w:tcBorders>
              <w:top w:val="single" w:color="auto" w:sz="4" w:space="0"/>
              <w:left w:val="single" w:color="000000" w:sz="4" w:space="0"/>
              <w:bottom w:val="single" w:color="000000" w:sz="4" w:space="0"/>
              <w:right w:val="single" w:color="000000" w:sz="4" w:space="0"/>
            </w:tcBorders>
            <w:noWrap w:val="0"/>
            <w:vAlign w:val="center"/>
          </w:tcPr>
          <w:p w14:paraId="381F3F58">
            <w:pPr>
              <w:bidi w:val="0"/>
              <w:spacing w:line="360" w:lineRule="auto"/>
              <w:rPr>
                <w:rFonts w:hint="eastAsia"/>
              </w:rPr>
            </w:pPr>
            <w:r>
              <w:rPr>
                <w:rFonts w:hint="eastAsia"/>
                <w:lang w:val="en-US" w:eastAsia="zh-CN"/>
              </w:rPr>
              <w:t>型号规格</w:t>
            </w:r>
          </w:p>
        </w:tc>
        <w:tc>
          <w:tcPr>
            <w:tcW w:w="1024" w:type="dxa"/>
            <w:tcBorders>
              <w:top w:val="single" w:color="auto" w:sz="4" w:space="0"/>
              <w:left w:val="single" w:color="000000" w:sz="4" w:space="0"/>
              <w:bottom w:val="single" w:color="000000" w:sz="4" w:space="0"/>
              <w:right w:val="single" w:color="000000" w:sz="4" w:space="0"/>
            </w:tcBorders>
            <w:noWrap w:val="0"/>
            <w:vAlign w:val="center"/>
          </w:tcPr>
          <w:p w14:paraId="437BDE34">
            <w:pPr>
              <w:bidi w:val="0"/>
              <w:spacing w:line="360" w:lineRule="auto"/>
              <w:rPr>
                <w:rFonts w:hint="eastAsia"/>
              </w:rPr>
            </w:pPr>
            <w:r>
              <w:rPr>
                <w:rFonts w:hint="eastAsia"/>
                <w:lang w:val="en-US" w:eastAsia="zh-CN"/>
              </w:rPr>
              <w:t>数量</w:t>
            </w:r>
          </w:p>
        </w:tc>
        <w:tc>
          <w:tcPr>
            <w:tcW w:w="1004" w:type="dxa"/>
            <w:tcBorders>
              <w:top w:val="single" w:color="auto" w:sz="4" w:space="0"/>
              <w:left w:val="single" w:color="000000" w:sz="4" w:space="0"/>
              <w:bottom w:val="single" w:color="000000" w:sz="4" w:space="0"/>
              <w:right w:val="single" w:color="000000" w:sz="4" w:space="0"/>
            </w:tcBorders>
            <w:noWrap w:val="0"/>
            <w:vAlign w:val="center"/>
          </w:tcPr>
          <w:p w14:paraId="335BDBE0">
            <w:pPr>
              <w:bidi w:val="0"/>
              <w:spacing w:line="360" w:lineRule="auto"/>
              <w:rPr>
                <w:rFonts w:hint="eastAsia"/>
              </w:rPr>
            </w:pPr>
            <w:r>
              <w:rPr>
                <w:rFonts w:hint="eastAsia"/>
                <w:lang w:val="en-US" w:eastAsia="zh-CN"/>
              </w:rPr>
              <w:t>单位</w:t>
            </w:r>
          </w:p>
        </w:tc>
        <w:tc>
          <w:tcPr>
            <w:tcW w:w="2777" w:type="dxa"/>
            <w:tcBorders>
              <w:top w:val="single" w:color="auto" w:sz="4" w:space="0"/>
              <w:left w:val="single" w:color="000000" w:sz="4" w:space="0"/>
              <w:bottom w:val="single" w:color="000000" w:sz="4" w:space="0"/>
              <w:right w:val="single" w:color="000000" w:sz="4" w:space="0"/>
            </w:tcBorders>
            <w:noWrap w:val="0"/>
            <w:vAlign w:val="center"/>
          </w:tcPr>
          <w:p w14:paraId="14E85CFC">
            <w:pPr>
              <w:bidi w:val="0"/>
              <w:spacing w:line="360" w:lineRule="auto"/>
              <w:rPr>
                <w:rFonts w:hint="eastAsia"/>
                <w:lang w:val="en-US" w:eastAsia="zh-CN"/>
              </w:rPr>
            </w:pPr>
            <w:r>
              <w:rPr>
                <w:rFonts w:hint="eastAsia"/>
                <w:lang w:val="en-US" w:eastAsia="zh-CN"/>
              </w:rPr>
              <w:t>备注</w:t>
            </w:r>
          </w:p>
        </w:tc>
      </w:tr>
      <w:tr w14:paraId="571FEE26">
        <w:trPr>
          <w:trHeight w:val="737" w:hRule="atLeast"/>
          <w:jc w:val="center"/>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67115E24">
            <w:pPr>
              <w:bidi w:val="0"/>
              <w:spacing w:line="360" w:lineRule="auto"/>
              <w:rPr>
                <w:rFonts w:hint="eastAsia"/>
              </w:rPr>
            </w:pPr>
            <w:r>
              <w:rPr>
                <w:rFonts w:hint="eastAsia"/>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EB67D1">
            <w:pPr>
              <w:bidi w:val="0"/>
              <w:spacing w:line="360" w:lineRule="auto"/>
              <w:rPr>
                <w:rFonts w:hint="eastAsia"/>
              </w:rPr>
            </w:pPr>
            <w:r>
              <w:rPr>
                <w:rFonts w:hint="eastAsia"/>
                <w:lang w:val="en-US" w:eastAsia="zh-CN"/>
              </w:rPr>
              <w:t>锅炉本体保养</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0D42F9ED">
            <w:pPr>
              <w:bidi w:val="0"/>
              <w:spacing w:line="360" w:lineRule="auto"/>
              <w:rPr>
                <w:rFonts w:hint="default" w:eastAsia="宋体"/>
                <w:lang w:val="en-US" w:eastAsia="zh-CN"/>
              </w:rPr>
            </w:pPr>
            <w:r>
              <w:rPr>
                <w:rFonts w:hint="eastAsia"/>
                <w:lang w:val="en-US" w:eastAsia="zh-CN"/>
              </w:rPr>
              <w:t>4T、8T</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747A193E">
            <w:pPr>
              <w:bidi w:val="0"/>
              <w:spacing w:line="360" w:lineRule="auto"/>
              <w:rPr>
                <w:rFonts w:hint="default"/>
                <w:lang w:val="en-US"/>
              </w:rPr>
            </w:pPr>
            <w:r>
              <w:rPr>
                <w:rFonts w:hint="eastAsia"/>
                <w:lang w:val="en-US" w:eastAsia="zh-CN"/>
              </w:rPr>
              <w:t>2</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3DF811F">
            <w:pPr>
              <w:bidi w:val="0"/>
              <w:spacing w:line="360" w:lineRule="auto"/>
              <w:rPr>
                <w:rFonts w:hint="eastAsia"/>
              </w:rPr>
            </w:pPr>
            <w:r>
              <w:rPr>
                <w:rFonts w:hint="eastAsia"/>
                <w:lang w:val="en-US" w:eastAsia="zh-CN"/>
              </w:rPr>
              <w:t>台</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7C47DD1C">
            <w:pPr>
              <w:bidi w:val="0"/>
              <w:spacing w:line="360" w:lineRule="auto"/>
              <w:rPr>
                <w:rFonts w:hint="eastAsia"/>
                <w:lang w:val="en-US" w:eastAsia="zh-CN"/>
              </w:rPr>
            </w:pPr>
          </w:p>
        </w:tc>
      </w:tr>
      <w:tr w14:paraId="294EEACB">
        <w:tblPrEx>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605799C8">
            <w:pPr>
              <w:bidi w:val="0"/>
              <w:spacing w:line="360" w:lineRule="auto"/>
              <w:rPr>
                <w:rFonts w:hint="eastAsia"/>
              </w:rPr>
            </w:pPr>
            <w:r>
              <w:rPr>
                <w:rFonts w:hint="eastAsia"/>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D55FEC">
            <w:pPr>
              <w:bidi w:val="0"/>
              <w:spacing w:line="360" w:lineRule="auto"/>
              <w:rPr>
                <w:rFonts w:hint="eastAsia"/>
              </w:rPr>
            </w:pPr>
            <w:r>
              <w:rPr>
                <w:rFonts w:hint="eastAsia"/>
                <w:lang w:val="en-US" w:eastAsia="zh-CN"/>
              </w:rPr>
              <w:t>燃烧器检修保养</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253F1F7">
            <w:pPr>
              <w:bidi w:val="0"/>
              <w:spacing w:line="360" w:lineRule="auto"/>
              <w:rPr>
                <w:rFonts w:hint="eastAsia"/>
              </w:rPr>
            </w:pPr>
            <w:r>
              <w:rPr>
                <w:rFonts w:hint="eastAsia"/>
                <w:lang w:val="en-US" w:eastAsia="zh-CN"/>
              </w:rPr>
              <w:t>4T、8T</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B896E3B">
            <w:pPr>
              <w:bidi w:val="0"/>
              <w:spacing w:line="360" w:lineRule="auto"/>
              <w:rPr>
                <w:rFonts w:hint="eastAsia"/>
              </w:rPr>
            </w:pPr>
            <w:r>
              <w:rPr>
                <w:rFonts w:hint="eastAsia"/>
                <w:lang w:val="en-US" w:eastAsia="zh-CN"/>
              </w:rPr>
              <w:t>2</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213C5AA">
            <w:pPr>
              <w:bidi w:val="0"/>
              <w:spacing w:line="360" w:lineRule="auto"/>
              <w:rPr>
                <w:rFonts w:hint="eastAsia"/>
              </w:rPr>
            </w:pPr>
            <w:r>
              <w:rPr>
                <w:rFonts w:hint="eastAsia"/>
                <w:lang w:val="en-US" w:eastAsia="zh-CN"/>
              </w:rPr>
              <w:t>台</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42E319DC">
            <w:pPr>
              <w:bidi w:val="0"/>
              <w:spacing w:line="360" w:lineRule="auto"/>
              <w:rPr>
                <w:rFonts w:hint="eastAsia"/>
                <w:lang w:val="en-US" w:eastAsia="zh-CN"/>
              </w:rPr>
            </w:pPr>
          </w:p>
        </w:tc>
      </w:tr>
      <w:tr w14:paraId="273D10D8">
        <w:tblPrEx>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08079744">
            <w:pPr>
              <w:bidi w:val="0"/>
              <w:spacing w:line="360" w:lineRule="auto"/>
              <w:rPr>
                <w:rFonts w:hint="eastAsia"/>
              </w:rPr>
            </w:pPr>
            <w:r>
              <w:rPr>
                <w:rFonts w:hint="eastAsia"/>
                <w:lang w:val="en-US" w:eastAsia="zh-CN"/>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E1DD9">
            <w:pPr>
              <w:bidi w:val="0"/>
              <w:spacing w:line="360" w:lineRule="auto"/>
              <w:rPr>
                <w:rFonts w:hint="eastAsia"/>
                <w:lang w:val="en-US" w:eastAsia="zh-CN"/>
              </w:rPr>
            </w:pPr>
            <w:r>
              <w:rPr>
                <w:rFonts w:hint="eastAsia"/>
                <w:lang w:val="en-US" w:eastAsia="zh-CN"/>
              </w:rPr>
              <w:t>水处理</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32E11367">
            <w:pPr>
              <w:bidi w:val="0"/>
              <w:spacing w:line="360" w:lineRule="auto"/>
              <w:rPr>
                <w:rFonts w:hint="eastAsia"/>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5F564633">
            <w:pPr>
              <w:bidi w:val="0"/>
              <w:spacing w:line="360" w:lineRule="auto"/>
              <w:rPr>
                <w:rFonts w:hint="eastAsia"/>
              </w:rPr>
            </w:pPr>
            <w:r>
              <w:rPr>
                <w:rFonts w:hint="eastAsia"/>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EA4CBD1">
            <w:pPr>
              <w:bidi w:val="0"/>
              <w:spacing w:line="360" w:lineRule="auto"/>
              <w:rPr>
                <w:rFonts w:hint="eastAsia"/>
              </w:rPr>
            </w:pPr>
            <w:r>
              <w:rPr>
                <w:rFonts w:hint="eastAsia"/>
                <w:lang w:val="en-US" w:eastAsia="zh-CN"/>
              </w:rPr>
              <w:t>套</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FEF1C8C">
            <w:pPr>
              <w:bidi w:val="0"/>
              <w:spacing w:line="360" w:lineRule="auto"/>
              <w:rPr>
                <w:rFonts w:hint="eastAsia"/>
                <w:lang w:val="en-US" w:eastAsia="zh-CN"/>
              </w:rPr>
            </w:pPr>
          </w:p>
        </w:tc>
      </w:tr>
      <w:tr w14:paraId="51158643">
        <w:tblPrEx>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5A343BA7">
            <w:pPr>
              <w:bidi w:val="0"/>
              <w:spacing w:line="360" w:lineRule="auto"/>
              <w:rPr>
                <w:rFonts w:hint="eastAsia"/>
              </w:rPr>
            </w:pPr>
            <w:r>
              <w:rPr>
                <w:rFonts w:hint="eastAsia"/>
                <w:lang w:val="en-US" w:eastAsia="zh-CN"/>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7399F0">
            <w:pPr>
              <w:bidi w:val="0"/>
              <w:spacing w:line="360" w:lineRule="auto"/>
              <w:rPr>
                <w:rFonts w:hint="eastAsia"/>
              </w:rPr>
            </w:pPr>
            <w:r>
              <w:rPr>
                <w:rFonts w:hint="eastAsia"/>
              </w:rPr>
              <w:t>浴室设备间配套</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947DE50">
            <w:pPr>
              <w:bidi w:val="0"/>
              <w:spacing w:line="360" w:lineRule="auto"/>
              <w:rPr>
                <w:rFonts w:hint="eastAsia"/>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DC72571">
            <w:pPr>
              <w:bidi w:val="0"/>
              <w:spacing w:line="360" w:lineRule="auto"/>
              <w:rPr>
                <w:rFonts w:hint="eastAsia"/>
              </w:rPr>
            </w:pPr>
            <w:r>
              <w:rPr>
                <w:rFonts w:hint="eastAsia"/>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B3FDA06">
            <w:pPr>
              <w:bidi w:val="0"/>
              <w:spacing w:line="360" w:lineRule="auto"/>
              <w:rPr>
                <w:rFonts w:hint="eastAsia"/>
              </w:rPr>
            </w:pPr>
            <w:r>
              <w:rPr>
                <w:rFonts w:hint="eastAsia"/>
                <w:lang w:val="en-US" w:eastAsia="zh-CN"/>
              </w:rPr>
              <w:t>项</w:t>
            </w:r>
          </w:p>
        </w:tc>
        <w:tc>
          <w:tcPr>
            <w:tcW w:w="2777" w:type="dxa"/>
            <w:tcBorders>
              <w:top w:val="single" w:color="000000" w:sz="4" w:space="0"/>
              <w:left w:val="single" w:color="000000" w:sz="4" w:space="0"/>
              <w:bottom w:val="single" w:color="auto" w:sz="4" w:space="0"/>
              <w:right w:val="single" w:color="000000" w:sz="4" w:space="0"/>
            </w:tcBorders>
            <w:noWrap w:val="0"/>
            <w:vAlign w:val="center"/>
          </w:tcPr>
          <w:p w14:paraId="6D35C631">
            <w:pPr>
              <w:bidi w:val="0"/>
              <w:spacing w:line="360" w:lineRule="auto"/>
              <w:rPr>
                <w:rFonts w:hint="default"/>
                <w:lang w:val="en-US" w:eastAsia="zh-CN"/>
              </w:rPr>
            </w:pPr>
          </w:p>
        </w:tc>
      </w:tr>
      <w:tr w14:paraId="7135975F">
        <w:tblPrEx>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6DDC5B2F">
            <w:pPr>
              <w:bidi w:val="0"/>
              <w:spacing w:line="360" w:lineRule="auto"/>
              <w:rPr>
                <w:rFonts w:hint="eastAsia"/>
              </w:rPr>
            </w:pPr>
            <w:r>
              <w:rPr>
                <w:rFonts w:hint="eastAsia"/>
                <w:lang w:val="en-US" w:eastAsia="zh-CN"/>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532BD1">
            <w:pPr>
              <w:bidi w:val="0"/>
              <w:spacing w:line="360" w:lineRule="auto"/>
              <w:rPr>
                <w:rFonts w:hint="eastAsia"/>
              </w:rPr>
            </w:pPr>
            <w:r>
              <w:rPr>
                <w:rFonts w:hint="eastAsia"/>
                <w:lang w:val="en-US" w:eastAsia="zh-CN"/>
              </w:rPr>
              <w:t>阀门及配件保养维护</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1DC9FE7">
            <w:pPr>
              <w:bidi w:val="0"/>
              <w:spacing w:line="360" w:lineRule="auto"/>
              <w:rPr>
                <w:rFonts w:hint="eastAsia"/>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17D4F7A6">
            <w:pPr>
              <w:bidi w:val="0"/>
              <w:spacing w:line="360" w:lineRule="auto"/>
              <w:rPr>
                <w:rFonts w:hint="eastAsia"/>
              </w:rPr>
            </w:pPr>
            <w:r>
              <w:rPr>
                <w:rFonts w:hint="eastAsia"/>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FF56A9D">
            <w:pPr>
              <w:bidi w:val="0"/>
              <w:spacing w:line="360" w:lineRule="auto"/>
              <w:rPr>
                <w:rFonts w:hint="eastAsia"/>
              </w:rPr>
            </w:pPr>
            <w:r>
              <w:rPr>
                <w:rFonts w:hint="eastAsia"/>
                <w:lang w:val="en-US" w:eastAsia="zh-CN"/>
              </w:rPr>
              <w:t>批</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00931867">
            <w:pPr>
              <w:bidi w:val="0"/>
              <w:spacing w:line="360" w:lineRule="auto"/>
              <w:rPr>
                <w:rFonts w:hint="eastAsia"/>
                <w:lang w:val="en-US" w:eastAsia="zh-CN"/>
              </w:rPr>
            </w:pPr>
          </w:p>
        </w:tc>
      </w:tr>
      <w:tr w14:paraId="32E7FEA7">
        <w:tblPrEx>
          <w:tblCellMar>
            <w:top w:w="0" w:type="dxa"/>
            <w:left w:w="108" w:type="dxa"/>
            <w:bottom w:w="0" w:type="dxa"/>
            <w:right w:w="108" w:type="dxa"/>
          </w:tblCellMar>
        </w:tblPrEx>
        <w:trPr>
          <w:trHeight w:val="737" w:hRule="atLeast"/>
          <w:jc w:val="center"/>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228D049E">
            <w:pPr>
              <w:bidi w:val="0"/>
              <w:spacing w:line="360" w:lineRule="auto"/>
              <w:rPr>
                <w:rFonts w:hint="eastAsia"/>
                <w:lang w:val="en-US" w:eastAsia="zh-CN"/>
              </w:rPr>
            </w:pPr>
            <w:r>
              <w:rPr>
                <w:rFonts w:hint="eastAsia"/>
                <w:lang w:val="en-US" w:eastAsia="zh-CN"/>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DACDAF">
            <w:pPr>
              <w:bidi w:val="0"/>
              <w:spacing w:line="360" w:lineRule="auto"/>
              <w:rPr>
                <w:rFonts w:hint="eastAsia"/>
                <w:lang w:val="en-US" w:eastAsia="zh-CN"/>
              </w:rPr>
            </w:pPr>
            <w:r>
              <w:rPr>
                <w:rFonts w:hint="eastAsia"/>
                <w:lang w:val="en-US" w:eastAsia="zh-CN"/>
              </w:rPr>
              <w:t>压力表检验</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685F7C9">
            <w:pPr>
              <w:bidi w:val="0"/>
              <w:spacing w:line="360" w:lineRule="auto"/>
              <w:rPr>
                <w:rFonts w:hint="default" w:eastAsia="宋体"/>
                <w:lang w:val="en-US" w:eastAsia="zh-CN"/>
              </w:rPr>
            </w:pPr>
            <w:r>
              <w:rPr>
                <w:rFonts w:hint="eastAsia"/>
                <w:lang w:val="en-US" w:eastAsia="zh-CN"/>
              </w:rPr>
              <w:t>4T、8T</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300C5CB6">
            <w:pPr>
              <w:bidi w:val="0"/>
              <w:spacing w:line="360" w:lineRule="auto"/>
              <w:rPr>
                <w:rFonts w:hint="default"/>
                <w:lang w:val="en-US" w:eastAsia="zh-CN"/>
              </w:rPr>
            </w:pPr>
            <w:r>
              <w:rPr>
                <w:rFonts w:hint="eastAsia"/>
                <w:lang w:val="en-US" w:eastAsia="zh-CN"/>
              </w:rPr>
              <w:t>1</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C5FF535">
            <w:pPr>
              <w:bidi w:val="0"/>
              <w:spacing w:line="360" w:lineRule="auto"/>
              <w:rPr>
                <w:rFonts w:hint="eastAsia"/>
                <w:lang w:val="en-US" w:eastAsia="zh-CN"/>
              </w:rPr>
            </w:pPr>
            <w:r>
              <w:rPr>
                <w:rFonts w:hint="eastAsia"/>
                <w:lang w:val="en-US" w:eastAsia="zh-CN"/>
              </w:rPr>
              <w:t>批</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CB86BFF">
            <w:pPr>
              <w:bidi w:val="0"/>
              <w:spacing w:line="360" w:lineRule="auto"/>
              <w:rPr>
                <w:rFonts w:hint="eastAsia"/>
                <w:lang w:val="en-US" w:eastAsia="zh-CN"/>
              </w:rPr>
            </w:pPr>
          </w:p>
        </w:tc>
      </w:tr>
      <w:tr w14:paraId="2A7EB4A7">
        <w:tblPrEx>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8" w:space="0"/>
              <w:bottom w:val="single" w:color="000000" w:sz="4" w:space="0"/>
              <w:right w:val="single" w:color="000000" w:sz="4" w:space="0"/>
            </w:tcBorders>
            <w:noWrap w:val="0"/>
            <w:vAlign w:val="center"/>
          </w:tcPr>
          <w:p w14:paraId="40488245">
            <w:pPr>
              <w:bidi w:val="0"/>
              <w:spacing w:line="360" w:lineRule="auto"/>
              <w:rPr>
                <w:rFonts w:hint="default"/>
                <w:lang w:val="en-US" w:eastAsia="zh-CN"/>
              </w:rPr>
            </w:pPr>
            <w:r>
              <w:rPr>
                <w:rFonts w:hint="eastAsia"/>
                <w:lang w:val="en-US" w:eastAsia="zh-CN"/>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E29457">
            <w:pPr>
              <w:bidi w:val="0"/>
              <w:spacing w:line="360" w:lineRule="auto"/>
              <w:rPr>
                <w:rFonts w:hint="default"/>
                <w:lang w:val="en-US" w:eastAsia="zh-CN"/>
              </w:rPr>
            </w:pPr>
            <w:r>
              <w:rPr>
                <w:rFonts w:hint="eastAsia"/>
                <w:lang w:val="en-US" w:eastAsia="zh-CN"/>
              </w:rPr>
              <w:t>安全阀</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3174AA69">
            <w:pPr>
              <w:bidi w:val="0"/>
              <w:spacing w:line="360" w:lineRule="auto"/>
              <w:rPr>
                <w:rFonts w:hint="default" w:eastAsia="宋体"/>
                <w:lang w:val="en-US" w:eastAsia="zh-CN"/>
              </w:rPr>
            </w:pPr>
            <w:r>
              <w:rPr>
                <w:rFonts w:hint="eastAsia"/>
                <w:lang w:val="en-US" w:eastAsia="zh-CN"/>
              </w:rPr>
              <w:t>4T、8T</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14:paraId="26B61B82">
            <w:pPr>
              <w:bidi w:val="0"/>
              <w:spacing w:line="360" w:lineRule="auto"/>
              <w:rPr>
                <w:rFonts w:hint="default"/>
                <w:lang w:val="en-US" w:eastAsia="zh-CN"/>
              </w:rPr>
            </w:pPr>
            <w:r>
              <w:rPr>
                <w:rFonts w:hint="eastAsia"/>
                <w:lang w:val="en-US" w:eastAsia="zh-CN"/>
              </w:rPr>
              <w:t>4</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2D860E9">
            <w:pPr>
              <w:bidi w:val="0"/>
              <w:spacing w:line="360" w:lineRule="auto"/>
              <w:rPr>
                <w:rFonts w:hint="default"/>
                <w:lang w:val="en-US" w:eastAsia="zh-CN"/>
              </w:rPr>
            </w:pPr>
            <w:r>
              <w:rPr>
                <w:rFonts w:hint="eastAsia"/>
                <w:lang w:val="en-US" w:eastAsia="zh-CN"/>
              </w:rPr>
              <w:t>台</w:t>
            </w:r>
          </w:p>
        </w:tc>
        <w:tc>
          <w:tcPr>
            <w:tcW w:w="2777" w:type="dxa"/>
            <w:tcBorders>
              <w:top w:val="single" w:color="000000" w:sz="4" w:space="0"/>
              <w:left w:val="single" w:color="000000" w:sz="4" w:space="0"/>
              <w:bottom w:val="single" w:color="000000" w:sz="4" w:space="0"/>
              <w:right w:val="single" w:color="000000" w:sz="4" w:space="0"/>
            </w:tcBorders>
            <w:noWrap w:val="0"/>
            <w:vAlign w:val="center"/>
          </w:tcPr>
          <w:p w14:paraId="51D80514">
            <w:pPr>
              <w:bidi w:val="0"/>
              <w:spacing w:line="360" w:lineRule="auto"/>
              <w:rPr>
                <w:rFonts w:hint="eastAsia"/>
                <w:lang w:val="en-US" w:eastAsia="zh-CN"/>
              </w:rPr>
            </w:pPr>
          </w:p>
        </w:tc>
      </w:tr>
      <w:tr w14:paraId="6DEED887">
        <w:tblPrEx>
          <w:tblCellMar>
            <w:top w:w="0" w:type="dxa"/>
            <w:left w:w="108" w:type="dxa"/>
            <w:bottom w:w="0" w:type="dxa"/>
            <w:right w:w="108" w:type="dxa"/>
          </w:tblCellMar>
        </w:tblPrEx>
        <w:trPr>
          <w:trHeight w:val="760" w:hRule="atLeast"/>
          <w:jc w:val="center"/>
        </w:trPr>
        <w:tc>
          <w:tcPr>
            <w:tcW w:w="9437" w:type="dxa"/>
            <w:gridSpan w:val="6"/>
            <w:tcBorders>
              <w:top w:val="single" w:color="000000" w:sz="4" w:space="0"/>
              <w:left w:val="single" w:color="000000" w:sz="8" w:space="0"/>
              <w:bottom w:val="single" w:color="000000" w:sz="4" w:space="0"/>
              <w:right w:val="single" w:color="000000" w:sz="4" w:space="0"/>
            </w:tcBorders>
            <w:noWrap w:val="0"/>
            <w:vAlign w:val="center"/>
          </w:tcPr>
          <w:p w14:paraId="2108ACD1">
            <w:pPr>
              <w:bidi w:val="0"/>
              <w:spacing w:line="360" w:lineRule="auto"/>
              <w:rPr>
                <w:rFonts w:hint="default"/>
                <w:lang w:val="en-US" w:eastAsia="zh-CN"/>
              </w:rPr>
            </w:pPr>
          </w:p>
        </w:tc>
      </w:tr>
      <w:bookmarkEnd w:id="0"/>
      <w:bookmarkEnd w:id="1"/>
      <w:bookmarkEnd w:id="2"/>
      <w:bookmarkEnd w:id="3"/>
      <w:bookmarkEnd w:id="4"/>
      <w:bookmarkEnd w:id="12"/>
      <w:bookmarkEnd w:id="13"/>
    </w:tbl>
    <w:p w14:paraId="6283D896">
      <w:pPr>
        <w:spacing w:line="360" w:lineRule="auto"/>
      </w:pPr>
    </w:p>
    <w:sectPr>
      <w:headerReference r:id="rId4" w:type="first"/>
      <w:footerReference r:id="rId6" w:type="first"/>
      <w:headerReference r:id="rId3" w:type="default"/>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B78E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17AB3D">
                          <w:pPr>
                            <w:pStyle w:val="11"/>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5517AB3D">
                    <w:pPr>
                      <w:pStyle w:val="11"/>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013A">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44F0CA">
                          <w:pPr>
                            <w:pStyle w:val="11"/>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KsdOIBAADMAwAADgAAAGRycy9lMm9Eb2MueG1srVPNjtMwEL4j8Q6W&#10;7zTZSou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AKsdOIBAADMAwAADgAA&#10;AAAAAAABACAAAAAeAQAAZHJzL2Uyb0RvYy54bWxQSwUGAAAAAAYABgBZAQAAcgUAAAAA&#10;">
              <v:fill on="f" focussize="0,0"/>
              <v:stroke on="f"/>
              <v:imagedata o:title=""/>
              <o:lock v:ext="edit" aspectratio="f"/>
              <v:textbox inset="0mm,0mm,0mm,0mm" style="mso-fit-shape-to-text:t;">
                <w:txbxContent>
                  <w:p w14:paraId="2844F0CA">
                    <w:pPr>
                      <w:pStyle w:val="11"/>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9EB5C4">
                          <w:pPr>
                            <w:snapToGrid w:val="0"/>
                            <w:rPr>
                              <w:sz w:val="18"/>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yhFeMBAADMAwAADgAAAGRycy9lMm9Eb2MueG1srVPNjtMwEL4j8Q6W&#10;7zRpV0J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MW8oRXjAQAAzAMAAA4A&#10;AAAAAAAAAQAgAAAAHgEAAGRycy9lMm9Eb2MueG1sUEsFBgAAAAAGAAYAWQEAAHMFAAAAAA==&#10;">
              <v:fill on="f" focussize="0,0"/>
              <v:stroke on="f"/>
              <v:imagedata o:title=""/>
              <o:lock v:ext="edit" aspectratio="f"/>
              <v:textbox inset="0mm,0mm,0mm,0mm" style="mso-fit-shape-to-text:t;">
                <w:txbxContent>
                  <w:p w14:paraId="3A9EB5C4">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3AF3">
    <w:pPr>
      <w:pStyle w:val="12"/>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944D">
    <w:pPr>
      <w:pStyle w:val="12"/>
      <w:tabs>
        <w:tab w:val="left" w:pos="328"/>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MDlhNzcwNGI3YWQxM2FmODMxY2JiYzg3YzEyNWMifQ=="/>
  </w:docVars>
  <w:rsids>
    <w:rsidRoot w:val="00000000"/>
    <w:rsid w:val="011C1EE1"/>
    <w:rsid w:val="0B0075EF"/>
    <w:rsid w:val="13702B73"/>
    <w:rsid w:val="1FA53BA4"/>
    <w:rsid w:val="220A5266"/>
    <w:rsid w:val="2ECD605F"/>
    <w:rsid w:val="2F0C08E4"/>
    <w:rsid w:val="32A74777"/>
    <w:rsid w:val="33A12A52"/>
    <w:rsid w:val="33B31670"/>
    <w:rsid w:val="3549513E"/>
    <w:rsid w:val="370E7508"/>
    <w:rsid w:val="37F57D0A"/>
    <w:rsid w:val="399052E6"/>
    <w:rsid w:val="3A00536D"/>
    <w:rsid w:val="3D14317C"/>
    <w:rsid w:val="417C19F3"/>
    <w:rsid w:val="49E1156D"/>
    <w:rsid w:val="552611C2"/>
    <w:rsid w:val="58380278"/>
    <w:rsid w:val="58C41C68"/>
    <w:rsid w:val="5F264D94"/>
    <w:rsid w:val="68D3385E"/>
    <w:rsid w:val="720849BA"/>
    <w:rsid w:val="73C3637A"/>
    <w:rsid w:val="76404CF7"/>
    <w:rsid w:val="7E6F3DEA"/>
    <w:rsid w:val="7F7830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spacing w:line="360" w:lineRule="auto"/>
      <w:jc w:val="center"/>
      <w:outlineLvl w:val="0"/>
    </w:pPr>
    <w:rPr>
      <w:b/>
      <w:bCs/>
      <w:kern w:val="44"/>
      <w:sz w:val="44"/>
      <w:szCs w:val="44"/>
    </w:rPr>
  </w:style>
  <w:style w:type="paragraph" w:styleId="4">
    <w:name w:val="heading 2"/>
    <w:basedOn w:val="1"/>
    <w:qFormat/>
    <w:uiPriority w:val="99"/>
    <w:pPr>
      <w:keepNext/>
      <w:keepLines/>
      <w:spacing w:before="260" w:after="260" w:line="360" w:lineRule="auto"/>
      <w:jc w:val="center"/>
      <w:outlineLvl w:val="1"/>
    </w:pPr>
    <w:rPr>
      <w:rFonts w:ascii="Cambria" w:hAnsi="Cambria"/>
      <w:b/>
      <w:bCs/>
      <w:kern w:val="0"/>
      <w:sz w:val="32"/>
      <w:szCs w:val="32"/>
    </w:rPr>
  </w:style>
  <w:style w:type="paragraph" w:styleId="5">
    <w:name w:val="heading 3"/>
    <w:basedOn w:val="1"/>
    <w:next w:val="1"/>
    <w:qFormat/>
    <w:uiPriority w:val="99"/>
    <w:pPr>
      <w:spacing w:line="360" w:lineRule="auto"/>
      <w:ind w:firstLine="482" w:firstLineChars="200"/>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napToGrid w:val="0"/>
      <w:spacing w:line="300" w:lineRule="auto"/>
    </w:pPr>
    <w:rPr>
      <w:kern w:val="0"/>
      <w:sz w:val="24"/>
    </w:rPr>
  </w:style>
  <w:style w:type="paragraph" w:styleId="6">
    <w:name w:val="table of authorities"/>
    <w:basedOn w:val="1"/>
    <w:next w:val="1"/>
    <w:qFormat/>
    <w:uiPriority w:val="99"/>
    <w:pPr>
      <w:ind w:left="420" w:leftChars="200"/>
    </w:pPr>
  </w:style>
  <w:style w:type="paragraph" w:styleId="7">
    <w:name w:val="Normal Indent"/>
    <w:basedOn w:val="1"/>
    <w:qFormat/>
    <w:uiPriority w:val="99"/>
    <w:pPr>
      <w:spacing w:after="120" w:line="360" w:lineRule="auto"/>
      <w:ind w:firstLine="420"/>
    </w:pPr>
    <w:rPr>
      <w:sz w:val="24"/>
      <w:szCs w:val="20"/>
    </w:rPr>
  </w:style>
  <w:style w:type="paragraph" w:styleId="8">
    <w:name w:val="Body Text Indent"/>
    <w:basedOn w:val="1"/>
    <w:qFormat/>
    <w:uiPriority w:val="0"/>
    <w:pPr>
      <w:spacing w:after="120"/>
      <w:ind w:left="420" w:leftChars="200"/>
    </w:pPr>
  </w:style>
  <w:style w:type="paragraph" w:styleId="9">
    <w:name w:val="Plain Text"/>
    <w:basedOn w:val="1"/>
    <w:qFormat/>
    <w:uiPriority w:val="99"/>
    <w:pPr>
      <w:adjustRightInd w:val="0"/>
      <w:spacing w:line="335" w:lineRule="atLeast"/>
      <w:textAlignment w:val="baseline"/>
    </w:pPr>
    <w:rPr>
      <w:rFonts w:ascii="宋体" w:hAnsi="Courier New"/>
      <w:kern w:val="0"/>
      <w:szCs w:val="21"/>
    </w:rPr>
  </w:style>
  <w:style w:type="paragraph" w:styleId="10">
    <w:name w:val="Body Text Indent 2"/>
    <w:basedOn w:val="1"/>
    <w:qFormat/>
    <w:uiPriority w:val="99"/>
    <w:pPr>
      <w:spacing w:line="460" w:lineRule="exact"/>
      <w:ind w:firstLine="570"/>
    </w:pPr>
    <w:rPr>
      <w:kern w:val="0"/>
      <w:sz w:val="24"/>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header"/>
    <w:basedOn w:val="1"/>
    <w:qFormat/>
    <w:uiPriority w:val="99"/>
    <w:pPr>
      <w:tabs>
        <w:tab w:val="center" w:pos="4153"/>
        <w:tab w:val="right" w:pos="8306"/>
      </w:tabs>
      <w:snapToGrid w:val="0"/>
      <w:jc w:val="center"/>
    </w:pPr>
    <w:rPr>
      <w:kern w:val="0"/>
      <w:sz w:val="18"/>
      <w:szCs w:val="18"/>
    </w:rPr>
  </w:style>
  <w:style w:type="paragraph" w:styleId="13">
    <w:name w:val="toc 1"/>
    <w:basedOn w:val="1"/>
    <w:next w:val="1"/>
    <w:qFormat/>
    <w:uiPriority w:val="99"/>
    <w:pPr>
      <w:tabs>
        <w:tab w:val="right" w:leader="dot" w:pos="9344"/>
      </w:tabs>
    </w:pPr>
  </w:style>
  <w:style w:type="paragraph" w:styleId="14">
    <w:name w:val="toc 2"/>
    <w:basedOn w:val="1"/>
    <w:next w:val="1"/>
    <w:qFormat/>
    <w:uiPriority w:val="99"/>
    <w:pPr>
      <w:ind w:left="420" w:leftChars="200"/>
    </w:pPr>
  </w:style>
  <w:style w:type="paragraph" w:styleId="1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0000FF"/>
      <w:u w:val="single"/>
    </w:rPr>
  </w:style>
  <w:style w:type="paragraph" w:customStyle="1" w:styleId="22">
    <w:name w:val="Default"/>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Table Paragraph"/>
    <w:basedOn w:val="1"/>
    <w:qFormat/>
    <w:uiPriority w:val="1"/>
    <w:rPr>
      <w:rFonts w:ascii="宋体" w:hAnsi="宋体" w:cs="宋体"/>
    </w:rPr>
  </w:style>
  <w:style w:type="paragraph" w:customStyle="1" w:styleId="25">
    <w:name w:val="Index4"/>
    <w:basedOn w:val="1"/>
    <w:next w:val="1"/>
    <w:qFormat/>
    <w:uiPriority w:val="0"/>
    <w:pPr>
      <w:ind w:left="600" w:leftChars="600"/>
      <w:jc w:val="both"/>
      <w:textAlignment w:val="baseline"/>
    </w:pPr>
  </w:style>
  <w:style w:type="paragraph" w:customStyle="1" w:styleId="26">
    <w:name w:val="样式3"/>
    <w:basedOn w:val="9"/>
    <w:qFormat/>
    <w:uiPriority w:val="0"/>
    <w:pPr>
      <w:spacing w:line="0" w:lineRule="atLeast"/>
      <w:outlineLvl w:val="0"/>
    </w:pPr>
    <w:rPr>
      <w:rFonts w:ascii="Times New Roman" w:hAnsi="Times New Roman"/>
      <w:sz w:val="28"/>
    </w:rPr>
  </w:style>
  <w:style w:type="paragraph" w:customStyle="1" w:styleId="27">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kern w:val="0"/>
      <w:position w:val="-6"/>
      <w:sz w:val="24"/>
      <w:lang w:val="fr-FR"/>
    </w:rPr>
  </w:style>
  <w:style w:type="character" w:customStyle="1" w:styleId="28">
    <w:name w:val="NormalCharacter"/>
    <w:qFormat/>
    <w:uiPriority w:val="0"/>
    <w:rPr>
      <w:rFonts w:ascii="Times New Roman" w:hAnsi="Times New Roman" w:eastAsia="宋体"/>
    </w:rPr>
  </w:style>
  <w:style w:type="character" w:customStyle="1" w:styleId="29">
    <w:name w:val="font61"/>
    <w:basedOn w:val="19"/>
    <w:qFormat/>
    <w:uiPriority w:val="0"/>
    <w:rPr>
      <w:rFonts w:hint="eastAsia" w:ascii="宋体" w:hAnsi="宋体" w:eastAsia="宋体" w:cs="宋体"/>
      <w:b/>
      <w:bCs/>
      <w:color w:val="000000"/>
      <w:sz w:val="21"/>
      <w:szCs w:val="21"/>
      <w:u w:val="none"/>
    </w:rPr>
  </w:style>
  <w:style w:type="character" w:customStyle="1" w:styleId="30">
    <w:name w:val="font91"/>
    <w:basedOn w:val="19"/>
    <w:qFormat/>
    <w:uiPriority w:val="0"/>
    <w:rPr>
      <w:rFonts w:hint="eastAsia" w:ascii="宋体" w:hAnsi="宋体" w:eastAsia="宋体" w:cs="宋体"/>
      <w:b/>
      <w:bCs/>
      <w:color w:val="000000"/>
      <w:sz w:val="22"/>
      <w:szCs w:val="22"/>
      <w:u w:val="none"/>
    </w:rPr>
  </w:style>
  <w:style w:type="paragraph" w:customStyle="1" w:styleId="31">
    <w:name w:val="页脚1"/>
    <w:basedOn w:val="1"/>
    <w:qFormat/>
    <w:uiPriority w:val="0"/>
    <w:pPr>
      <w:tabs>
        <w:tab w:val="center" w:pos="4153"/>
        <w:tab w:val="right" w:pos="8306"/>
      </w:tabs>
      <w:snapToGrid w:val="0"/>
      <w:jc w:val="left"/>
    </w:pPr>
    <w:rPr>
      <w:sz w:val="18"/>
      <w:szCs w:val="18"/>
    </w:rPr>
  </w:style>
  <w:style w:type="paragraph" w:styleId="32">
    <w:name w:val="List Paragraph"/>
    <w:basedOn w:val="1"/>
    <w:qFormat/>
    <w:uiPriority w:val="1"/>
    <w:pPr>
      <w:ind w:left="220" w:firstLine="559"/>
    </w:pPr>
    <w:rPr>
      <w:rFonts w:ascii="宋体" w:hAnsi="宋体" w:eastAsia="宋体" w:cs="宋体"/>
      <w:lang w:val="zh-CN" w:eastAsia="zh-CN" w:bidi="zh-CN"/>
    </w:rPr>
  </w:style>
  <w:style w:type="paragraph" w:customStyle="1" w:styleId="33">
    <w:name w:val="标题 21"/>
    <w:basedOn w:val="1"/>
    <w:autoRedefine/>
    <w:qFormat/>
    <w:uiPriority w:val="0"/>
    <w:pPr>
      <w:keepNext/>
      <w:keepLines/>
      <w:spacing w:beforeAutospacing="0" w:afterAutospacing="0" w:line="480" w:lineRule="auto"/>
      <w:jc w:val="left"/>
      <w:outlineLvl w:val="1"/>
    </w:pPr>
    <w:rPr>
      <w:rFonts w:ascii="宋体" w:hAnsi="宋体"/>
      <w:sz w:val="28"/>
    </w:rPr>
  </w:style>
  <w:style w:type="character" w:customStyle="1" w:styleId="34">
    <w:name w:val="font11"/>
    <w:basedOn w:val="19"/>
    <w:qFormat/>
    <w:uiPriority w:val="0"/>
    <w:rPr>
      <w:rFonts w:hint="eastAsia" w:ascii="楷体" w:hAnsi="楷体" w:eastAsia="楷体" w:cs="楷体"/>
      <w:b/>
      <w:bCs/>
      <w:color w:val="000000"/>
      <w:sz w:val="24"/>
      <w:szCs w:val="24"/>
      <w:u w:val="none"/>
    </w:rPr>
  </w:style>
  <w:style w:type="character" w:customStyle="1" w:styleId="35">
    <w:name w:val="font21"/>
    <w:basedOn w:val="19"/>
    <w:qFormat/>
    <w:uiPriority w:val="0"/>
    <w:rPr>
      <w:rFonts w:hint="eastAsia" w:ascii="楷体" w:hAnsi="楷体" w:eastAsia="楷体" w:cs="楷体"/>
      <w:color w:val="000000"/>
      <w:sz w:val="24"/>
      <w:szCs w:val="24"/>
      <w:u w:val="none"/>
    </w:rPr>
  </w:style>
  <w:style w:type="character" w:customStyle="1" w:styleId="36">
    <w:name w:val="font31"/>
    <w:basedOn w:val="19"/>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4408</Words>
  <Characters>4493</Characters>
  <Lines>0</Lines>
  <Paragraphs>0</Paragraphs>
  <TotalTime>6</TotalTime>
  <ScaleCrop>false</ScaleCrop>
  <LinksUpToDate>false</LinksUpToDate>
  <CharactersWithSpaces>4534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2022-06-02T01:15:00Z</dcterms:created>
  <dc:creator>lenovo</dc:creator>
  <cp:lastModifiedBy>孤星寒月</cp:lastModifiedBy>
  <dcterms:modified xsi:type="dcterms:W3CDTF">2026-05-19T00:49:15Z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E602AAB929E04EE28AD7542CA42B13AA_13</vt:lpwstr>
  </property>
  <property fmtid="{D5CDD505-2E9C-101B-9397-08002B2CF9AE}" pid="4" name="KSOTemplateDocerSaveRecord">
    <vt:lpwstr>eyJoZGlkIjoiMGYyZjdhYzRkYzUxYzAwYmYxNDk2NmU5Y2E0YjJkNjgiLCJ1c2VySWQiOiIyMTQ1MDE3NzkifQ==</vt:lpwstr>
  </property>
</Properties>
</file>