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B507E">
      <w:pPr>
        <w:jc w:val="both"/>
        <w:rPr>
          <w:rFonts w:hint="eastAsia" w:ascii="宋体" w:hAnsi="宋体" w:cs="宋体"/>
          <w:b/>
          <w:bCs/>
          <w:sz w:val="52"/>
          <w:szCs w:val="52"/>
        </w:rPr>
      </w:pPr>
    </w:p>
    <w:p w14:paraId="0810F256">
      <w:pPr>
        <w:jc w:val="center"/>
        <w:rPr>
          <w:rFonts w:ascii="宋体" w:hAnsi="宋体" w:cs="宋体"/>
          <w:b/>
          <w:sz w:val="24"/>
        </w:rPr>
      </w:pPr>
      <w:r>
        <w:rPr>
          <w:rFonts w:hint="eastAsia" w:ascii="宋体" w:hAnsi="宋体" w:cs="宋体"/>
          <w:b/>
          <w:bCs/>
          <w:sz w:val="52"/>
          <w:szCs w:val="52"/>
        </w:rPr>
        <w:t>甘肃省第二人民医院</w:t>
      </w:r>
    </w:p>
    <w:p w14:paraId="501DE9A2">
      <w:pPr>
        <w:spacing w:line="360" w:lineRule="auto"/>
        <w:jc w:val="center"/>
        <w:rPr>
          <w:rFonts w:ascii="宋体" w:hAnsi="宋体" w:cs="宋体"/>
          <w:b/>
          <w:sz w:val="52"/>
          <w:szCs w:val="52"/>
        </w:rPr>
      </w:pPr>
      <w:r>
        <w:rPr>
          <w:rFonts w:hint="eastAsia" w:ascii="宋体" w:hAnsi="宋体" w:cs="宋体"/>
          <w:b/>
          <w:sz w:val="52"/>
          <w:szCs w:val="52"/>
        </w:rPr>
        <w:t>医用耗材采购合同</w:t>
      </w:r>
    </w:p>
    <w:p w14:paraId="4E684ED1">
      <w:pPr>
        <w:spacing w:line="360" w:lineRule="auto"/>
        <w:ind w:firstLine="1038" w:firstLineChars="346"/>
        <w:rPr>
          <w:bCs/>
          <w:sz w:val="30"/>
          <w:szCs w:val="30"/>
        </w:rPr>
      </w:pPr>
    </w:p>
    <w:p w14:paraId="5260F9F4">
      <w:pPr>
        <w:pStyle w:val="3"/>
      </w:pPr>
    </w:p>
    <w:p w14:paraId="7D93DB9D"/>
    <w:p w14:paraId="7F13E0DB">
      <w:pPr>
        <w:pStyle w:val="3"/>
      </w:pPr>
    </w:p>
    <w:p w14:paraId="4EF81EDB">
      <w:pPr>
        <w:pStyle w:val="3"/>
      </w:pPr>
    </w:p>
    <w:p w14:paraId="73986988">
      <w:pPr>
        <w:pStyle w:val="3"/>
      </w:pPr>
    </w:p>
    <w:p w14:paraId="0211043B"/>
    <w:p w14:paraId="78FDA748">
      <w:pPr>
        <w:spacing w:line="360" w:lineRule="auto"/>
        <w:jc w:val="center"/>
        <w:rPr>
          <w:bCs/>
          <w:sz w:val="30"/>
          <w:szCs w:val="30"/>
        </w:rPr>
      </w:pPr>
      <w:bookmarkStart w:id="0" w:name="_Toc6552_WPSOffice_Level2"/>
      <w:bookmarkStart w:id="1" w:name="_Toc23211_WPSOffice_Level2"/>
    </w:p>
    <w:p w14:paraId="0B8785A0">
      <w:pPr>
        <w:spacing w:line="360" w:lineRule="auto"/>
        <w:jc w:val="center"/>
        <w:rPr>
          <w:rFonts w:ascii="宋体" w:hAnsi="宋体" w:cs="宋体"/>
          <w:b/>
          <w:sz w:val="32"/>
          <w:szCs w:val="32"/>
        </w:rPr>
      </w:pPr>
      <w:r>
        <w:rPr>
          <w:rFonts w:hint="eastAsia" w:ascii="宋体" w:hAnsi="宋体" w:cs="宋体"/>
          <w:b/>
          <w:sz w:val="32"/>
          <w:szCs w:val="32"/>
          <w:lang w:val="en-US" w:eastAsia="zh-CN"/>
        </w:rPr>
        <w:t xml:space="preserve"> </w:t>
      </w:r>
      <w:r>
        <w:rPr>
          <w:rFonts w:hint="eastAsia" w:ascii="宋体" w:hAnsi="宋体" w:cs="宋体"/>
          <w:b/>
          <w:sz w:val="32"/>
          <w:szCs w:val="32"/>
        </w:rPr>
        <w:t>项目名称</w:t>
      </w:r>
      <w:bookmarkEnd w:id="0"/>
      <w:bookmarkEnd w:id="1"/>
      <w:bookmarkStart w:id="2" w:name="_Hlk46156940"/>
      <w:bookmarkStart w:id="3" w:name="_Toc15174_WPSOffice_Level2"/>
      <w:bookmarkStart w:id="4" w:name="_Toc10073_WPSOffice_Level2"/>
      <w:r>
        <w:rPr>
          <w:rFonts w:hint="eastAsia" w:ascii="宋体" w:hAnsi="宋体" w:cs="宋体"/>
          <w:b/>
          <w:sz w:val="32"/>
          <w:szCs w:val="32"/>
          <w:lang w:eastAsia="zh-CN"/>
        </w:rPr>
        <w:t>：</w:t>
      </w:r>
      <w:r>
        <w:rPr>
          <w:rFonts w:hint="eastAsia" w:ascii="宋体" w:hAnsi="宋体" w:cs="宋体"/>
          <w:b/>
          <w:sz w:val="32"/>
          <w:szCs w:val="32"/>
        </w:rPr>
        <w:t>甘肃省第二人民医</w:t>
      </w:r>
      <w:bookmarkEnd w:id="2"/>
      <w:bookmarkStart w:id="5" w:name="_Hlk46156957"/>
      <w:r>
        <w:rPr>
          <w:rFonts w:hint="eastAsia" w:ascii="宋体" w:hAnsi="宋体" w:cs="宋体"/>
          <w:b/>
          <w:sz w:val="32"/>
          <w:szCs w:val="32"/>
        </w:rPr>
        <w:t>院</w:t>
      </w:r>
      <w:r>
        <w:rPr>
          <w:rFonts w:hint="eastAsia" w:ascii="宋体" w:hAnsi="宋体" w:cs="宋体"/>
          <w:b/>
          <w:sz w:val="32"/>
          <w:szCs w:val="32"/>
          <w:lang w:val="en-US" w:eastAsia="zh-CN"/>
        </w:rPr>
        <w:t xml:space="preserve">      </w:t>
      </w:r>
      <w:r>
        <w:rPr>
          <w:rFonts w:hint="eastAsia" w:ascii="宋体" w:hAnsi="宋体" w:cs="宋体"/>
          <w:b/>
          <w:sz w:val="32"/>
          <w:szCs w:val="32"/>
        </w:rPr>
        <w:t>采购项目</w:t>
      </w:r>
      <w:bookmarkEnd w:id="5"/>
    </w:p>
    <w:bookmarkEnd w:id="3"/>
    <w:bookmarkEnd w:id="4"/>
    <w:p w14:paraId="653CC3B3">
      <w:pPr>
        <w:spacing w:line="360" w:lineRule="auto"/>
        <w:ind w:firstLine="1606" w:firstLineChars="500"/>
        <w:jc w:val="both"/>
        <w:rPr>
          <w:rFonts w:hint="eastAsia" w:ascii="宋体" w:hAnsi="宋体" w:eastAsia="宋体" w:cs="宋体"/>
          <w:b/>
          <w:sz w:val="32"/>
          <w:szCs w:val="32"/>
          <w:lang w:val="en-US" w:eastAsia="zh-CN"/>
        </w:rPr>
      </w:pPr>
      <w:r>
        <w:rPr>
          <w:rFonts w:hint="eastAsia" w:ascii="宋体" w:hAnsi="宋体" w:cs="宋体"/>
          <w:b/>
          <w:sz w:val="32"/>
          <w:szCs w:val="32"/>
          <w:lang w:val="en-US" w:eastAsia="zh-CN"/>
        </w:rPr>
        <w:t>招标编号：SEY-2026YNCG-012</w:t>
      </w:r>
    </w:p>
    <w:p w14:paraId="3B8CEE9C">
      <w:pPr>
        <w:spacing w:line="360" w:lineRule="auto"/>
        <w:rPr>
          <w:rFonts w:ascii="宋体" w:hAnsi="宋体" w:cs="宋体"/>
          <w:b/>
          <w:sz w:val="32"/>
          <w:szCs w:val="32"/>
        </w:rPr>
      </w:pPr>
    </w:p>
    <w:p w14:paraId="7CB80A18">
      <w:pPr>
        <w:spacing w:line="360" w:lineRule="auto"/>
        <w:ind w:firstLine="1124" w:firstLineChars="350"/>
        <w:rPr>
          <w:rFonts w:ascii="宋体" w:hAnsi="宋体" w:cs="宋体"/>
          <w:b/>
          <w:sz w:val="32"/>
          <w:szCs w:val="32"/>
        </w:rPr>
      </w:pPr>
      <w:bookmarkStart w:id="6" w:name="_Toc458_WPSOffice_Level2"/>
      <w:bookmarkStart w:id="7" w:name="_Toc15088_WPSOffice_Level2"/>
    </w:p>
    <w:p w14:paraId="7D46B1A5">
      <w:pPr>
        <w:pStyle w:val="3"/>
        <w:rPr>
          <w:rFonts w:ascii="宋体" w:hAnsi="宋体" w:cs="宋体"/>
          <w:b/>
          <w:sz w:val="32"/>
          <w:szCs w:val="32"/>
        </w:rPr>
      </w:pPr>
    </w:p>
    <w:p w14:paraId="73B9CFD3">
      <w:pPr>
        <w:pStyle w:val="3"/>
        <w:rPr>
          <w:rFonts w:hint="eastAsia" w:ascii="宋体" w:hAnsi="宋体" w:eastAsia="宋体" w:cs="宋体"/>
          <w:b/>
          <w:sz w:val="32"/>
          <w:szCs w:val="32"/>
          <w:lang w:eastAsia="zh-CN"/>
        </w:rPr>
      </w:pPr>
    </w:p>
    <w:p w14:paraId="43E775C6">
      <w:pPr>
        <w:pStyle w:val="3"/>
        <w:rPr>
          <w:rFonts w:hint="eastAsia" w:ascii="宋体" w:hAnsi="宋体" w:eastAsia="宋体" w:cs="宋体"/>
          <w:b/>
          <w:sz w:val="32"/>
          <w:szCs w:val="32"/>
          <w:lang w:eastAsia="zh-CN"/>
        </w:rPr>
      </w:pPr>
    </w:p>
    <w:p w14:paraId="0C4F6031">
      <w:pPr>
        <w:pStyle w:val="3"/>
        <w:rPr>
          <w:rFonts w:hint="eastAsia" w:ascii="宋体" w:hAnsi="宋体" w:eastAsia="宋体" w:cs="宋体"/>
          <w:b/>
          <w:sz w:val="32"/>
          <w:szCs w:val="32"/>
          <w:lang w:eastAsia="zh-CN"/>
        </w:rPr>
      </w:pPr>
    </w:p>
    <w:p w14:paraId="2E118A5F">
      <w:pPr>
        <w:pStyle w:val="3"/>
        <w:rPr>
          <w:rFonts w:hint="eastAsia" w:ascii="宋体" w:hAnsi="宋体" w:eastAsia="宋体" w:cs="宋体"/>
          <w:b/>
          <w:sz w:val="32"/>
          <w:szCs w:val="32"/>
          <w:lang w:eastAsia="zh-CN"/>
        </w:rPr>
      </w:pPr>
    </w:p>
    <w:p w14:paraId="524962B7">
      <w:pPr>
        <w:pStyle w:val="3"/>
        <w:rPr>
          <w:rFonts w:ascii="宋体" w:hAnsi="宋体" w:cs="宋体"/>
          <w:b/>
          <w:sz w:val="32"/>
          <w:szCs w:val="32"/>
        </w:rPr>
      </w:pPr>
    </w:p>
    <w:p w14:paraId="4984C132">
      <w:pPr>
        <w:pStyle w:val="3"/>
        <w:rPr>
          <w:rFonts w:ascii="宋体" w:hAnsi="宋体" w:cs="宋体"/>
          <w:b/>
          <w:sz w:val="32"/>
          <w:szCs w:val="32"/>
        </w:rPr>
      </w:pPr>
    </w:p>
    <w:p w14:paraId="39544DB6">
      <w:pPr>
        <w:spacing w:line="360" w:lineRule="auto"/>
        <w:ind w:firstLine="1928" w:firstLineChars="600"/>
        <w:jc w:val="both"/>
        <w:rPr>
          <w:rFonts w:hint="eastAsia" w:ascii="宋体" w:hAnsi="宋体" w:cs="宋体"/>
          <w:b/>
          <w:sz w:val="32"/>
          <w:szCs w:val="32"/>
        </w:rPr>
      </w:pPr>
      <w:r>
        <w:rPr>
          <w:rFonts w:hint="eastAsia" w:ascii="宋体" w:hAnsi="宋体" w:cs="宋体"/>
          <w:b/>
          <w:sz w:val="32"/>
          <w:szCs w:val="32"/>
        </w:rPr>
        <w:t>甲方（采购方）：</w:t>
      </w:r>
      <w:bookmarkEnd w:id="6"/>
      <w:bookmarkEnd w:id="7"/>
      <w:r>
        <w:rPr>
          <w:rFonts w:hint="eastAsia" w:ascii="宋体" w:hAnsi="宋体" w:cs="宋体"/>
          <w:b/>
          <w:sz w:val="32"/>
          <w:szCs w:val="32"/>
        </w:rPr>
        <w:t>甘肃省第二人民医院</w:t>
      </w:r>
      <w:bookmarkStart w:id="8" w:name="_Toc2863_WPSOffice_Level2"/>
      <w:bookmarkStart w:id="9" w:name="_Toc22995_WPSOffice_Level2"/>
    </w:p>
    <w:p w14:paraId="78910742">
      <w:pPr>
        <w:ind w:firstLine="1928" w:firstLineChars="600"/>
        <w:jc w:val="both"/>
        <w:rPr>
          <w:rFonts w:hint="eastAsia" w:ascii="宋体" w:hAnsi="宋体" w:cs="宋体"/>
          <w:b/>
          <w:sz w:val="32"/>
          <w:szCs w:val="32"/>
        </w:rPr>
      </w:pPr>
      <w:r>
        <w:rPr>
          <w:rFonts w:hint="eastAsia" w:ascii="宋体" w:hAnsi="宋体" w:cs="宋体"/>
          <w:b/>
          <w:sz w:val="32"/>
          <w:szCs w:val="32"/>
        </w:rPr>
        <w:t>乙方（中标人）：</w:t>
      </w:r>
      <w:bookmarkEnd w:id="8"/>
      <w:bookmarkEnd w:id="9"/>
    </w:p>
    <w:p w14:paraId="2FB0D9DB">
      <w:pPr>
        <w:jc w:val="center"/>
        <w:rPr>
          <w:rFonts w:hint="eastAsia" w:ascii="宋体" w:hAnsi="宋体" w:cs="宋体"/>
          <w:b/>
          <w:sz w:val="32"/>
          <w:szCs w:val="32"/>
        </w:rPr>
      </w:pPr>
    </w:p>
    <w:p w14:paraId="17F0CFFD">
      <w:pPr>
        <w:jc w:val="center"/>
        <w:rPr>
          <w:rFonts w:hint="eastAsia"/>
          <w:b/>
          <w:bCs/>
          <w:sz w:val="44"/>
          <w:szCs w:val="44"/>
        </w:rPr>
      </w:pPr>
      <w:r>
        <w:rPr>
          <w:rFonts w:hint="eastAsia"/>
          <w:b/>
          <w:bCs/>
          <w:sz w:val="44"/>
          <w:szCs w:val="44"/>
        </w:rPr>
        <w:t>甘肃省第二人民医院</w:t>
      </w:r>
    </w:p>
    <w:p w14:paraId="46AE506F">
      <w:pPr>
        <w:jc w:val="center"/>
        <w:rPr>
          <w:b/>
          <w:bCs/>
          <w:sz w:val="44"/>
          <w:szCs w:val="44"/>
        </w:rPr>
      </w:pPr>
      <w:r>
        <w:rPr>
          <w:rFonts w:hint="eastAsia"/>
          <w:b/>
          <w:bCs/>
          <w:sz w:val="44"/>
          <w:szCs w:val="44"/>
        </w:rPr>
        <w:t>医用耗材采购合同</w:t>
      </w:r>
    </w:p>
    <w:p w14:paraId="481E852E">
      <w:pPr>
        <w:spacing w:line="360" w:lineRule="auto"/>
        <w:rPr>
          <w:rFonts w:hint="eastAsia"/>
          <w:b/>
          <w:bCs/>
          <w:sz w:val="24"/>
        </w:rPr>
      </w:pPr>
    </w:p>
    <w:p w14:paraId="5CC04EE8">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甲方（买方）：甘肃省第二人民医院</w:t>
      </w:r>
    </w:p>
    <w:p w14:paraId="27212E92">
      <w:pPr>
        <w:spacing w:line="360" w:lineRule="auto"/>
        <w:rPr>
          <w:rFonts w:hint="default" w:ascii="宋体" w:hAnsi="宋体" w:eastAsia="宋体" w:cs="宋体"/>
          <w:b/>
          <w:bCs/>
          <w:sz w:val="24"/>
          <w:szCs w:val="24"/>
          <w:lang w:val="en-US" w:eastAsia="zh-CN"/>
        </w:rPr>
      </w:pPr>
      <w:r>
        <w:rPr>
          <w:rFonts w:hint="eastAsia" w:ascii="宋体" w:hAnsi="宋体" w:eastAsia="宋体" w:cs="宋体"/>
          <w:b/>
          <w:bCs/>
          <w:sz w:val="24"/>
          <w:szCs w:val="24"/>
        </w:rPr>
        <w:t>乙方（卖方）：</w:t>
      </w:r>
    </w:p>
    <w:p w14:paraId="34F06B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根据《中华人民共和国民法典》和其他相关法律法规的规定，经甲、乙双方平等、友好协商，特签订本合同，以资双方共同遵守。</w:t>
      </w:r>
    </w:p>
    <w:p w14:paraId="177BF613">
      <w:pPr>
        <w:spacing w:line="360" w:lineRule="auto"/>
        <w:ind w:firstLine="482" w:firstLineChars="200"/>
        <w:rPr>
          <w:rFonts w:hint="eastAsia" w:ascii="宋体" w:hAnsi="宋体" w:eastAsia="宋体" w:cs="宋体"/>
          <w:color w:val="FF0000"/>
          <w:sz w:val="24"/>
          <w:szCs w:val="24"/>
          <w:highlight w:val="none"/>
        </w:rPr>
      </w:pPr>
      <w:r>
        <w:rPr>
          <w:rFonts w:hint="eastAsia" w:ascii="宋体" w:hAnsi="宋体" w:eastAsia="宋体" w:cs="宋体"/>
          <w:b/>
          <w:bCs/>
          <w:color w:val="000000"/>
          <w:sz w:val="24"/>
          <w:szCs w:val="24"/>
        </w:rPr>
        <w:t>第一条：</w:t>
      </w:r>
      <w:r>
        <w:rPr>
          <w:rFonts w:hint="eastAsia" w:ascii="宋体" w:hAnsi="宋体" w:eastAsia="宋体" w:cs="宋体"/>
          <w:color w:val="000000"/>
          <w:sz w:val="24"/>
          <w:szCs w:val="24"/>
        </w:rPr>
        <w:t>本合同自签订之日起生效，合同效期为三年。合同有效期内，乙方应无条件按照《甘肃省第二人民医院医用耗材试剂供应商考核实施方案（试行）》接受甲方每年度的考核。若乙方</w:t>
      </w:r>
      <w:r>
        <w:rPr>
          <w:rFonts w:hint="eastAsia" w:ascii="宋体" w:hAnsi="宋体" w:cs="宋体"/>
          <w:color w:val="000000"/>
          <w:sz w:val="24"/>
          <w:szCs w:val="24"/>
          <w:lang w:val="en-US" w:eastAsia="zh-CN"/>
        </w:rPr>
        <w:t>在本合同有效期内</w:t>
      </w:r>
      <w:r>
        <w:rPr>
          <w:rFonts w:hint="eastAsia" w:ascii="宋体" w:hAnsi="宋体" w:eastAsia="宋体" w:cs="宋体"/>
          <w:color w:val="000000"/>
          <w:sz w:val="24"/>
          <w:szCs w:val="24"/>
        </w:rPr>
        <w:t>经</w:t>
      </w:r>
      <w:r>
        <w:rPr>
          <w:rFonts w:hint="eastAsia" w:ascii="宋体" w:hAnsi="宋体" w:cs="宋体"/>
          <w:color w:val="000000"/>
          <w:sz w:val="24"/>
          <w:szCs w:val="24"/>
          <w:lang w:val="en-US" w:eastAsia="zh-CN"/>
        </w:rPr>
        <w:t>甲方年度</w:t>
      </w:r>
      <w:r>
        <w:rPr>
          <w:rFonts w:hint="eastAsia" w:ascii="宋体" w:hAnsi="宋体" w:eastAsia="宋体" w:cs="宋体"/>
          <w:color w:val="000000"/>
          <w:sz w:val="24"/>
          <w:szCs w:val="24"/>
        </w:rPr>
        <w:t>考核</w:t>
      </w:r>
      <w:r>
        <w:rPr>
          <w:rFonts w:hint="eastAsia" w:ascii="宋体" w:hAnsi="宋体" w:cs="宋体"/>
          <w:color w:val="000000"/>
          <w:sz w:val="24"/>
          <w:szCs w:val="24"/>
          <w:lang w:val="en-US" w:eastAsia="zh-CN"/>
        </w:rPr>
        <w:t>为</w:t>
      </w:r>
      <w:r>
        <w:rPr>
          <w:rFonts w:hint="eastAsia" w:ascii="宋体" w:hAnsi="宋体" w:eastAsia="宋体" w:cs="宋体"/>
          <w:color w:val="000000"/>
          <w:sz w:val="24"/>
          <w:szCs w:val="24"/>
        </w:rPr>
        <w:t>合格</w:t>
      </w:r>
      <w:r>
        <w:rPr>
          <w:rFonts w:hint="eastAsia" w:ascii="宋体" w:hAnsi="宋体" w:eastAsia="宋体" w:cs="宋体"/>
          <w:color w:val="000000"/>
          <w:sz w:val="24"/>
          <w:szCs w:val="24"/>
          <w:lang w:eastAsia="zh-CN"/>
        </w:rPr>
        <w:t>的</w:t>
      </w:r>
      <w:r>
        <w:rPr>
          <w:rFonts w:hint="eastAsia" w:ascii="宋体" w:hAnsi="宋体" w:eastAsia="宋体" w:cs="宋体"/>
          <w:color w:val="000000"/>
          <w:sz w:val="24"/>
          <w:szCs w:val="24"/>
        </w:rPr>
        <w:t>，则</w:t>
      </w:r>
      <w:r>
        <w:rPr>
          <w:rFonts w:hint="eastAsia" w:ascii="宋体" w:hAnsi="宋体" w:eastAsia="宋体" w:cs="宋体"/>
          <w:color w:val="000000"/>
          <w:sz w:val="24"/>
          <w:szCs w:val="24"/>
          <w:u w:val="none"/>
        </w:rPr>
        <w:t>本合同</w:t>
      </w:r>
      <w:r>
        <w:rPr>
          <w:rFonts w:hint="eastAsia" w:ascii="宋体" w:hAnsi="宋体" w:eastAsia="宋体" w:cs="宋体"/>
          <w:color w:val="000000"/>
          <w:sz w:val="24"/>
          <w:szCs w:val="24"/>
          <w:u w:val="none"/>
          <w:lang w:eastAsia="zh-CN"/>
        </w:rPr>
        <w:t>在有效期内双方</w:t>
      </w:r>
      <w:r>
        <w:rPr>
          <w:rFonts w:hint="eastAsia" w:ascii="宋体" w:hAnsi="宋体" w:eastAsia="宋体" w:cs="宋体"/>
          <w:color w:val="000000"/>
          <w:sz w:val="24"/>
          <w:szCs w:val="24"/>
          <w:u w:val="none"/>
        </w:rPr>
        <w:t>继续履</w:t>
      </w:r>
      <w:r>
        <w:rPr>
          <w:rFonts w:hint="eastAsia" w:ascii="宋体" w:hAnsi="宋体" w:eastAsia="宋体" w:cs="宋体"/>
          <w:color w:val="auto"/>
          <w:sz w:val="24"/>
          <w:szCs w:val="24"/>
          <w:u w:val="none"/>
        </w:rPr>
        <w:t>行。若乙方</w:t>
      </w:r>
      <w:r>
        <w:rPr>
          <w:rFonts w:hint="eastAsia" w:ascii="宋体" w:hAnsi="宋体" w:cs="宋体"/>
          <w:color w:val="000000"/>
          <w:sz w:val="24"/>
          <w:szCs w:val="24"/>
          <w:lang w:val="en-US" w:eastAsia="zh-CN"/>
        </w:rPr>
        <w:t>在本合同有效期内</w:t>
      </w:r>
      <w:r>
        <w:rPr>
          <w:rFonts w:hint="eastAsia" w:ascii="宋体" w:hAnsi="宋体" w:eastAsia="宋体" w:cs="宋体"/>
          <w:color w:val="000000"/>
          <w:sz w:val="24"/>
          <w:szCs w:val="24"/>
        </w:rPr>
        <w:t>经</w:t>
      </w:r>
      <w:r>
        <w:rPr>
          <w:rFonts w:hint="eastAsia" w:ascii="宋体" w:hAnsi="宋体" w:cs="宋体"/>
          <w:color w:val="000000"/>
          <w:sz w:val="24"/>
          <w:szCs w:val="24"/>
          <w:lang w:val="en-US" w:eastAsia="zh-CN"/>
        </w:rPr>
        <w:t>甲方年度</w:t>
      </w:r>
      <w:r>
        <w:rPr>
          <w:rFonts w:hint="eastAsia" w:ascii="宋体" w:hAnsi="宋体" w:eastAsia="宋体" w:cs="宋体"/>
          <w:color w:val="auto"/>
          <w:sz w:val="24"/>
          <w:szCs w:val="24"/>
          <w:u w:val="none"/>
        </w:rPr>
        <w:t>考核</w:t>
      </w:r>
      <w:r>
        <w:rPr>
          <w:rFonts w:hint="eastAsia" w:ascii="宋体" w:hAnsi="宋体" w:cs="宋体"/>
          <w:color w:val="auto"/>
          <w:sz w:val="24"/>
          <w:szCs w:val="24"/>
          <w:u w:val="none"/>
          <w:lang w:val="en-US" w:eastAsia="zh-CN"/>
        </w:rPr>
        <w:t>为</w:t>
      </w:r>
      <w:r>
        <w:rPr>
          <w:rFonts w:hint="eastAsia" w:ascii="宋体" w:hAnsi="宋体" w:eastAsia="宋体" w:cs="宋体"/>
          <w:color w:val="auto"/>
          <w:sz w:val="24"/>
          <w:szCs w:val="24"/>
          <w:u w:val="none"/>
        </w:rPr>
        <w:t>不合格</w:t>
      </w:r>
      <w:r>
        <w:rPr>
          <w:rFonts w:hint="eastAsia" w:ascii="宋体" w:hAnsi="宋体" w:cs="宋体"/>
          <w:color w:val="auto"/>
          <w:sz w:val="24"/>
          <w:szCs w:val="24"/>
          <w:u w:val="none"/>
          <w:lang w:val="en-US" w:eastAsia="zh-CN"/>
        </w:rPr>
        <w:t>的</w:t>
      </w: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eastAsia="zh-CN"/>
        </w:rPr>
        <w:t>则</w:t>
      </w:r>
      <w:r>
        <w:rPr>
          <w:rFonts w:hint="eastAsia" w:ascii="宋体" w:hAnsi="宋体" w:eastAsia="宋体" w:cs="宋体"/>
          <w:color w:val="auto"/>
          <w:sz w:val="24"/>
          <w:szCs w:val="24"/>
          <w:u w:val="none"/>
        </w:rPr>
        <w:t>本合同</w:t>
      </w:r>
      <w:r>
        <w:rPr>
          <w:rFonts w:hint="eastAsia" w:ascii="宋体" w:hAnsi="宋体" w:eastAsia="宋体" w:cs="宋体"/>
          <w:color w:val="auto"/>
          <w:sz w:val="24"/>
          <w:szCs w:val="24"/>
          <w:u w:val="none"/>
          <w:lang w:eastAsia="zh-CN"/>
        </w:rPr>
        <w:t>自乙方被考核为不合格之日</w:t>
      </w:r>
      <w:r>
        <w:rPr>
          <w:rFonts w:hint="eastAsia" w:ascii="宋体" w:hAnsi="宋体" w:eastAsia="宋体" w:cs="宋体"/>
          <w:color w:val="auto"/>
          <w:sz w:val="24"/>
          <w:szCs w:val="24"/>
          <w:u w:val="none"/>
        </w:rPr>
        <w:t>自动</w:t>
      </w:r>
      <w:r>
        <w:rPr>
          <w:rFonts w:hint="eastAsia" w:ascii="宋体" w:hAnsi="宋体" w:eastAsia="宋体" w:cs="宋体"/>
          <w:color w:val="auto"/>
          <w:sz w:val="24"/>
          <w:szCs w:val="24"/>
          <w:u w:val="none"/>
          <w:lang w:eastAsia="zh-CN"/>
        </w:rPr>
        <w:t>解除并</w:t>
      </w:r>
      <w:r>
        <w:rPr>
          <w:rFonts w:hint="eastAsia" w:ascii="宋体" w:hAnsi="宋体" w:eastAsia="宋体" w:cs="宋体"/>
          <w:color w:val="auto"/>
          <w:sz w:val="24"/>
          <w:szCs w:val="24"/>
          <w:u w:val="none"/>
        </w:rPr>
        <w:t>终止。</w:t>
      </w:r>
      <w:r>
        <w:rPr>
          <w:rFonts w:hint="eastAsia" w:ascii="宋体" w:hAnsi="宋体" w:eastAsia="宋体" w:cs="宋体"/>
          <w:color w:val="auto"/>
          <w:sz w:val="24"/>
          <w:highlight w:val="none"/>
        </w:rPr>
        <w:t>本合同为合同</w:t>
      </w:r>
      <w:r>
        <w:rPr>
          <w:rFonts w:hint="eastAsia" w:ascii="宋体" w:hAnsi="宋体" w:cs="宋体"/>
          <w:color w:val="auto"/>
          <w:sz w:val="24"/>
          <w:highlight w:val="none"/>
          <w:lang w:val="en-US" w:eastAsia="zh-CN"/>
        </w:rPr>
        <w:t>有</w:t>
      </w:r>
      <w:r>
        <w:rPr>
          <w:rFonts w:hint="eastAsia" w:ascii="宋体" w:hAnsi="宋体" w:eastAsia="宋体" w:cs="宋体"/>
          <w:color w:val="auto"/>
          <w:sz w:val="24"/>
          <w:highlight w:val="none"/>
        </w:rPr>
        <w:t>效期内</w:t>
      </w:r>
      <w:r>
        <w:rPr>
          <w:rFonts w:hint="eastAsia" w:ascii="宋体" w:hAnsi="宋体" w:cs="宋体"/>
          <w:color w:val="auto"/>
          <w:sz w:val="24"/>
          <w:highlight w:val="none"/>
          <w:lang w:val="en-US" w:eastAsia="zh-CN"/>
        </w:rPr>
        <w:t>且</w:t>
      </w:r>
      <w:r>
        <w:rPr>
          <w:rFonts w:hint="eastAsia" w:ascii="宋体" w:hAnsi="宋体" w:eastAsia="宋体" w:cs="宋体"/>
          <w:color w:val="auto"/>
          <w:sz w:val="24"/>
          <w:szCs w:val="24"/>
          <w:u w:val="none"/>
          <w:lang w:eastAsia="zh-CN"/>
        </w:rPr>
        <w:t>乙方被</w:t>
      </w:r>
      <w:r>
        <w:rPr>
          <w:rFonts w:hint="eastAsia" w:ascii="宋体" w:hAnsi="宋体" w:cs="宋体"/>
          <w:color w:val="auto"/>
          <w:sz w:val="24"/>
          <w:szCs w:val="24"/>
          <w:u w:val="none"/>
          <w:lang w:val="en-US" w:eastAsia="zh-CN"/>
        </w:rPr>
        <w:t>甲方</w:t>
      </w:r>
      <w:r>
        <w:rPr>
          <w:rFonts w:hint="eastAsia" w:ascii="宋体" w:hAnsi="宋体" w:eastAsia="宋体" w:cs="宋体"/>
          <w:color w:val="auto"/>
          <w:sz w:val="24"/>
          <w:szCs w:val="24"/>
          <w:u w:val="none"/>
          <w:lang w:eastAsia="zh-CN"/>
        </w:rPr>
        <w:t>考核合格</w:t>
      </w:r>
      <w:r>
        <w:rPr>
          <w:rFonts w:hint="eastAsia" w:ascii="宋体" w:hAnsi="宋体" w:cs="宋体"/>
          <w:color w:val="auto"/>
          <w:sz w:val="24"/>
          <w:szCs w:val="24"/>
          <w:u w:val="none"/>
          <w:lang w:val="en-US" w:eastAsia="zh-CN"/>
        </w:rPr>
        <w:t>的，</w:t>
      </w:r>
      <w:r>
        <w:rPr>
          <w:rFonts w:hint="eastAsia" w:ascii="宋体" w:hAnsi="宋体" w:eastAsia="宋体" w:cs="宋体"/>
          <w:color w:val="auto"/>
          <w:sz w:val="24"/>
          <w:highlight w:val="none"/>
        </w:rPr>
        <w:t>甲方可根据医院需求不定时、不定量向乙方采购相关医用耗材的固定单价交易模式</w:t>
      </w:r>
      <w:r>
        <w:rPr>
          <w:rFonts w:hint="eastAsia" w:ascii="宋体" w:hAnsi="宋体" w:cs="宋体"/>
          <w:color w:val="auto"/>
          <w:sz w:val="24"/>
          <w:highlight w:val="none"/>
          <w:lang w:val="en-US" w:eastAsia="zh-CN"/>
        </w:rPr>
        <w:t>合同</w:t>
      </w:r>
      <w:r>
        <w:rPr>
          <w:rFonts w:hint="eastAsia" w:ascii="宋体" w:hAnsi="宋体" w:eastAsia="宋体" w:cs="宋体"/>
          <w:color w:val="auto"/>
          <w:sz w:val="24"/>
          <w:highlight w:val="none"/>
        </w:rPr>
        <w:t>。</w:t>
      </w:r>
    </w:p>
    <w:p w14:paraId="0CE966DB">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第二条：所采购医用耗材的产品情况：</w:t>
      </w:r>
    </w:p>
    <w:p w14:paraId="2245549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2.1乙方严格按下表的产品名称、规格型号、生产企业、注册证号、合同单价，向甲方提供全新、原厂包装、未拆封包装的合格产品,产品信息详见下表:</w:t>
      </w:r>
    </w:p>
    <w:tbl>
      <w:tblPr>
        <w:tblStyle w:val="9"/>
        <w:tblpPr w:leftFromText="180" w:rightFromText="180" w:vertAnchor="text" w:horzAnchor="page" w:tblpXSpec="center" w:tblpY="407"/>
        <w:tblOverlap w:val="never"/>
        <w:tblW w:w="10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588"/>
        <w:gridCol w:w="1394"/>
        <w:gridCol w:w="2076"/>
        <w:gridCol w:w="1644"/>
        <w:gridCol w:w="1571"/>
        <w:gridCol w:w="1516"/>
      </w:tblGrid>
      <w:tr w14:paraId="41B5C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822" w:type="dxa"/>
            <w:noWrap/>
            <w:vAlign w:val="center"/>
          </w:tcPr>
          <w:p w14:paraId="79EEB5AA">
            <w:pPr>
              <w:autoSpaceDE w:val="0"/>
              <w:autoSpaceDN w:val="0"/>
              <w:spacing w:line="360" w:lineRule="auto"/>
              <w:jc w:val="center"/>
              <w:rPr>
                <w:rFonts w:hint="eastAsia" w:ascii="宋体" w:hAnsi="宋体" w:eastAsia="宋体" w:cs="宋体"/>
                <w:color w:val="000000"/>
                <w:sz w:val="24"/>
                <w:szCs w:val="24"/>
              </w:rPr>
            </w:pPr>
            <w:bookmarkStart w:id="10" w:name="_Hlk46244199"/>
            <w:r>
              <w:rPr>
                <w:rFonts w:hint="eastAsia" w:ascii="宋体" w:hAnsi="宋体" w:eastAsia="宋体" w:cs="宋体"/>
                <w:color w:val="000000"/>
                <w:sz w:val="24"/>
                <w:szCs w:val="24"/>
              </w:rPr>
              <w:t>序号</w:t>
            </w:r>
          </w:p>
        </w:tc>
        <w:tc>
          <w:tcPr>
            <w:tcW w:w="1588" w:type="dxa"/>
            <w:noWrap/>
            <w:vAlign w:val="center"/>
          </w:tcPr>
          <w:p w14:paraId="67737AFD">
            <w:pPr>
              <w:autoSpaceDE w:val="0"/>
              <w:autoSpaceDN w:val="0"/>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产品</w:t>
            </w:r>
            <w:r>
              <w:rPr>
                <w:rFonts w:hint="eastAsia" w:ascii="宋体" w:hAnsi="宋体" w:eastAsia="宋体" w:cs="宋体"/>
                <w:color w:val="000000"/>
                <w:sz w:val="24"/>
                <w:szCs w:val="24"/>
              </w:rPr>
              <w:t>名称</w:t>
            </w:r>
          </w:p>
        </w:tc>
        <w:tc>
          <w:tcPr>
            <w:tcW w:w="1394" w:type="dxa"/>
            <w:noWrap/>
            <w:vAlign w:val="center"/>
          </w:tcPr>
          <w:p w14:paraId="5F78B90C">
            <w:pPr>
              <w:autoSpaceDE w:val="0"/>
              <w:autoSpaceDN w:val="0"/>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规格/型号</w:t>
            </w:r>
          </w:p>
        </w:tc>
        <w:tc>
          <w:tcPr>
            <w:tcW w:w="2076" w:type="dxa"/>
            <w:noWrap/>
            <w:vAlign w:val="center"/>
          </w:tcPr>
          <w:p w14:paraId="33EE4C64">
            <w:pPr>
              <w:autoSpaceDE w:val="0"/>
              <w:autoSpaceDN w:val="0"/>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生产企业名称</w:t>
            </w:r>
          </w:p>
        </w:tc>
        <w:tc>
          <w:tcPr>
            <w:tcW w:w="1644" w:type="dxa"/>
            <w:noWrap/>
            <w:vAlign w:val="center"/>
          </w:tcPr>
          <w:p w14:paraId="44544981">
            <w:pPr>
              <w:autoSpaceDE w:val="0"/>
              <w:autoSpaceDN w:val="0"/>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注册证号</w:t>
            </w:r>
          </w:p>
        </w:tc>
        <w:tc>
          <w:tcPr>
            <w:tcW w:w="1571" w:type="dxa"/>
            <w:noWrap/>
            <w:vAlign w:val="center"/>
          </w:tcPr>
          <w:p w14:paraId="0BF4D6F7">
            <w:pPr>
              <w:autoSpaceDE w:val="0"/>
              <w:autoSpaceDN w:val="0"/>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包装规格</w:t>
            </w:r>
          </w:p>
        </w:tc>
        <w:tc>
          <w:tcPr>
            <w:tcW w:w="1516" w:type="dxa"/>
            <w:noWrap/>
            <w:vAlign w:val="center"/>
          </w:tcPr>
          <w:p w14:paraId="591EC2C5">
            <w:pPr>
              <w:autoSpaceDE w:val="0"/>
              <w:autoSpaceDN w:val="0"/>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合同单价</w:t>
            </w:r>
          </w:p>
          <w:p w14:paraId="3C9E4CD5">
            <w:pPr>
              <w:autoSpaceDE w:val="0"/>
              <w:autoSpaceDN w:val="0"/>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（元/</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w:t>
            </w:r>
          </w:p>
        </w:tc>
      </w:tr>
      <w:tr w14:paraId="72ECA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dxa"/>
            <w:noWrap/>
            <w:vAlign w:val="center"/>
          </w:tcPr>
          <w:p w14:paraId="65DCA165">
            <w:pPr>
              <w:autoSpaceDE w:val="0"/>
              <w:autoSpaceDN w:val="0"/>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1588" w:type="dxa"/>
            <w:noWrap/>
            <w:vAlign w:val="center"/>
          </w:tcPr>
          <w:p w14:paraId="46E3EB5E">
            <w:pPr>
              <w:autoSpaceDE w:val="0"/>
              <w:autoSpaceDN w:val="0"/>
              <w:spacing w:line="360" w:lineRule="auto"/>
              <w:jc w:val="center"/>
              <w:rPr>
                <w:rFonts w:hint="default" w:ascii="宋体" w:hAnsi="宋体" w:eastAsia="宋体" w:cs="宋体"/>
                <w:color w:val="000000"/>
                <w:sz w:val="24"/>
                <w:szCs w:val="24"/>
                <w:lang w:val="en-US" w:eastAsia="zh-CN"/>
              </w:rPr>
            </w:pPr>
          </w:p>
        </w:tc>
        <w:tc>
          <w:tcPr>
            <w:tcW w:w="1394" w:type="dxa"/>
            <w:noWrap/>
            <w:vAlign w:val="center"/>
          </w:tcPr>
          <w:p w14:paraId="4BAD3766">
            <w:pPr>
              <w:autoSpaceDE w:val="0"/>
              <w:autoSpaceDN w:val="0"/>
              <w:spacing w:line="360" w:lineRule="auto"/>
              <w:jc w:val="center"/>
              <w:rPr>
                <w:rFonts w:hint="default" w:ascii="宋体" w:hAnsi="宋体" w:eastAsia="宋体" w:cs="宋体"/>
                <w:color w:val="000000"/>
                <w:sz w:val="24"/>
                <w:szCs w:val="24"/>
                <w:lang w:val="en-US" w:eastAsia="zh-CN"/>
              </w:rPr>
            </w:pPr>
          </w:p>
        </w:tc>
        <w:tc>
          <w:tcPr>
            <w:tcW w:w="2076" w:type="dxa"/>
            <w:noWrap/>
            <w:vAlign w:val="center"/>
          </w:tcPr>
          <w:p w14:paraId="46ABBDE5">
            <w:pPr>
              <w:autoSpaceDE w:val="0"/>
              <w:autoSpaceDN w:val="0"/>
              <w:spacing w:line="360" w:lineRule="auto"/>
              <w:jc w:val="center"/>
              <w:rPr>
                <w:rFonts w:hint="default" w:ascii="宋体" w:hAnsi="宋体" w:eastAsia="宋体" w:cs="宋体"/>
                <w:color w:val="000000"/>
                <w:sz w:val="24"/>
                <w:szCs w:val="24"/>
                <w:lang w:val="en-US" w:eastAsia="zh-CN"/>
              </w:rPr>
            </w:pPr>
          </w:p>
        </w:tc>
        <w:tc>
          <w:tcPr>
            <w:tcW w:w="1644" w:type="dxa"/>
            <w:noWrap/>
            <w:vAlign w:val="center"/>
          </w:tcPr>
          <w:p w14:paraId="4D2FEAC4">
            <w:pPr>
              <w:autoSpaceDE w:val="0"/>
              <w:autoSpaceDN w:val="0"/>
              <w:spacing w:line="360" w:lineRule="auto"/>
              <w:jc w:val="center"/>
              <w:rPr>
                <w:rFonts w:hint="default" w:ascii="宋体" w:hAnsi="宋体" w:eastAsia="宋体" w:cs="宋体"/>
                <w:color w:val="000000"/>
                <w:sz w:val="24"/>
                <w:szCs w:val="24"/>
                <w:lang w:val="en-US" w:eastAsia="zh-CN"/>
              </w:rPr>
            </w:pPr>
          </w:p>
        </w:tc>
        <w:tc>
          <w:tcPr>
            <w:tcW w:w="1571" w:type="dxa"/>
            <w:noWrap/>
            <w:vAlign w:val="center"/>
          </w:tcPr>
          <w:p w14:paraId="5CC379B5">
            <w:pPr>
              <w:autoSpaceDE w:val="0"/>
              <w:autoSpaceDN w:val="0"/>
              <w:spacing w:line="360" w:lineRule="auto"/>
              <w:jc w:val="center"/>
              <w:rPr>
                <w:rFonts w:hint="default" w:ascii="宋体" w:hAnsi="宋体" w:eastAsia="宋体" w:cs="宋体"/>
                <w:color w:val="000000"/>
                <w:sz w:val="24"/>
                <w:szCs w:val="24"/>
                <w:lang w:val="en-US" w:eastAsia="zh-CN"/>
              </w:rPr>
            </w:pPr>
          </w:p>
        </w:tc>
        <w:tc>
          <w:tcPr>
            <w:tcW w:w="1516" w:type="dxa"/>
            <w:noWrap/>
            <w:vAlign w:val="center"/>
          </w:tcPr>
          <w:p w14:paraId="3AE6B985">
            <w:pPr>
              <w:autoSpaceDE w:val="0"/>
              <w:autoSpaceDN w:val="0"/>
              <w:spacing w:line="360" w:lineRule="auto"/>
              <w:jc w:val="center"/>
              <w:rPr>
                <w:rFonts w:hint="default" w:ascii="宋体" w:hAnsi="宋体" w:eastAsia="宋体" w:cs="宋体"/>
                <w:color w:val="000000"/>
                <w:sz w:val="24"/>
                <w:szCs w:val="24"/>
                <w:lang w:val="en-US" w:eastAsia="zh-CN"/>
              </w:rPr>
            </w:pPr>
          </w:p>
        </w:tc>
      </w:tr>
    </w:tbl>
    <w:p w14:paraId="5DE95DC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2.2前款约定的合同单价含税费、运输费、包装费、保险费、装卸费及其他一切费用。</w:t>
      </w:r>
    </w:p>
    <w:p w14:paraId="5CDC415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w:t>
      </w:r>
      <w:r>
        <w:rPr>
          <w:rFonts w:hint="eastAsia" w:ascii="宋体" w:hAnsi="宋体" w:eastAsia="宋体" w:cs="宋体"/>
          <w:bCs/>
          <w:sz w:val="24"/>
          <w:szCs w:val="24"/>
        </w:rPr>
        <w:t>乙方对所供产品的质量负全责，在质保期内有任何质量问题，乙方在接到甲方通报后必须无条件予以退换</w:t>
      </w:r>
      <w:r>
        <w:rPr>
          <w:rFonts w:hint="eastAsia" w:ascii="宋体" w:hAnsi="宋体" w:eastAsia="宋体" w:cs="宋体"/>
          <w:sz w:val="24"/>
          <w:szCs w:val="24"/>
        </w:rPr>
        <w:t>。</w:t>
      </w:r>
      <w:bookmarkEnd w:id="10"/>
    </w:p>
    <w:p w14:paraId="33FD08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2.4乙方供应的上表所列每一件产品的剩余有效期，在交付时应占该产品法定有效期的三分之二以上，否则视为验收不合格，甲方有权拒绝接受并退回，乙方应当重新提供。</w:t>
      </w:r>
    </w:p>
    <w:p w14:paraId="2B6D95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2.5 乙方需提供医用耗材的备货服务，乙方按甲方要求提供耗材在甲方处备货。</w:t>
      </w:r>
    </w:p>
    <w:p w14:paraId="2473D402">
      <w:pPr>
        <w:spacing w:line="360" w:lineRule="auto"/>
        <w:ind w:firstLine="480" w:firstLineChars="200"/>
        <w:rPr>
          <w:rFonts w:hint="default"/>
          <w:lang w:val="en-US" w:eastAsia="zh-CN"/>
        </w:rPr>
      </w:pPr>
      <w:r>
        <w:rPr>
          <w:rFonts w:hint="eastAsia" w:ascii="宋体" w:hAnsi="宋体" w:eastAsia="宋体" w:cs="宋体"/>
          <w:sz w:val="24"/>
          <w:szCs w:val="24"/>
        </w:rPr>
        <w:t>2.6甲方采购的产品全部验收合格，办理入库手续后，乙方向甲方开具本合同2.1项约定单价及实际供货数量所对应的合同总价款全额的增值税发票，提供与本合同相符的货物清单、其他必须的单证后，</w:t>
      </w:r>
      <w:r>
        <w:rPr>
          <w:rFonts w:hint="eastAsia" w:ascii="宋体" w:hAnsi="宋体" w:eastAsia="宋体" w:cs="宋体"/>
          <w:sz w:val="24"/>
          <w:szCs w:val="24"/>
          <w:highlight w:val="none"/>
          <w:lang w:val="en-US" w:eastAsia="zh-CN"/>
        </w:rPr>
        <w:t>甲方按医院耗材付款规定支付</w:t>
      </w:r>
      <w:r>
        <w:rPr>
          <w:rFonts w:hint="eastAsia" w:ascii="宋体" w:hAnsi="宋体" w:cs="宋体"/>
          <w:sz w:val="24"/>
          <w:szCs w:val="24"/>
          <w:highlight w:val="none"/>
          <w:lang w:val="en-US" w:eastAsia="zh-CN"/>
        </w:rPr>
        <w:t>货</w:t>
      </w:r>
      <w:r>
        <w:rPr>
          <w:rFonts w:hint="eastAsia" w:ascii="宋体" w:hAnsi="宋体" w:eastAsia="宋体" w:cs="宋体"/>
          <w:sz w:val="24"/>
          <w:szCs w:val="24"/>
          <w:highlight w:val="none"/>
          <w:lang w:val="en-US" w:eastAsia="zh-CN"/>
        </w:rPr>
        <w:t>款</w:t>
      </w:r>
      <w:r>
        <w:rPr>
          <w:rFonts w:hint="eastAsia" w:ascii="宋体" w:hAnsi="宋体" w:cs="宋体"/>
          <w:sz w:val="24"/>
          <w:szCs w:val="24"/>
          <w:highlight w:val="none"/>
          <w:lang w:val="en-US" w:eastAsia="zh-CN"/>
        </w:rPr>
        <w:t>。</w:t>
      </w:r>
      <w:r>
        <w:rPr>
          <w:rFonts w:hint="eastAsia" w:ascii="宋体" w:hAnsi="宋体" w:cs="宋体"/>
          <w:sz w:val="24"/>
          <w:szCs w:val="24"/>
          <w:lang w:val="en-US" w:eastAsia="zh-CN"/>
        </w:rPr>
        <w:t>甲乙双方商定，甲方可以现金汇款、转账、银行承兑汇票等任一方式向乙方支付上述医疗耗材货款。</w:t>
      </w:r>
    </w:p>
    <w:p w14:paraId="24CA3B3D">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第三条 :技术标准 </w:t>
      </w:r>
    </w:p>
    <w:p w14:paraId="5EE95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项下所供产品的技术标准应与本招标文件规定的标准一致。所供产品（包括其包装）应符合国家颁布且在本合同履行期间实施的标准，若没有国家标准则适用部颁标准，若没有部颁标准则适用行业标准。国家法律、法规对本合同项下所供产品的质量、技术、安全等有强制性规定的，在满足前述标准的情况下，还应当符合强制性规定的要求。</w:t>
      </w:r>
    </w:p>
    <w:p w14:paraId="08A9BB17">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第四条:规格及包装 </w:t>
      </w:r>
    </w:p>
    <w:p w14:paraId="6C3441D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4.1乙方交付产品的名称、编码、规格、型号、生产国、生产地、厂家名称、注册证号、执行标准等应与本合同、投标文件、中标通知书相一致。</w:t>
      </w:r>
    </w:p>
    <w:p w14:paraId="417ABBC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4.2计量、数量单位应使用国家通用的计量、数量单位，乙方企业自行制订的计量、数量标准不适用本合同。</w:t>
      </w:r>
    </w:p>
    <w:p w14:paraId="1D4127D8">
      <w:pPr>
        <w:spacing w:line="360" w:lineRule="auto"/>
        <w:ind w:firstLine="480" w:firstLineChars="200"/>
        <w:rPr>
          <w:rFonts w:hint="eastAsia" w:ascii="宋体" w:hAnsi="宋体" w:eastAsia="宋体" w:cs="宋体"/>
          <w:sz w:val="24"/>
          <w:szCs w:val="24"/>
        </w:rPr>
      </w:pPr>
      <w:bookmarkStart w:id="11" w:name="_Hlk46244433"/>
      <w:r>
        <w:rPr>
          <w:rFonts w:hint="eastAsia" w:ascii="宋体" w:hAnsi="宋体" w:eastAsia="宋体" w:cs="宋体"/>
          <w:sz w:val="24"/>
          <w:szCs w:val="24"/>
        </w:rPr>
        <w:t>4.3包装物不计价、不回收，需要冷链供应的医疗器械、耗材，乙方应当采用冷链供应，费用由乙方承担。</w:t>
      </w:r>
      <w:bookmarkEnd w:id="11"/>
    </w:p>
    <w:p w14:paraId="3960E5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4.4 乙方提供的全部产品均应按标准保护措施进行包装。医用耗材应使用原厂包装物并必须符合国家有关规定，原厂包装必须完好，不得有破损、污染、拆封、二次封装的情形；乙方提供的全部医用耗材均应提供适当额外的保护性包装，以防止医用耗材在转运中损坏或变质，包装应能够适应远距离传输、防潮、防震、防变质、防野蛮装卸，以确保医用耗材安全无损运抵甲方指定地点，额外包装乙方不得另行收费。</w:t>
      </w:r>
    </w:p>
    <w:p w14:paraId="359CC083">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第五条:交货及验收 </w:t>
      </w:r>
    </w:p>
    <w:p w14:paraId="781186D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5.1乙方应在甲方通知供货后3日内送达甲方指定地点，紧急用产品需24小时内送达甲方指定地点。</w:t>
      </w:r>
    </w:p>
    <w:p w14:paraId="69E0C04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5.2乙方负责办理运输和保险，将货物运抵甲方住所地，有关运输和保险的一切费用由乙方承担。</w:t>
      </w:r>
    </w:p>
    <w:p w14:paraId="41F56B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5.3所有货物运抵甲方收货地点（住所地）并以甲方验收合格并办理入库手续后的日期为交货日期。货物验收合格并办理入库手续后，所有权转移至甲方；所有权转移前，货物发生毁损、灭失的风险由乙方承担。</w:t>
      </w:r>
    </w:p>
    <w:p w14:paraId="1E06AF6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乙方应在所有货物运抵甲方收货地点后3日内前来配合甲方共同办理货物入库手续，否则即视为乙方违约。乙方逾期或拒绝配合办理入库手续的，甲方有权从合同应付款中按照5000元/天的标准扣除违约金。</w:t>
      </w:r>
    </w:p>
    <w:p w14:paraId="0A183ED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5.4验收不合格或者甲方在使用中发现产品与合同约定不符的，甲方有权拒收或退回乙方，由甲方决定乙方是否需重新提供符合的产品，退换货的费用由乙方承担，甲方有权拒付不符合合同规定部分的货款。乙方如有异议，应在十日内向甲方提出书面异议，并提供相关证明。</w:t>
      </w:r>
    </w:p>
    <w:p w14:paraId="5544D9AC">
      <w:pPr>
        <w:spacing w:line="360" w:lineRule="auto"/>
        <w:ind w:firstLine="480" w:firstLineChars="200"/>
        <w:rPr>
          <w:rFonts w:hint="eastAsia" w:ascii="宋体" w:hAnsi="宋体" w:eastAsia="宋体" w:cs="宋体"/>
          <w:color w:val="000000"/>
          <w:sz w:val="24"/>
          <w:szCs w:val="24"/>
        </w:rPr>
      </w:pPr>
      <w:bookmarkStart w:id="12" w:name="_Hlk46244720"/>
      <w:r>
        <w:rPr>
          <w:rFonts w:hint="eastAsia" w:ascii="宋体" w:hAnsi="宋体" w:eastAsia="宋体" w:cs="宋体"/>
          <w:sz w:val="24"/>
          <w:szCs w:val="24"/>
        </w:rPr>
        <w:t>5.5甲方向乙方采购的耗材，</w:t>
      </w:r>
      <w:r>
        <w:rPr>
          <w:rFonts w:hint="eastAsia" w:ascii="宋体" w:hAnsi="宋体" w:eastAsia="宋体" w:cs="宋体"/>
          <w:sz w:val="24"/>
          <w:szCs w:val="24"/>
          <w:lang w:eastAsia="zh-CN"/>
        </w:rPr>
        <w:t>库存耗材在</w:t>
      </w:r>
      <w:r>
        <w:rPr>
          <w:rFonts w:hint="eastAsia" w:ascii="宋体" w:hAnsi="宋体" w:eastAsia="宋体" w:cs="宋体"/>
          <w:sz w:val="24"/>
          <w:szCs w:val="24"/>
        </w:rPr>
        <w:t>有效期满</w:t>
      </w:r>
      <w:r>
        <w:rPr>
          <w:rFonts w:hint="eastAsia" w:ascii="宋体" w:hAnsi="宋体" w:eastAsia="宋体" w:cs="宋体"/>
          <w:sz w:val="24"/>
          <w:szCs w:val="24"/>
          <w:lang w:eastAsia="zh-CN"/>
        </w:rPr>
        <w:t>前一个月，甲方通知乙方后</w:t>
      </w:r>
      <w:r>
        <w:rPr>
          <w:rFonts w:hint="eastAsia" w:ascii="宋体" w:hAnsi="宋体" w:eastAsia="宋体" w:cs="宋体"/>
          <w:sz w:val="24"/>
          <w:szCs w:val="24"/>
        </w:rPr>
        <w:t>，乙方</w:t>
      </w:r>
      <w:r>
        <w:rPr>
          <w:rFonts w:hint="eastAsia" w:ascii="宋体" w:hAnsi="宋体" w:eastAsia="宋体" w:cs="宋体"/>
          <w:sz w:val="24"/>
          <w:szCs w:val="24"/>
          <w:lang w:eastAsia="zh-CN"/>
        </w:rPr>
        <w:t>须</w:t>
      </w:r>
      <w:r>
        <w:rPr>
          <w:rFonts w:hint="eastAsia" w:ascii="宋体" w:hAnsi="宋体" w:eastAsia="宋体" w:cs="宋体"/>
          <w:sz w:val="24"/>
          <w:szCs w:val="24"/>
        </w:rPr>
        <w:t>对</w:t>
      </w:r>
      <w:r>
        <w:rPr>
          <w:rFonts w:hint="eastAsia" w:ascii="宋体" w:hAnsi="宋体" w:eastAsia="宋体" w:cs="宋体"/>
          <w:sz w:val="24"/>
          <w:szCs w:val="24"/>
          <w:lang w:eastAsia="zh-CN"/>
        </w:rPr>
        <w:t>其免费</w:t>
      </w:r>
      <w:r>
        <w:rPr>
          <w:rFonts w:hint="eastAsia" w:ascii="宋体" w:hAnsi="宋体" w:eastAsia="宋体" w:cs="宋体"/>
          <w:sz w:val="24"/>
          <w:szCs w:val="24"/>
        </w:rPr>
        <w:t>进行调换更新。</w:t>
      </w:r>
    </w:p>
    <w:p w14:paraId="6C3BF1B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5.6 验收时乙方应向甲方提供产品的合法有效的质量合格证明文件、进口证明文件、完税证明文件、运输及存储单据等，否则甲方可认定验收不合格。</w:t>
      </w:r>
      <w:bookmarkEnd w:id="12"/>
    </w:p>
    <w:p w14:paraId="3E38E764">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第六条：服务与保证</w:t>
      </w:r>
    </w:p>
    <w:p w14:paraId="4D92DEBE">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6.1甲方开箱</w:t>
      </w:r>
      <w:r>
        <w:rPr>
          <w:rFonts w:hint="eastAsia" w:ascii="宋体" w:hAnsi="宋体" w:eastAsia="宋体" w:cs="宋体"/>
          <w:sz w:val="24"/>
          <w:szCs w:val="24"/>
          <w:lang w:eastAsia="zh-CN"/>
        </w:rPr>
        <w:t>使用</w:t>
      </w:r>
      <w:r>
        <w:rPr>
          <w:rFonts w:hint="eastAsia" w:ascii="宋体" w:hAnsi="宋体" w:eastAsia="宋体" w:cs="宋体"/>
          <w:sz w:val="24"/>
          <w:szCs w:val="24"/>
        </w:rPr>
        <w:t>时发现</w:t>
      </w:r>
      <w:r>
        <w:rPr>
          <w:rFonts w:hint="eastAsia" w:ascii="宋体" w:hAnsi="宋体" w:eastAsia="宋体" w:cs="宋体"/>
          <w:sz w:val="24"/>
          <w:szCs w:val="24"/>
          <w:lang w:eastAsia="zh-CN"/>
        </w:rPr>
        <w:t>产品</w:t>
      </w:r>
      <w:r>
        <w:rPr>
          <w:rFonts w:hint="eastAsia" w:ascii="宋体" w:hAnsi="宋体" w:eastAsia="宋体" w:cs="宋体"/>
          <w:sz w:val="24"/>
          <w:szCs w:val="24"/>
        </w:rPr>
        <w:t>破损、失效</w:t>
      </w:r>
      <w:r>
        <w:rPr>
          <w:rFonts w:hint="eastAsia" w:ascii="宋体" w:hAnsi="宋体" w:eastAsia="宋体" w:cs="宋体"/>
          <w:sz w:val="24"/>
          <w:szCs w:val="24"/>
          <w:lang w:eastAsia="zh-CN"/>
        </w:rPr>
        <w:t>、数量不足</w:t>
      </w:r>
      <w:r>
        <w:rPr>
          <w:rFonts w:hint="eastAsia" w:ascii="宋体" w:hAnsi="宋体" w:eastAsia="宋体" w:cs="宋体"/>
          <w:sz w:val="24"/>
          <w:szCs w:val="24"/>
        </w:rPr>
        <w:t>或其他不合格</w:t>
      </w:r>
      <w:r>
        <w:rPr>
          <w:rFonts w:hint="eastAsia" w:ascii="宋体" w:hAnsi="宋体" w:eastAsia="宋体" w:cs="宋体"/>
          <w:sz w:val="24"/>
          <w:szCs w:val="24"/>
          <w:lang w:eastAsia="zh-CN"/>
        </w:rPr>
        <w:t>情形的</w:t>
      </w:r>
      <w:r>
        <w:rPr>
          <w:rFonts w:hint="eastAsia" w:ascii="宋体" w:hAnsi="宋体" w:eastAsia="宋体" w:cs="宋体"/>
          <w:sz w:val="24"/>
          <w:szCs w:val="24"/>
        </w:rPr>
        <w:t>，乙方应无条件及时更换</w:t>
      </w:r>
      <w:r>
        <w:rPr>
          <w:rFonts w:hint="eastAsia" w:ascii="宋体" w:hAnsi="宋体" w:eastAsia="宋体" w:cs="宋体"/>
          <w:sz w:val="24"/>
          <w:szCs w:val="24"/>
          <w:lang w:eastAsia="zh-CN"/>
        </w:rPr>
        <w:t>或补足产品</w:t>
      </w:r>
      <w:r>
        <w:rPr>
          <w:rFonts w:hint="eastAsia" w:ascii="宋体" w:hAnsi="宋体" w:eastAsia="宋体" w:cs="宋体"/>
          <w:sz w:val="24"/>
          <w:szCs w:val="24"/>
        </w:rPr>
        <w:t>。</w:t>
      </w:r>
    </w:p>
    <w:p w14:paraId="2E46D7B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6.2乙方应具备解决紧急问题的能力，例如甲方在使用货物的过程中发现问题，乙方应及时到甲方现场解决。</w:t>
      </w:r>
    </w:p>
    <w:p w14:paraId="4BD4F51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6.3甲方与乙方在履行本合同过程中，乙方不得以任何形式向甲方工作人员或科室提供回扣、佣金或者有价证券，以及其他能够以金钱利益评价或者计算的商业行为等影响交易的正常进行。</w:t>
      </w:r>
    </w:p>
    <w:p w14:paraId="5AA75EF5">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第七条：质量及安全约定</w:t>
      </w:r>
    </w:p>
    <w:p w14:paraId="48C45B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7.1乙方交付的产品</w:t>
      </w:r>
      <w:r>
        <w:rPr>
          <w:rFonts w:hint="eastAsia" w:ascii="宋体" w:hAnsi="宋体" w:eastAsia="宋体" w:cs="宋体"/>
          <w:sz w:val="24"/>
          <w:szCs w:val="24"/>
          <w:lang w:val="en-US" w:eastAsia="zh-CN"/>
        </w:rPr>
        <w:t>应是全新的、未使用过的，符合</w:t>
      </w:r>
      <w:r>
        <w:rPr>
          <w:rFonts w:hint="eastAsia" w:ascii="宋体" w:hAnsi="宋体" w:eastAsia="宋体" w:cs="宋体"/>
          <w:sz w:val="24"/>
          <w:szCs w:val="24"/>
        </w:rPr>
        <w:t>《医疗器械监督管理条例》</w:t>
      </w:r>
      <w:r>
        <w:rPr>
          <w:rFonts w:hint="eastAsia" w:ascii="宋体" w:hAnsi="宋体" w:eastAsia="宋体" w:cs="宋体"/>
          <w:sz w:val="24"/>
          <w:szCs w:val="24"/>
          <w:lang w:eastAsia="zh-CN"/>
        </w:rPr>
        <w:t>和</w:t>
      </w:r>
      <w:r>
        <w:rPr>
          <w:rFonts w:hint="eastAsia" w:ascii="宋体" w:hAnsi="宋体" w:eastAsia="宋体" w:cs="宋体"/>
          <w:sz w:val="24"/>
          <w:szCs w:val="24"/>
        </w:rPr>
        <w:t>《消毒管理办法》规定的</w:t>
      </w:r>
      <w:r>
        <w:rPr>
          <w:rFonts w:hint="eastAsia" w:ascii="宋体" w:hAnsi="宋体" w:eastAsia="宋体" w:cs="宋体"/>
          <w:sz w:val="24"/>
          <w:szCs w:val="24"/>
          <w:lang w:eastAsia="zh-CN"/>
        </w:rPr>
        <w:t>合格</w:t>
      </w:r>
      <w:r>
        <w:rPr>
          <w:rFonts w:hint="eastAsia" w:ascii="宋体" w:hAnsi="宋体" w:eastAsia="宋体" w:cs="宋体"/>
          <w:sz w:val="24"/>
          <w:szCs w:val="24"/>
        </w:rPr>
        <w:t>产品</w:t>
      </w:r>
      <w:r>
        <w:rPr>
          <w:rFonts w:hint="eastAsia" w:ascii="宋体" w:hAnsi="宋体" w:eastAsia="宋体" w:cs="宋体"/>
          <w:sz w:val="24"/>
          <w:szCs w:val="24"/>
          <w:lang w:eastAsia="zh-CN"/>
        </w:rPr>
        <w:t>。乙方交付的产品</w:t>
      </w:r>
      <w:r>
        <w:rPr>
          <w:rFonts w:hint="eastAsia" w:ascii="宋体" w:hAnsi="宋体" w:eastAsia="宋体" w:cs="宋体"/>
          <w:sz w:val="24"/>
          <w:szCs w:val="24"/>
        </w:rPr>
        <w:t>质量应符合国家的相应标准，并与</w:t>
      </w:r>
      <w:r>
        <w:rPr>
          <w:rFonts w:hint="eastAsia" w:ascii="宋体" w:hAnsi="宋体" w:eastAsia="宋体" w:cs="宋体"/>
          <w:sz w:val="24"/>
          <w:szCs w:val="24"/>
          <w:lang w:eastAsia="zh-CN"/>
        </w:rPr>
        <w:t>其</w:t>
      </w:r>
      <w:r>
        <w:rPr>
          <w:rFonts w:hint="eastAsia" w:ascii="宋体" w:hAnsi="宋体" w:eastAsia="宋体" w:cs="宋体"/>
          <w:sz w:val="24"/>
          <w:szCs w:val="24"/>
        </w:rPr>
        <w:t>投标时</w:t>
      </w:r>
      <w:r>
        <w:rPr>
          <w:rFonts w:hint="eastAsia" w:ascii="宋体" w:hAnsi="宋体" w:eastAsia="宋体" w:cs="宋体"/>
          <w:sz w:val="24"/>
          <w:szCs w:val="24"/>
          <w:lang w:eastAsia="zh-CN"/>
        </w:rPr>
        <w:t>投标文件中及其它</w:t>
      </w:r>
      <w:r>
        <w:rPr>
          <w:rFonts w:hint="eastAsia" w:ascii="宋体" w:hAnsi="宋体" w:eastAsia="宋体" w:cs="宋体"/>
          <w:sz w:val="24"/>
          <w:szCs w:val="24"/>
        </w:rPr>
        <w:t>承诺的质量一致，以确保</w:t>
      </w:r>
      <w:r>
        <w:rPr>
          <w:rFonts w:hint="eastAsia" w:ascii="宋体" w:hAnsi="宋体" w:eastAsia="宋体" w:cs="宋体"/>
          <w:sz w:val="24"/>
          <w:szCs w:val="24"/>
          <w:lang w:eastAsia="zh-CN"/>
        </w:rPr>
        <w:t>甲方</w:t>
      </w:r>
      <w:r>
        <w:rPr>
          <w:rFonts w:hint="eastAsia" w:ascii="宋体" w:hAnsi="宋体" w:eastAsia="宋体" w:cs="宋体"/>
          <w:sz w:val="24"/>
          <w:szCs w:val="24"/>
        </w:rPr>
        <w:t>临床使用安全。 </w:t>
      </w:r>
    </w:p>
    <w:p w14:paraId="25974F8C">
      <w:pPr>
        <w:spacing w:line="360" w:lineRule="auto"/>
        <w:ind w:firstLine="300"/>
        <w:rPr>
          <w:rFonts w:hint="eastAsia" w:ascii="宋体" w:hAnsi="宋体" w:eastAsia="宋体" w:cs="宋体"/>
          <w:sz w:val="24"/>
          <w:szCs w:val="24"/>
        </w:rPr>
      </w:pPr>
      <w:r>
        <w:rPr>
          <w:rFonts w:hint="eastAsia" w:ascii="宋体" w:hAnsi="宋体" w:eastAsia="宋体" w:cs="宋体"/>
          <w:sz w:val="24"/>
          <w:szCs w:val="24"/>
        </w:rPr>
        <w:t>7.2如果乙方提供的医用耗材因质量问题或者设计瑕疵/运输瑕疵，在甲方使用过程中造成的一切不良后果或医疗纠纷均由乙方承担赔偿或者补偿责任，如果患者向甲方主张权利，在甲方承担赔偿或补偿责任后，甲方有权向乙方追偿，乙方同意承担全部责</w:t>
      </w:r>
      <w:r>
        <w:rPr>
          <w:rFonts w:hint="eastAsia" w:ascii="宋体" w:hAnsi="宋体" w:eastAsia="宋体" w:cs="宋体"/>
          <w:sz w:val="24"/>
          <w:szCs w:val="24"/>
          <w:highlight w:val="none"/>
        </w:rPr>
        <w:t>任（</w:t>
      </w:r>
      <w:r>
        <w:rPr>
          <w:rFonts w:hint="eastAsia" w:ascii="宋体" w:hAnsi="宋体" w:eastAsia="宋体" w:cs="宋体"/>
          <w:sz w:val="24"/>
          <w:szCs w:val="24"/>
          <w:highlight w:val="none"/>
          <w:lang w:val="en-US" w:eastAsia="zh-CN"/>
        </w:rPr>
        <w:t>产品</w:t>
      </w:r>
      <w:r>
        <w:rPr>
          <w:rFonts w:hint="eastAsia" w:ascii="宋体" w:hAnsi="宋体" w:eastAsia="宋体" w:cs="宋体"/>
          <w:sz w:val="24"/>
          <w:szCs w:val="24"/>
          <w:highlight w:val="none"/>
        </w:rPr>
        <w:t>检</w:t>
      </w:r>
      <w:r>
        <w:rPr>
          <w:rFonts w:hint="eastAsia" w:ascii="宋体" w:hAnsi="宋体" w:eastAsia="宋体" w:cs="宋体"/>
          <w:sz w:val="24"/>
          <w:szCs w:val="24"/>
        </w:rPr>
        <w:t>验结果以省级及以上质量监管部门鉴定报告为准，若经相关省级及以上医疗主管部门鉴定为因产品质量问题所导致的纠纷，均由乙方负责）。</w:t>
      </w:r>
    </w:p>
    <w:p w14:paraId="0920730E">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7.3乙方提供的产品如果遇国家新的标准出台并实施，应以国家最新标准执行，已交付的应及时无条件更新或更换。</w:t>
      </w:r>
    </w:p>
    <w:p w14:paraId="25CFAF3E">
      <w:pPr>
        <w:spacing w:line="360" w:lineRule="auto"/>
        <w:ind w:firstLine="480" w:firstLineChars="200"/>
        <w:rPr>
          <w:rFonts w:hint="eastAsia" w:ascii="宋体" w:hAnsi="宋体" w:eastAsia="宋体" w:cs="宋体"/>
          <w:sz w:val="24"/>
          <w:szCs w:val="24"/>
        </w:rPr>
      </w:pPr>
      <w:bookmarkStart w:id="13" w:name="_Hlk46244847"/>
      <w:r>
        <w:rPr>
          <w:rFonts w:hint="eastAsia" w:ascii="宋体" w:hAnsi="宋体" w:eastAsia="宋体" w:cs="宋体"/>
          <w:sz w:val="24"/>
          <w:szCs w:val="24"/>
        </w:rPr>
        <w:t>7.4乙方保证所提供的</w:t>
      </w:r>
      <w:r>
        <w:rPr>
          <w:rFonts w:hint="eastAsia" w:ascii="宋体" w:hAnsi="宋体" w:eastAsia="宋体" w:cs="宋体"/>
          <w:sz w:val="24"/>
          <w:szCs w:val="24"/>
          <w:lang w:eastAsia="zh-CN"/>
        </w:rPr>
        <w:t>产品</w:t>
      </w:r>
      <w:r>
        <w:rPr>
          <w:rFonts w:hint="eastAsia" w:ascii="宋体" w:hAnsi="宋体" w:eastAsia="宋体" w:cs="宋体"/>
          <w:sz w:val="24"/>
          <w:szCs w:val="24"/>
        </w:rPr>
        <w:t>来源合法，并已经国家相关机构或部门检验/认证，如果属于国外进口产品</w:t>
      </w:r>
      <w:r>
        <w:rPr>
          <w:rFonts w:hint="eastAsia" w:ascii="宋体" w:hAnsi="宋体" w:eastAsia="宋体" w:cs="宋体"/>
          <w:sz w:val="24"/>
          <w:szCs w:val="24"/>
          <w:highlight w:val="none"/>
        </w:rPr>
        <w:t>，乙方应</w:t>
      </w:r>
      <w:r>
        <w:rPr>
          <w:rFonts w:hint="eastAsia" w:ascii="宋体" w:hAnsi="宋体" w:eastAsia="宋体" w:cs="宋体"/>
          <w:sz w:val="24"/>
          <w:szCs w:val="24"/>
          <w:highlight w:val="none"/>
          <w:lang w:val="en-US" w:eastAsia="zh-CN"/>
        </w:rPr>
        <w:t>向甲方提供</w:t>
      </w:r>
      <w:r>
        <w:rPr>
          <w:rFonts w:hint="eastAsia" w:ascii="宋体" w:hAnsi="宋体" w:eastAsia="宋体" w:cs="宋体"/>
          <w:sz w:val="24"/>
          <w:szCs w:val="24"/>
          <w:highlight w:val="none"/>
        </w:rPr>
        <w:t>中华人民共和国进出口商品检验部门出具的</w:t>
      </w:r>
      <w:r>
        <w:rPr>
          <w:rFonts w:hint="eastAsia" w:ascii="宋体" w:hAnsi="宋体" w:eastAsia="宋体" w:cs="宋体"/>
          <w:sz w:val="24"/>
          <w:szCs w:val="24"/>
          <w:highlight w:val="none"/>
          <w:lang w:val="en-US" w:eastAsia="zh-CN"/>
        </w:rPr>
        <w:t>入境货物</w:t>
      </w:r>
      <w:r>
        <w:rPr>
          <w:rFonts w:hint="eastAsia" w:ascii="宋体" w:hAnsi="宋体" w:eastAsia="宋体" w:cs="宋体"/>
          <w:sz w:val="24"/>
          <w:szCs w:val="24"/>
          <w:highlight w:val="none"/>
        </w:rPr>
        <w:t>检验</w:t>
      </w:r>
      <w:r>
        <w:rPr>
          <w:rFonts w:hint="eastAsia" w:ascii="宋体" w:hAnsi="宋体" w:eastAsia="宋体" w:cs="宋体"/>
          <w:sz w:val="24"/>
          <w:szCs w:val="24"/>
          <w:highlight w:val="none"/>
          <w:lang w:val="en-US" w:eastAsia="zh-CN"/>
        </w:rPr>
        <w:t>检疫证明、海关进口货物报关单等证明文件</w:t>
      </w:r>
      <w:r>
        <w:rPr>
          <w:rFonts w:hint="eastAsia" w:ascii="宋体" w:hAnsi="宋体" w:eastAsia="宋体" w:cs="宋体"/>
          <w:sz w:val="24"/>
          <w:szCs w:val="24"/>
          <w:highlight w:val="none"/>
        </w:rPr>
        <w:t>；</w:t>
      </w:r>
      <w:r>
        <w:rPr>
          <w:rFonts w:hint="eastAsia" w:ascii="宋体" w:hAnsi="宋体" w:eastAsia="宋体" w:cs="宋体"/>
          <w:sz w:val="24"/>
          <w:szCs w:val="24"/>
        </w:rPr>
        <w:t>乙方保证所供产品不存在侵犯任何第三方专利、商标及其他知识产权的情形。如因乙方没有履行该保证义务，造成需方（甲方）财产及声誉上的损失，乙方须向甲方承担违约责任。</w:t>
      </w:r>
      <w:bookmarkEnd w:id="13"/>
    </w:p>
    <w:p w14:paraId="6E278581">
      <w:pPr>
        <w:pStyle w:val="2"/>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rPr>
        <w:t>第八条：合同的</w:t>
      </w:r>
      <w:r>
        <w:rPr>
          <w:rFonts w:hint="eastAsia" w:ascii="宋体" w:hAnsi="宋体" w:eastAsia="宋体" w:cs="宋体"/>
          <w:b/>
          <w:bCs/>
          <w:sz w:val="24"/>
          <w:szCs w:val="24"/>
          <w:lang w:eastAsia="zh-CN"/>
        </w:rPr>
        <w:t>变更</w:t>
      </w:r>
    </w:p>
    <w:p w14:paraId="0BB60714">
      <w:pPr>
        <w:pStyle w:val="3"/>
        <w:spacing w:line="360" w:lineRule="auto"/>
        <w:ind w:firstLine="480" w:firstLineChars="200"/>
        <w:rPr>
          <w:rFonts w:hint="eastAsia" w:ascii="宋体" w:hAnsi="宋体" w:eastAsia="宋体" w:cs="宋体"/>
          <w:strike w:val="0"/>
          <w:dstrike w:val="0"/>
          <w:color w:val="FF0000"/>
          <w:sz w:val="24"/>
          <w:szCs w:val="24"/>
          <w:highlight w:val="none"/>
          <w:u w:val="none"/>
          <w:lang w:eastAsia="zh-CN"/>
        </w:rPr>
      </w:pPr>
      <w:r>
        <w:rPr>
          <w:rFonts w:hint="eastAsia" w:ascii="宋体" w:hAnsi="宋体" w:eastAsia="宋体" w:cs="宋体"/>
          <w:sz w:val="24"/>
          <w:szCs w:val="24"/>
          <w:highlight w:val="none"/>
        </w:rPr>
        <w:t>8.1</w:t>
      </w:r>
      <w:r>
        <w:rPr>
          <w:rFonts w:hint="eastAsia" w:ascii="宋体" w:hAnsi="宋体" w:eastAsia="宋体" w:cs="宋体"/>
          <w:sz w:val="24"/>
          <w:szCs w:val="24"/>
          <w:highlight w:val="none"/>
          <w:lang w:eastAsia="zh-CN"/>
        </w:rPr>
        <w:t>在本合同效期内，因甲方向乙方采购的</w:t>
      </w:r>
      <w:r>
        <w:rPr>
          <w:rFonts w:hint="eastAsia" w:ascii="宋体" w:hAnsi="宋体" w:eastAsia="宋体" w:cs="宋体"/>
          <w:sz w:val="24"/>
          <w:szCs w:val="24"/>
          <w:highlight w:val="none"/>
          <w:lang w:val="en-US" w:eastAsia="zh-CN"/>
        </w:rPr>
        <w:t>耗材试剂</w:t>
      </w:r>
      <w:r>
        <w:rPr>
          <w:rFonts w:hint="eastAsia" w:ascii="宋体" w:hAnsi="宋体" w:eastAsia="宋体" w:cs="宋体"/>
          <w:sz w:val="24"/>
          <w:szCs w:val="24"/>
          <w:highlight w:val="none"/>
          <w:lang w:eastAsia="zh-CN"/>
        </w:rPr>
        <w:t>供应商或生产商发生正常的工商登记变更后，乙方应在变更后</w:t>
      </w:r>
      <w:r>
        <w:rPr>
          <w:rFonts w:hint="eastAsia" w:ascii="宋体" w:hAnsi="宋体" w:eastAsia="宋体" w:cs="宋体"/>
          <w:sz w:val="24"/>
          <w:szCs w:val="24"/>
          <w:highlight w:val="none"/>
          <w:lang w:val="en-US" w:eastAsia="zh-CN"/>
        </w:rPr>
        <w:t>15个工作日内</w:t>
      </w:r>
      <w:r>
        <w:rPr>
          <w:rFonts w:hint="eastAsia" w:ascii="宋体" w:hAnsi="宋体" w:eastAsia="宋体" w:cs="宋体"/>
          <w:sz w:val="24"/>
          <w:szCs w:val="24"/>
          <w:highlight w:val="none"/>
          <w:lang w:eastAsia="zh-CN"/>
        </w:rPr>
        <w:t>给甲方提供工商变更的核准文件，经甲方审核同意</w:t>
      </w:r>
      <w:r>
        <w:rPr>
          <w:rFonts w:hint="eastAsia" w:ascii="宋体" w:hAnsi="宋体" w:eastAsia="宋体" w:cs="宋体"/>
          <w:sz w:val="24"/>
          <w:szCs w:val="24"/>
          <w:highlight w:val="none"/>
          <w:u w:val="none"/>
          <w:lang w:eastAsia="zh-CN"/>
        </w:rPr>
        <w:t>后，对其中涉及本合同主体变更的，双方须签订书面变更协议；对不涉及影响本合同履行的其它工商变更，乙方应向甲方及时报备相关工商变更的核准文件。</w:t>
      </w:r>
      <w:r>
        <w:rPr>
          <w:rFonts w:hint="eastAsia" w:ascii="宋体" w:hAnsi="宋体" w:eastAsia="宋体" w:cs="宋体"/>
          <w:strike w:val="0"/>
          <w:dstrike w:val="0"/>
          <w:sz w:val="24"/>
          <w:szCs w:val="24"/>
          <w:highlight w:val="none"/>
          <w:u w:val="none"/>
          <w:lang w:eastAsia="zh-CN"/>
        </w:rPr>
        <w:t>变更文件作为本合同不可分割的</w:t>
      </w:r>
      <w:r>
        <w:rPr>
          <w:rFonts w:hint="eastAsia" w:ascii="宋体" w:hAnsi="宋体" w:eastAsia="宋体" w:cs="宋体"/>
          <w:strike w:val="0"/>
          <w:dstrike w:val="0"/>
          <w:sz w:val="24"/>
          <w:szCs w:val="24"/>
          <w:highlight w:val="none"/>
          <w:u w:val="none"/>
          <w:lang w:val="en-US" w:eastAsia="zh-CN"/>
        </w:rPr>
        <w:t>组成</w:t>
      </w:r>
      <w:r>
        <w:rPr>
          <w:rFonts w:hint="eastAsia" w:ascii="宋体" w:hAnsi="宋体" w:eastAsia="宋体" w:cs="宋体"/>
          <w:strike w:val="0"/>
          <w:dstrike w:val="0"/>
          <w:sz w:val="24"/>
          <w:szCs w:val="24"/>
          <w:highlight w:val="none"/>
          <w:u w:val="none"/>
          <w:lang w:eastAsia="zh-CN"/>
        </w:rPr>
        <w:t>部分。</w:t>
      </w:r>
    </w:p>
    <w:p w14:paraId="55B5FC90">
      <w:pPr>
        <w:pStyle w:val="3"/>
        <w:spacing w:line="360" w:lineRule="auto"/>
        <w:ind w:firstLine="480" w:firstLineChars="200"/>
        <w:rPr>
          <w:rFonts w:hint="eastAsia" w:ascii="宋体" w:hAnsi="宋体" w:eastAsia="宋体" w:cs="宋体"/>
          <w:strike w:val="0"/>
          <w:dstrike w:val="0"/>
          <w:color w:val="FF0000"/>
          <w:sz w:val="24"/>
          <w:szCs w:val="24"/>
          <w:highlight w:val="none"/>
          <w:u w:val="none"/>
          <w:lang w:eastAsia="zh-CN"/>
        </w:rPr>
      </w:pPr>
      <w:r>
        <w:rPr>
          <w:rFonts w:hint="eastAsia" w:ascii="宋体" w:hAnsi="宋体" w:eastAsia="宋体" w:cs="宋体"/>
          <w:strike w:val="0"/>
          <w:dstrike w:val="0"/>
          <w:sz w:val="24"/>
          <w:szCs w:val="24"/>
          <w:highlight w:val="none"/>
          <w:u w:val="none"/>
        </w:rPr>
        <w:t>8.</w:t>
      </w:r>
      <w:r>
        <w:rPr>
          <w:rFonts w:hint="eastAsia" w:ascii="宋体" w:hAnsi="宋体" w:eastAsia="宋体" w:cs="宋体"/>
          <w:strike w:val="0"/>
          <w:dstrike w:val="0"/>
          <w:sz w:val="24"/>
          <w:szCs w:val="24"/>
          <w:highlight w:val="none"/>
          <w:u w:val="none"/>
          <w:lang w:val="en-US" w:eastAsia="zh-CN"/>
        </w:rPr>
        <w:t>2</w:t>
      </w:r>
      <w:r>
        <w:rPr>
          <w:rFonts w:hint="eastAsia" w:ascii="宋体" w:hAnsi="宋体" w:eastAsia="宋体" w:cs="宋体"/>
          <w:strike w:val="0"/>
          <w:dstrike w:val="0"/>
          <w:sz w:val="24"/>
          <w:szCs w:val="24"/>
          <w:highlight w:val="none"/>
          <w:u w:val="none"/>
          <w:lang w:eastAsia="zh-CN"/>
        </w:rPr>
        <w:t>在本合同效期内，因甲方向乙方采购的耗材</w:t>
      </w:r>
      <w:r>
        <w:rPr>
          <w:rFonts w:hint="eastAsia" w:ascii="宋体" w:hAnsi="宋体" w:eastAsia="宋体" w:cs="宋体"/>
          <w:sz w:val="24"/>
          <w:szCs w:val="24"/>
          <w:highlight w:val="none"/>
          <w:u w:val="none"/>
          <w:lang w:val="en-US" w:eastAsia="zh-CN"/>
        </w:rPr>
        <w:t>试剂</w:t>
      </w:r>
      <w:r>
        <w:rPr>
          <w:rFonts w:hint="eastAsia" w:ascii="宋体" w:hAnsi="宋体" w:eastAsia="宋体" w:cs="宋体"/>
          <w:sz w:val="24"/>
          <w:szCs w:val="24"/>
          <w:highlight w:val="none"/>
          <w:u w:val="none"/>
          <w:lang w:eastAsia="zh-CN"/>
        </w:rPr>
        <w:t>产品的注册证到期或其它原因发生注册证变更的，乙方应在</w:t>
      </w:r>
      <w:r>
        <w:rPr>
          <w:rFonts w:hint="eastAsia" w:ascii="宋体" w:hAnsi="宋体" w:eastAsia="宋体" w:cs="宋体"/>
          <w:sz w:val="24"/>
          <w:szCs w:val="24"/>
          <w:highlight w:val="none"/>
          <w:u w:val="none"/>
          <w:lang w:val="en-US" w:eastAsia="zh-CN"/>
        </w:rPr>
        <w:t>15个工作日内向</w:t>
      </w:r>
      <w:r>
        <w:rPr>
          <w:rFonts w:hint="eastAsia" w:ascii="宋体" w:hAnsi="宋体" w:eastAsia="宋体" w:cs="宋体"/>
          <w:sz w:val="24"/>
          <w:szCs w:val="24"/>
          <w:highlight w:val="none"/>
          <w:u w:val="none"/>
          <w:lang w:eastAsia="zh-CN"/>
        </w:rPr>
        <w:t>甲方提供医疗器械注册证变更的相关证明文件，</w:t>
      </w:r>
      <w:r>
        <w:rPr>
          <w:rFonts w:hint="eastAsia" w:ascii="宋体" w:hAnsi="宋体" w:eastAsia="宋体" w:cs="宋体"/>
          <w:strike w:val="0"/>
          <w:dstrike w:val="0"/>
          <w:sz w:val="24"/>
          <w:szCs w:val="24"/>
          <w:highlight w:val="none"/>
          <w:u w:val="none"/>
          <w:lang w:eastAsia="zh-CN"/>
        </w:rPr>
        <w:t>变更文件作为本合同不可分割的</w:t>
      </w:r>
      <w:r>
        <w:rPr>
          <w:rFonts w:hint="eastAsia" w:ascii="宋体" w:hAnsi="宋体" w:eastAsia="宋体" w:cs="宋体"/>
          <w:strike w:val="0"/>
          <w:dstrike w:val="0"/>
          <w:sz w:val="24"/>
          <w:szCs w:val="24"/>
          <w:highlight w:val="none"/>
          <w:u w:val="none"/>
          <w:lang w:val="en-US" w:eastAsia="zh-CN"/>
        </w:rPr>
        <w:t>组成</w:t>
      </w:r>
      <w:r>
        <w:rPr>
          <w:rFonts w:hint="eastAsia" w:ascii="宋体" w:hAnsi="宋体" w:eastAsia="宋体" w:cs="宋体"/>
          <w:strike w:val="0"/>
          <w:dstrike w:val="0"/>
          <w:sz w:val="24"/>
          <w:szCs w:val="24"/>
          <w:highlight w:val="none"/>
          <w:u w:val="none"/>
          <w:lang w:eastAsia="zh-CN"/>
        </w:rPr>
        <w:t>部分。</w:t>
      </w:r>
    </w:p>
    <w:p w14:paraId="153FEE22">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highlight w:val="none"/>
          <w:u w:val="none"/>
        </w:rPr>
        <w:t>8.</w:t>
      </w:r>
      <w:r>
        <w:rPr>
          <w:rFonts w:hint="eastAsia" w:ascii="宋体" w:hAnsi="宋体" w:eastAsia="宋体" w:cs="宋体"/>
          <w:sz w:val="24"/>
          <w:szCs w:val="24"/>
          <w:highlight w:val="none"/>
          <w:u w:val="none"/>
          <w:lang w:val="en-US" w:eastAsia="zh-CN"/>
        </w:rPr>
        <w:t>3</w:t>
      </w:r>
      <w:r>
        <w:rPr>
          <w:rFonts w:hint="eastAsia" w:ascii="宋体" w:hAnsi="宋体" w:eastAsia="宋体" w:cs="宋体"/>
          <w:strike w:val="0"/>
          <w:dstrike w:val="0"/>
          <w:sz w:val="24"/>
          <w:szCs w:val="24"/>
          <w:highlight w:val="none"/>
          <w:u w:val="none"/>
          <w:lang w:eastAsia="zh-CN"/>
        </w:rPr>
        <w:t>在本合同效期内</w:t>
      </w:r>
      <w:r>
        <w:rPr>
          <w:rFonts w:hint="eastAsia" w:ascii="宋体" w:hAnsi="宋体" w:eastAsia="宋体" w:cs="宋体"/>
          <w:sz w:val="24"/>
          <w:szCs w:val="24"/>
          <w:highlight w:val="none"/>
          <w:u w:val="none"/>
          <w:lang w:eastAsia="zh-CN"/>
        </w:rPr>
        <w:t>，</w:t>
      </w:r>
      <w:r>
        <w:rPr>
          <w:rFonts w:hint="eastAsia" w:ascii="宋体" w:hAnsi="宋体" w:eastAsia="宋体" w:cs="宋体"/>
          <w:strike w:val="0"/>
          <w:dstrike w:val="0"/>
          <w:sz w:val="24"/>
          <w:szCs w:val="24"/>
          <w:highlight w:val="none"/>
          <w:u w:val="none"/>
          <w:lang w:eastAsia="zh-CN"/>
        </w:rPr>
        <w:t>因甲方向乙方采购的耗材</w:t>
      </w:r>
      <w:r>
        <w:rPr>
          <w:rFonts w:hint="eastAsia" w:ascii="宋体" w:hAnsi="宋体" w:eastAsia="宋体" w:cs="宋体"/>
          <w:sz w:val="24"/>
          <w:szCs w:val="24"/>
          <w:highlight w:val="none"/>
          <w:u w:val="none"/>
          <w:lang w:val="en-US" w:eastAsia="zh-CN"/>
        </w:rPr>
        <w:t>试剂</w:t>
      </w:r>
      <w:r>
        <w:rPr>
          <w:rFonts w:hint="eastAsia" w:ascii="宋体" w:hAnsi="宋体" w:eastAsia="宋体" w:cs="宋体"/>
          <w:sz w:val="24"/>
          <w:szCs w:val="24"/>
          <w:highlight w:val="none"/>
          <w:u w:val="none"/>
          <w:lang w:eastAsia="zh-CN"/>
        </w:rPr>
        <w:t>产品在阳光采购平台对外公示的</w:t>
      </w:r>
      <w:r>
        <w:rPr>
          <w:rFonts w:hint="eastAsia" w:ascii="宋体" w:hAnsi="宋体" w:eastAsia="宋体" w:cs="宋体"/>
          <w:sz w:val="24"/>
          <w:szCs w:val="24"/>
          <w:highlight w:val="none"/>
          <w:u w:val="none"/>
        </w:rPr>
        <w:t>最低价</w:t>
      </w:r>
      <w:r>
        <w:rPr>
          <w:rFonts w:hint="eastAsia" w:ascii="宋体" w:hAnsi="宋体" w:eastAsia="宋体" w:cs="宋体"/>
          <w:sz w:val="24"/>
          <w:szCs w:val="24"/>
          <w:highlight w:val="none"/>
          <w:u w:val="none"/>
          <w:lang w:eastAsia="zh-CN"/>
        </w:rPr>
        <w:t>发生</w:t>
      </w:r>
      <w:r>
        <w:rPr>
          <w:rFonts w:hint="eastAsia" w:ascii="宋体" w:hAnsi="宋体" w:eastAsia="宋体" w:cs="宋体"/>
          <w:sz w:val="24"/>
          <w:szCs w:val="24"/>
          <w:highlight w:val="none"/>
          <w:u w:val="none"/>
        </w:rPr>
        <w:t>调整</w:t>
      </w:r>
      <w:r>
        <w:rPr>
          <w:rFonts w:hint="eastAsia" w:ascii="宋体" w:hAnsi="宋体" w:eastAsia="宋体" w:cs="宋体"/>
          <w:sz w:val="24"/>
          <w:szCs w:val="24"/>
          <w:highlight w:val="none"/>
          <w:u w:val="none"/>
          <w:lang w:eastAsia="zh-CN"/>
        </w:rPr>
        <w:t>时，乙方应</w:t>
      </w:r>
      <w:r>
        <w:rPr>
          <w:rFonts w:hint="eastAsia" w:ascii="宋体" w:hAnsi="宋体" w:eastAsia="宋体" w:cs="宋体"/>
          <w:sz w:val="24"/>
          <w:szCs w:val="24"/>
          <w:highlight w:val="none"/>
          <w:u w:val="none"/>
          <w:lang w:val="en-US" w:eastAsia="zh-CN"/>
        </w:rPr>
        <w:t>无条件</w:t>
      </w:r>
      <w:r>
        <w:rPr>
          <w:rFonts w:hint="eastAsia" w:ascii="宋体" w:hAnsi="宋体" w:eastAsia="宋体" w:cs="宋体"/>
          <w:sz w:val="24"/>
          <w:szCs w:val="24"/>
          <w:highlight w:val="none"/>
          <w:u w:val="none"/>
          <w:lang w:eastAsia="zh-CN"/>
        </w:rPr>
        <w:t>按阳光采购平台公示的最低价</w:t>
      </w:r>
      <w:r>
        <w:rPr>
          <w:rFonts w:hint="eastAsia" w:ascii="宋体" w:hAnsi="宋体" w:eastAsia="宋体" w:cs="宋体"/>
          <w:sz w:val="24"/>
          <w:szCs w:val="24"/>
          <w:highlight w:val="none"/>
          <w:u w:val="none"/>
          <w:lang w:val="en-US" w:eastAsia="zh-CN"/>
        </w:rPr>
        <w:t>向甲方</w:t>
      </w:r>
      <w:r>
        <w:rPr>
          <w:rFonts w:hint="eastAsia" w:ascii="宋体" w:hAnsi="宋体" w:eastAsia="宋体" w:cs="宋体"/>
          <w:sz w:val="24"/>
          <w:szCs w:val="24"/>
          <w:highlight w:val="none"/>
          <w:u w:val="none"/>
          <w:lang w:eastAsia="zh-CN"/>
        </w:rPr>
        <w:t>供货，并在阳光采购平台最低价调整后的</w:t>
      </w:r>
      <w:r>
        <w:rPr>
          <w:rFonts w:hint="eastAsia" w:ascii="宋体" w:hAnsi="宋体" w:eastAsia="宋体" w:cs="宋体"/>
          <w:sz w:val="24"/>
          <w:szCs w:val="24"/>
          <w:highlight w:val="none"/>
          <w:u w:val="none"/>
          <w:lang w:val="en-US" w:eastAsia="zh-CN"/>
        </w:rPr>
        <w:t>15个工作日内向</w:t>
      </w:r>
      <w:r>
        <w:rPr>
          <w:rFonts w:hint="eastAsia" w:ascii="宋体" w:hAnsi="宋体" w:eastAsia="宋体" w:cs="宋体"/>
          <w:sz w:val="24"/>
          <w:szCs w:val="24"/>
          <w:highlight w:val="none"/>
          <w:u w:val="none"/>
          <w:lang w:eastAsia="zh-CN"/>
        </w:rPr>
        <w:t>甲方提供调价申明函，作为本合同</w:t>
      </w:r>
      <w:r>
        <w:rPr>
          <w:rFonts w:hint="eastAsia" w:ascii="宋体" w:hAnsi="宋体" w:eastAsia="宋体" w:cs="宋体"/>
          <w:sz w:val="24"/>
          <w:szCs w:val="24"/>
          <w:highlight w:val="none"/>
          <w:u w:val="none"/>
          <w:lang w:val="en-US" w:eastAsia="zh-CN"/>
        </w:rPr>
        <w:t>不可分割的组成部分</w:t>
      </w:r>
      <w:r>
        <w:rPr>
          <w:rFonts w:hint="eastAsia" w:ascii="宋体" w:hAnsi="宋体" w:eastAsia="宋体" w:cs="宋体"/>
          <w:sz w:val="24"/>
          <w:szCs w:val="24"/>
          <w:highlight w:val="none"/>
          <w:u w:val="none"/>
          <w:lang w:eastAsia="zh-CN"/>
        </w:rPr>
        <w:t>。</w:t>
      </w:r>
    </w:p>
    <w:p w14:paraId="2CF0CD1C">
      <w:pPr>
        <w:spacing w:line="360" w:lineRule="auto"/>
        <w:ind w:firstLine="480" w:firstLineChars="200"/>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rPr>
        <w:t>8.</w:t>
      </w:r>
      <w:r>
        <w:rPr>
          <w:rFonts w:hint="eastAsia" w:ascii="宋体" w:hAnsi="宋体" w:eastAsia="宋体" w:cs="宋体"/>
          <w:sz w:val="24"/>
          <w:szCs w:val="24"/>
          <w:highlight w:val="none"/>
          <w:u w:val="none"/>
          <w:lang w:val="en-US" w:eastAsia="zh-CN"/>
        </w:rPr>
        <w:t>4合同</w:t>
      </w:r>
      <w:r>
        <w:rPr>
          <w:rFonts w:hint="eastAsia" w:ascii="宋体" w:hAnsi="宋体" w:eastAsia="宋体" w:cs="宋体"/>
          <w:sz w:val="24"/>
          <w:szCs w:val="24"/>
          <w:highlight w:val="none"/>
          <w:u w:val="none"/>
          <w:lang w:eastAsia="zh-CN"/>
        </w:rPr>
        <w:t>其它确需变更的情形，由甲乙双方根据实际情况，具体协商</w:t>
      </w:r>
      <w:r>
        <w:rPr>
          <w:rFonts w:hint="eastAsia" w:ascii="宋体" w:hAnsi="宋体" w:eastAsia="宋体" w:cs="宋体"/>
          <w:sz w:val="24"/>
          <w:szCs w:val="24"/>
          <w:highlight w:val="none"/>
          <w:u w:val="none"/>
          <w:lang w:val="en-US" w:eastAsia="zh-CN"/>
        </w:rPr>
        <w:t>一致后书面</w:t>
      </w:r>
      <w:r>
        <w:rPr>
          <w:rFonts w:hint="eastAsia" w:ascii="宋体" w:hAnsi="宋体" w:eastAsia="宋体" w:cs="宋体"/>
          <w:sz w:val="24"/>
          <w:szCs w:val="24"/>
          <w:highlight w:val="none"/>
          <w:u w:val="none"/>
          <w:lang w:eastAsia="zh-CN"/>
        </w:rPr>
        <w:t>确定。</w:t>
      </w:r>
    </w:p>
    <w:p w14:paraId="414090A0">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eastAsia="zh-CN"/>
        </w:rPr>
        <w:t>九</w:t>
      </w:r>
      <w:r>
        <w:rPr>
          <w:rFonts w:hint="eastAsia" w:ascii="宋体" w:hAnsi="宋体" w:eastAsia="宋体" w:cs="宋体"/>
          <w:b/>
          <w:bCs/>
          <w:sz w:val="24"/>
          <w:szCs w:val="24"/>
        </w:rPr>
        <w:t>条：合同的解除与终止</w:t>
      </w:r>
    </w:p>
    <w:p w14:paraId="61309A9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.1经甲乙双方协商一致，可以解除本合同。</w:t>
      </w:r>
    </w:p>
    <w:p w14:paraId="2CCDADF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.2如果乙方未能在约定期限内或甲方书面同意的任何延期内交付中标产品，</w:t>
      </w:r>
      <w:r>
        <w:rPr>
          <w:rFonts w:hint="eastAsia" w:ascii="宋体" w:hAnsi="宋体" w:cs="宋体"/>
          <w:sz w:val="24"/>
          <w:szCs w:val="24"/>
          <w:lang w:val="en-US" w:eastAsia="zh-CN"/>
        </w:rPr>
        <w:t>或乙方拒不履行第十五条阳光采购和带量采购政策，</w:t>
      </w:r>
      <w:r>
        <w:rPr>
          <w:rFonts w:hint="eastAsia" w:ascii="宋体" w:hAnsi="宋体" w:eastAsia="宋体" w:cs="宋体"/>
          <w:sz w:val="24"/>
          <w:szCs w:val="24"/>
        </w:rPr>
        <w:t>或者乙方未能履行合同中规定的其他义务，以及在本合同的实施过程中有严重违法行为，甲方有权单方解除本合同。</w:t>
      </w:r>
    </w:p>
    <w:p w14:paraId="20B1A5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.3乙方提供的产品不合格或者存在质量问题的，甲方有权单方解除合同。</w:t>
      </w:r>
    </w:p>
    <w:p w14:paraId="0CECC5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.4 甲方因本条第二款、第三款行使单方解除权的，乙方应向甲方承担合同总价款1</w:t>
      </w:r>
      <w:r>
        <w:rPr>
          <w:rFonts w:hint="eastAsia" w:ascii="宋体" w:hAnsi="宋体" w:eastAsia="宋体" w:cs="宋体"/>
          <w:i w:val="0"/>
          <w:iCs w:val="0"/>
          <w:sz w:val="24"/>
          <w:szCs w:val="24"/>
        </w:rPr>
        <w:t>0%的违约金；甲方行</w:t>
      </w:r>
      <w:r>
        <w:rPr>
          <w:rFonts w:hint="eastAsia" w:ascii="宋体" w:hAnsi="宋体" w:eastAsia="宋体" w:cs="宋体"/>
          <w:sz w:val="24"/>
          <w:szCs w:val="24"/>
        </w:rPr>
        <w:t>使解除权后由此产生的法律、经济后果（包括但不限于甲方为此支出的诉讼费、交通费、律师费、鉴定费等）由乙方全部承担。</w:t>
      </w:r>
    </w:p>
    <w:p w14:paraId="11DD7CAB">
      <w:pPr>
        <w:spacing w:line="360" w:lineRule="auto"/>
        <w:ind w:firstLine="480" w:firstLineChars="200"/>
        <w:rPr>
          <w:rFonts w:hint="eastAsia" w:ascii="宋体" w:hAnsi="宋体" w:eastAsia="宋体" w:cs="宋体"/>
          <w:sz w:val="24"/>
          <w:szCs w:val="24"/>
        </w:rPr>
      </w:pPr>
      <w:bookmarkStart w:id="14" w:name="_Hlk46244989"/>
      <w:r>
        <w:rPr>
          <w:rFonts w:hint="eastAsia" w:ascii="宋体" w:hAnsi="宋体" w:eastAsia="宋体" w:cs="宋体"/>
          <w:sz w:val="24"/>
          <w:szCs w:val="24"/>
          <w:lang w:val="en-US" w:eastAsia="zh-CN"/>
        </w:rPr>
        <w:t>9</w:t>
      </w:r>
      <w:r>
        <w:rPr>
          <w:rFonts w:hint="eastAsia" w:ascii="宋体" w:hAnsi="宋体" w:eastAsia="宋体" w:cs="宋体"/>
          <w:sz w:val="24"/>
          <w:szCs w:val="24"/>
        </w:rPr>
        <w:t>.5</w:t>
      </w:r>
      <w:r>
        <w:rPr>
          <w:rFonts w:hint="eastAsia" w:ascii="宋体" w:hAnsi="宋体" w:eastAsia="宋体" w:cs="宋体"/>
          <w:sz w:val="24"/>
          <w:szCs w:val="24"/>
          <w:lang w:val="en-US" w:eastAsia="zh-CN"/>
        </w:rPr>
        <w:t>甲方</w:t>
      </w:r>
      <w:r>
        <w:rPr>
          <w:rFonts w:hint="eastAsia" w:ascii="宋体" w:hAnsi="宋体" w:eastAsia="宋体" w:cs="宋体"/>
          <w:sz w:val="24"/>
          <w:szCs w:val="24"/>
          <w:highlight w:val="none"/>
          <w:lang w:val="en-US" w:eastAsia="zh-CN"/>
        </w:rPr>
        <w:t>根据《甘肃省第二人民医院医用耗材试剂供应商考核实施方案（</w:t>
      </w:r>
      <w:r>
        <w:rPr>
          <w:rFonts w:hint="eastAsia" w:ascii="宋体" w:hAnsi="宋体" w:eastAsia="宋体" w:cs="宋体"/>
          <w:sz w:val="24"/>
          <w:szCs w:val="24"/>
          <w:highlight w:val="none"/>
          <w:lang w:val="en-US" w:eastAsia="zh-Hans"/>
        </w:rPr>
        <w:t>试行</w:t>
      </w:r>
      <w:r>
        <w:rPr>
          <w:rFonts w:hint="eastAsia" w:ascii="宋体" w:hAnsi="宋体" w:eastAsia="宋体" w:cs="宋体"/>
          <w:sz w:val="24"/>
          <w:szCs w:val="24"/>
          <w:highlight w:val="none"/>
          <w:lang w:val="en-US" w:eastAsia="zh-CN"/>
        </w:rPr>
        <w:t>）》（见附件），以一年为一个考核周期对乙方进行综合评分</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lang w:val="en-US" w:eastAsia="zh-CN"/>
        </w:rPr>
        <w:t>考核结果为95分及以上者为“合格”，考核结果95分以下者为</w:t>
      </w:r>
      <w:r>
        <w:rPr>
          <w:rFonts w:hint="eastAsia" w:ascii="宋体" w:hAnsi="宋体" w:eastAsia="宋体" w:cs="宋体"/>
          <w:sz w:val="24"/>
          <w:szCs w:val="24"/>
          <w:highlight w:val="none"/>
        </w:rPr>
        <w:t>“不合格”</w:t>
      </w:r>
      <w:r>
        <w:rPr>
          <w:rFonts w:hint="eastAsia" w:ascii="宋体" w:hAnsi="宋体" w:eastAsia="宋体" w:cs="宋体"/>
          <w:sz w:val="24"/>
          <w:szCs w:val="24"/>
          <w:highlight w:val="none"/>
          <w:lang w:eastAsia="zh-CN"/>
        </w:rPr>
        <w:t>。乙方</w:t>
      </w:r>
      <w:r>
        <w:rPr>
          <w:rFonts w:hint="eastAsia" w:ascii="宋体" w:hAnsi="宋体" w:eastAsia="宋体" w:cs="宋体"/>
          <w:sz w:val="24"/>
          <w:szCs w:val="24"/>
          <w:highlight w:val="none"/>
          <w:lang w:val="en-US" w:eastAsia="zh-CN"/>
        </w:rPr>
        <w:t>考核为合格的，本合同有效期内双方继续履行；乙方</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lang w:val="en-US" w:eastAsia="zh-CN"/>
        </w:rPr>
        <w:t>不合格</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本合同自乙方被考核为不合格之日起自动解除并终止。</w:t>
      </w:r>
    </w:p>
    <w:bookmarkEnd w:id="14"/>
    <w:p w14:paraId="65A3FAD6">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eastAsia="zh-CN"/>
        </w:rPr>
        <w:t>十</w:t>
      </w:r>
      <w:r>
        <w:rPr>
          <w:rFonts w:hint="eastAsia" w:ascii="宋体" w:hAnsi="宋体" w:eastAsia="宋体" w:cs="宋体"/>
          <w:b/>
          <w:bCs/>
          <w:sz w:val="24"/>
          <w:szCs w:val="24"/>
        </w:rPr>
        <w:t>条：违约责任</w:t>
      </w:r>
    </w:p>
    <w:p w14:paraId="1CAA177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.1甲方的违约责任</w:t>
      </w:r>
    </w:p>
    <w:p w14:paraId="19A6A44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.1.1甲方无正当理由违反合同规定拒绝收货的，应当承担乙方由此造成的损失。</w:t>
      </w:r>
    </w:p>
    <w:p w14:paraId="3628989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.2乙方的违约责任</w:t>
      </w:r>
    </w:p>
    <w:p w14:paraId="4024722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2.1甲方发出订单通知后乙方无正当理由拒绝供货的，应向甲方支付拒绝供货部分货款30%的违约金，还需继续履行供货义务，甲方因上述原因而通过其他途径购买同质医用耗材所增加的购买成本及其他损失超过违约金的，乙方应按甲方的实际损失补偿。</w:t>
      </w:r>
    </w:p>
    <w:p w14:paraId="129C51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.2.2乙方逾期供货的，按逾期供货部分货款计算，向甲方支付逾期供货每日3‰的违约金，甲方据此另行购买医用耗材增加的费用由乙方承担；</w:t>
      </w:r>
    </w:p>
    <w:p w14:paraId="000047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w:t>
      </w:r>
      <w:r>
        <w:rPr>
          <w:rFonts w:hint="eastAsia" w:ascii="宋体" w:hAnsi="宋体" w:eastAsia="宋体" w:cs="宋体"/>
          <w:sz w:val="24"/>
          <w:szCs w:val="24"/>
          <w:lang w:val="en-US" w:eastAsia="zh-CN"/>
        </w:rPr>
        <w:t>2.3</w:t>
      </w:r>
      <w:r>
        <w:rPr>
          <w:rFonts w:hint="eastAsia" w:ascii="宋体" w:hAnsi="宋体" w:eastAsia="宋体" w:cs="宋体"/>
          <w:sz w:val="24"/>
          <w:szCs w:val="24"/>
        </w:rPr>
        <w:t>乙方所供医用耗材因质量不符合有关规定而造成后果的，按有关法律规定和本合同的约定处理。</w:t>
      </w:r>
    </w:p>
    <w:p w14:paraId="7D4F108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本条所指逾期供货是指实际交付合格医用耗材的时间迟于订货通知规定的最迟供货日期。</w:t>
      </w:r>
    </w:p>
    <w:p w14:paraId="08954405">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eastAsia="zh-CN"/>
        </w:rPr>
        <w:t>一</w:t>
      </w:r>
      <w:r>
        <w:rPr>
          <w:rFonts w:hint="eastAsia" w:ascii="宋体" w:hAnsi="宋体" w:eastAsia="宋体" w:cs="宋体"/>
          <w:b/>
          <w:bCs/>
          <w:sz w:val="24"/>
          <w:szCs w:val="24"/>
        </w:rPr>
        <w:t>条：通知与送达 </w:t>
      </w:r>
    </w:p>
    <w:p w14:paraId="0BB3DE2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乙双方因履行本合同或与本合同有关的一切通知或附件或往来材料等，以及因履行本合同产生诉讼后法院邮寄法律文件的有效送达地址，都必须按照本合同签署页中约定的通讯地址、电子邮箱，以书面信函形式或双方确认的传真或类似法院邮寄送达的通讯方式进行。采用信函形式的应使用EMS、挂号信或者具有良好信誉的快递送达。如使用传真、电子邮箱或类似的通讯方式，通知日期即为通讯发出日期，如使用挂号信件或快递，通知日期即为邮件寄出日期并以邮戳或快递日期为准。双方更新联系人或经办人应及时书面通知，否则因此致使本合同相关文件无法正确送达，未通知方承当相应责任，通知方按本合同签署页中约定的地址送达仍视为产生正常送达的法律效果。</w:t>
      </w:r>
    </w:p>
    <w:p w14:paraId="7D5A1883">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eastAsia="zh-CN"/>
        </w:rPr>
        <w:t>二</w:t>
      </w:r>
      <w:r>
        <w:rPr>
          <w:rFonts w:hint="eastAsia" w:ascii="宋体" w:hAnsi="宋体" w:eastAsia="宋体" w:cs="宋体"/>
          <w:b/>
          <w:bCs/>
          <w:sz w:val="24"/>
          <w:szCs w:val="24"/>
        </w:rPr>
        <w:t>条：争议的解决</w:t>
      </w:r>
    </w:p>
    <w:p w14:paraId="2321C96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因合同引起的或与本合同有关的任何争议，甲乙双方应协商解决，协商或调解不成的，任何一方均有权向甲方所在地</w:t>
      </w:r>
      <w:r>
        <w:rPr>
          <w:rFonts w:hint="eastAsia" w:ascii="宋体" w:hAnsi="宋体" w:cs="宋体"/>
          <w:sz w:val="24"/>
          <w:szCs w:val="24"/>
          <w:lang w:val="en-US" w:eastAsia="zh-CN"/>
        </w:rPr>
        <w:t>有管辖权的</w:t>
      </w:r>
      <w:r>
        <w:rPr>
          <w:rFonts w:hint="eastAsia" w:ascii="宋体" w:hAnsi="宋体" w:eastAsia="宋体" w:cs="宋体"/>
          <w:sz w:val="24"/>
          <w:szCs w:val="24"/>
        </w:rPr>
        <w:t>人民法院通过诉讼解决。</w:t>
      </w:r>
    </w:p>
    <w:p w14:paraId="2677147F">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eastAsia="zh-CN"/>
        </w:rPr>
        <w:t>三</w:t>
      </w:r>
      <w:r>
        <w:rPr>
          <w:rFonts w:hint="eastAsia" w:ascii="宋体" w:hAnsi="宋体" w:eastAsia="宋体" w:cs="宋体"/>
          <w:b/>
          <w:bCs/>
          <w:sz w:val="24"/>
          <w:szCs w:val="24"/>
        </w:rPr>
        <w:t>条：合同组成部分</w:t>
      </w:r>
    </w:p>
    <w:p w14:paraId="27B0372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3</w:t>
      </w:r>
      <w:r>
        <w:rPr>
          <w:rFonts w:hint="eastAsia" w:ascii="宋体" w:hAnsi="宋体" w:eastAsia="宋体" w:cs="宋体"/>
          <w:sz w:val="24"/>
          <w:szCs w:val="24"/>
        </w:rPr>
        <w:t>.1</w:t>
      </w:r>
      <w:r>
        <w:rPr>
          <w:rFonts w:hint="eastAsia" w:ascii="宋体" w:hAnsi="宋体" w:eastAsia="宋体" w:cs="宋体"/>
          <w:sz w:val="24"/>
          <w:szCs w:val="24"/>
          <w:lang w:val="en-US" w:eastAsia="zh-CN"/>
        </w:rPr>
        <w:t>招</w:t>
      </w:r>
      <w:r>
        <w:rPr>
          <w:rFonts w:hint="eastAsia" w:ascii="宋体" w:hAnsi="宋体" w:eastAsia="宋体" w:cs="宋体"/>
          <w:sz w:val="24"/>
          <w:szCs w:val="24"/>
        </w:rPr>
        <w:t>投标文件及其附件</w:t>
      </w:r>
      <w:r>
        <w:rPr>
          <w:rFonts w:hint="eastAsia" w:ascii="宋体" w:hAnsi="宋体" w:eastAsia="宋体" w:cs="宋体"/>
          <w:sz w:val="24"/>
          <w:szCs w:val="24"/>
          <w:lang w:val="en-US" w:eastAsia="zh-CN"/>
        </w:rPr>
        <w:t>和</w:t>
      </w:r>
      <w:r>
        <w:rPr>
          <w:rFonts w:hint="eastAsia" w:ascii="宋体" w:hAnsi="宋体" w:eastAsia="宋体" w:cs="宋体"/>
          <w:sz w:val="24"/>
          <w:szCs w:val="24"/>
        </w:rPr>
        <w:t>《中标通知书》；</w:t>
      </w:r>
    </w:p>
    <w:p w14:paraId="74DD03F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3</w:t>
      </w:r>
      <w:r>
        <w:rPr>
          <w:rFonts w:hint="eastAsia" w:ascii="宋体" w:hAnsi="宋体" w:eastAsia="宋体" w:cs="宋体"/>
          <w:sz w:val="24"/>
          <w:szCs w:val="24"/>
        </w:rPr>
        <w:t>.2 《售后服务承诺书及质量保证承诺书》（参见《投标文件》）</w:t>
      </w:r>
    </w:p>
    <w:p w14:paraId="7693EDA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3</w:t>
      </w:r>
      <w:r>
        <w:rPr>
          <w:rFonts w:hint="eastAsia" w:ascii="宋体" w:hAnsi="宋体" w:eastAsia="宋体" w:cs="宋体"/>
          <w:sz w:val="24"/>
          <w:szCs w:val="24"/>
        </w:rPr>
        <w:t>.3《配送时间及伴随服务承诺表》（参见《投标文件》）。</w:t>
      </w:r>
    </w:p>
    <w:p w14:paraId="7009C3CF">
      <w:pPr>
        <w:pStyle w:val="3"/>
        <w:ind w:firstLine="480" w:firstLineChars="200"/>
        <w:rPr>
          <w:rFonts w:hint="default" w:eastAsia="宋体"/>
          <w:color w:val="auto"/>
          <w:lang w:val="en-US" w:eastAsia="zh-CN"/>
        </w:rPr>
      </w:pPr>
      <w:r>
        <w:rPr>
          <w:rFonts w:hint="eastAsia" w:ascii="宋体" w:hAnsi="宋体" w:cs="宋体"/>
          <w:color w:val="auto"/>
          <w:sz w:val="24"/>
          <w:szCs w:val="24"/>
          <w:lang w:val="en-US" w:eastAsia="zh-CN"/>
        </w:rPr>
        <w:t>13.4本合同附件一《廉政协议书》、附件二《甘肃省第二人民医院医用耗材试剂供应商考核实施方案（试行）》和《甘肃省第二人民医院医用耗材试剂供应商考核表》，以及本合同之补充协议。</w:t>
      </w:r>
    </w:p>
    <w:p w14:paraId="5532D5C7">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eastAsia="zh-CN"/>
        </w:rPr>
        <w:t>四</w:t>
      </w:r>
      <w:r>
        <w:rPr>
          <w:rFonts w:hint="eastAsia" w:ascii="宋体" w:hAnsi="宋体" w:eastAsia="宋体" w:cs="宋体"/>
          <w:b/>
          <w:bCs/>
          <w:sz w:val="24"/>
          <w:szCs w:val="24"/>
        </w:rPr>
        <w:t>条：合同生效</w:t>
      </w:r>
    </w:p>
    <w:p w14:paraId="2F54AB7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4</w:t>
      </w:r>
      <w:r>
        <w:rPr>
          <w:rFonts w:hint="eastAsia" w:ascii="宋体" w:hAnsi="宋体" w:eastAsia="宋体" w:cs="宋体"/>
          <w:sz w:val="24"/>
          <w:szCs w:val="24"/>
        </w:rPr>
        <w:t>.1</w:t>
      </w:r>
      <w:r>
        <w:rPr>
          <w:rFonts w:hint="eastAsia" w:ascii="宋体" w:hAnsi="宋体" w:eastAsia="宋体" w:cs="宋体"/>
          <w:sz w:val="24"/>
          <w:szCs w:val="24"/>
          <w:highlight w:val="none"/>
        </w:rPr>
        <w:t>本合同及</w:t>
      </w:r>
      <w:r>
        <w:rPr>
          <w:rFonts w:hint="eastAsia" w:ascii="宋体" w:hAnsi="宋体" w:eastAsia="宋体" w:cs="宋体"/>
          <w:sz w:val="24"/>
          <w:szCs w:val="24"/>
          <w:highlight w:val="none"/>
          <w:lang w:val="en-US" w:eastAsia="zh-CN"/>
        </w:rPr>
        <w:t>其</w:t>
      </w: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以及</w:t>
      </w:r>
      <w:r>
        <w:rPr>
          <w:rFonts w:hint="eastAsia" w:ascii="宋体" w:hAnsi="宋体" w:eastAsia="宋体" w:cs="宋体"/>
          <w:sz w:val="24"/>
          <w:szCs w:val="24"/>
          <w:highlight w:val="none"/>
        </w:rPr>
        <w:t>本合同有效期内</w:t>
      </w:r>
      <w:r>
        <w:rPr>
          <w:rFonts w:hint="eastAsia" w:ascii="宋体" w:hAnsi="宋体" w:eastAsia="宋体" w:cs="宋体"/>
          <w:sz w:val="24"/>
          <w:szCs w:val="24"/>
          <w:highlight w:val="none"/>
          <w:lang w:val="en-US" w:eastAsia="zh-CN"/>
        </w:rPr>
        <w:t>经甲乙双方协商一致签订的</w:t>
      </w:r>
      <w:r>
        <w:rPr>
          <w:rFonts w:hint="eastAsia" w:ascii="宋体" w:hAnsi="宋体" w:eastAsia="宋体" w:cs="宋体"/>
          <w:sz w:val="24"/>
          <w:szCs w:val="24"/>
          <w:highlight w:val="none"/>
        </w:rPr>
        <w:t>补充协议</w:t>
      </w:r>
      <w:r>
        <w:rPr>
          <w:rFonts w:hint="eastAsia" w:ascii="宋体" w:hAnsi="宋体" w:eastAsia="宋体" w:cs="宋体"/>
          <w:sz w:val="24"/>
          <w:szCs w:val="24"/>
          <w:highlight w:val="none"/>
          <w:lang w:val="en-US" w:eastAsia="zh-CN"/>
        </w:rPr>
        <w:t>和</w:t>
      </w:r>
      <w:r>
        <w:rPr>
          <w:rFonts w:hint="eastAsia" w:ascii="宋体" w:hAnsi="宋体" w:eastAsia="宋体" w:cs="宋体"/>
          <w:sz w:val="24"/>
          <w:szCs w:val="24"/>
          <w:highlight w:val="none"/>
        </w:rPr>
        <w:t>补充条款、变更条款</w:t>
      </w:r>
      <w:r>
        <w:rPr>
          <w:rFonts w:hint="eastAsia" w:ascii="宋体" w:hAnsi="宋体" w:eastAsia="宋体" w:cs="宋体"/>
          <w:sz w:val="24"/>
          <w:szCs w:val="24"/>
          <w:highlight w:val="none"/>
          <w:lang w:val="en-US" w:eastAsia="zh-CN"/>
        </w:rPr>
        <w:t>和变更协议</w:t>
      </w:r>
      <w:r>
        <w:rPr>
          <w:rFonts w:hint="eastAsia" w:ascii="宋体" w:hAnsi="宋体" w:eastAsia="宋体" w:cs="宋体"/>
          <w:sz w:val="24"/>
          <w:szCs w:val="24"/>
          <w:highlight w:val="none"/>
        </w:rPr>
        <w:t>等</w:t>
      </w:r>
      <w:r>
        <w:rPr>
          <w:rFonts w:hint="eastAsia" w:ascii="宋体" w:hAnsi="宋体" w:eastAsia="宋体" w:cs="宋体"/>
          <w:sz w:val="24"/>
          <w:szCs w:val="24"/>
          <w:highlight w:val="none"/>
          <w:lang w:val="en-US" w:eastAsia="zh-CN"/>
        </w:rPr>
        <w:t>须经</w:t>
      </w:r>
      <w:r>
        <w:rPr>
          <w:rFonts w:hint="eastAsia" w:ascii="宋体" w:hAnsi="宋体" w:eastAsia="宋体" w:cs="宋体"/>
          <w:sz w:val="24"/>
          <w:szCs w:val="24"/>
          <w:highlight w:val="none"/>
        </w:rPr>
        <w:t>甲乙双方</w:t>
      </w:r>
      <w:r>
        <w:rPr>
          <w:rFonts w:hint="eastAsia" w:ascii="宋体" w:hAnsi="宋体" w:eastAsia="宋体" w:cs="宋体"/>
          <w:sz w:val="24"/>
          <w:szCs w:val="24"/>
          <w:highlight w:val="none"/>
          <w:lang w:val="en-US" w:eastAsia="zh-CN"/>
        </w:rPr>
        <w:t>法定代表人或授权代表签字并加盖各自公</w:t>
      </w:r>
      <w:r>
        <w:rPr>
          <w:rFonts w:hint="eastAsia" w:ascii="宋体" w:hAnsi="宋体" w:eastAsia="宋体" w:cs="宋体"/>
          <w:sz w:val="24"/>
          <w:szCs w:val="24"/>
          <w:highlight w:val="none"/>
        </w:rPr>
        <w:t>章后生效。</w:t>
      </w:r>
    </w:p>
    <w:p w14:paraId="7D63131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w:t>
      </w:r>
      <w:r>
        <w:rPr>
          <w:rFonts w:hint="eastAsia" w:ascii="宋体" w:hAnsi="宋体" w:eastAsia="宋体" w:cs="宋体"/>
          <w:sz w:val="24"/>
          <w:szCs w:val="24"/>
          <w:lang w:val="en-US" w:eastAsia="zh-CN"/>
        </w:rPr>
        <w:t>4</w:t>
      </w:r>
      <w:r>
        <w:rPr>
          <w:rFonts w:hint="eastAsia" w:ascii="宋体" w:hAnsi="宋体" w:eastAsia="宋体" w:cs="宋体"/>
          <w:sz w:val="24"/>
          <w:szCs w:val="24"/>
        </w:rPr>
        <w:t>.2乙方确认签署和履行合同的经办人姓名：</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联系</w:t>
      </w:r>
      <w:r>
        <w:rPr>
          <w:rFonts w:hint="eastAsia" w:ascii="宋体" w:hAnsi="宋体" w:eastAsia="宋体" w:cs="宋体"/>
          <w:sz w:val="24"/>
          <w:szCs w:val="24"/>
          <w:lang w:eastAsia="zh-CN"/>
        </w:rPr>
        <w:t>电话</w:t>
      </w:r>
      <w:r>
        <w:rPr>
          <w:rFonts w:hint="eastAsia" w:ascii="宋体" w:hAnsi="宋体" w:eastAsia="宋体" w:cs="宋体"/>
          <w:sz w:val="24"/>
          <w:szCs w:val="24"/>
        </w:rPr>
        <w:t>:</w:t>
      </w:r>
      <w:r>
        <w:rPr>
          <w:rFonts w:hint="eastAsia" w:ascii="宋体" w:hAnsi="宋体" w:cs="宋体"/>
          <w:sz w:val="24"/>
          <w:szCs w:val="24"/>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邮箱：</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w:t>
      </w:r>
    </w:p>
    <w:p w14:paraId="33D6EB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声明：乙方授权的该经办人除对本合同项下约定的相关文件内容具有签署、认可、确认的权利外，无与本合同无关的其他任何文件签署、书面承诺的权利。对于所有超越本合同声明的授权权限而做出的行为，均视为个人行为，乙方将不予承认其行为效力。相关文件的生效条件如前所述：须甲乙双方均签字盖章后生效。</w:t>
      </w:r>
    </w:p>
    <w:p w14:paraId="10237DC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4</w:t>
      </w:r>
      <w:r>
        <w:rPr>
          <w:rFonts w:hint="eastAsia" w:ascii="宋体" w:hAnsi="宋体" w:eastAsia="宋体" w:cs="宋体"/>
          <w:sz w:val="24"/>
          <w:szCs w:val="24"/>
        </w:rPr>
        <w:t>.3本合同签订后，之前与本合同有关的所有书面或口头承诺与本合同不冲突的继续有效，任何对本合同及组成文件或合同附件的修改、补充等均应采取书面形式并满足本合同第13.1条有关生效条件的约定，否则不能生效。 </w:t>
      </w:r>
    </w:p>
    <w:p w14:paraId="747D6F1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4</w:t>
      </w:r>
      <w:r>
        <w:rPr>
          <w:rFonts w:hint="eastAsia" w:ascii="宋体" w:hAnsi="宋体" w:eastAsia="宋体" w:cs="宋体"/>
          <w:sz w:val="24"/>
          <w:szCs w:val="24"/>
        </w:rPr>
        <w:t>.4 本合同一式伍份，甲方执叁份，乙方执贰份。</w:t>
      </w:r>
    </w:p>
    <w:p w14:paraId="4134FF5C">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eastAsia="zh-CN"/>
        </w:rPr>
        <w:t>五</w:t>
      </w:r>
      <w:r>
        <w:rPr>
          <w:rFonts w:hint="eastAsia" w:ascii="宋体" w:hAnsi="宋体" w:eastAsia="宋体" w:cs="宋体"/>
          <w:b/>
          <w:bCs/>
          <w:sz w:val="24"/>
          <w:szCs w:val="24"/>
        </w:rPr>
        <w:t>条：</w:t>
      </w:r>
      <w:r>
        <w:rPr>
          <w:rFonts w:hint="eastAsia" w:ascii="宋体" w:hAnsi="宋体" w:eastAsia="宋体" w:cs="宋体"/>
          <w:b/>
          <w:bCs/>
          <w:sz w:val="24"/>
          <w:szCs w:val="24"/>
          <w:lang w:eastAsia="zh-CN"/>
        </w:rPr>
        <w:t>乙方须履行</w:t>
      </w:r>
      <w:r>
        <w:rPr>
          <w:rFonts w:hint="eastAsia" w:ascii="宋体" w:hAnsi="宋体" w:eastAsia="宋体" w:cs="宋体"/>
          <w:b/>
          <w:bCs/>
          <w:sz w:val="24"/>
          <w:szCs w:val="24"/>
        </w:rPr>
        <w:t>阳光</w:t>
      </w:r>
      <w:r>
        <w:rPr>
          <w:rFonts w:hint="eastAsia" w:ascii="宋体" w:hAnsi="宋体" w:eastAsia="宋体" w:cs="宋体"/>
          <w:b/>
          <w:bCs/>
          <w:sz w:val="24"/>
          <w:szCs w:val="24"/>
          <w:lang w:eastAsia="zh-CN"/>
        </w:rPr>
        <w:t>采购政策</w:t>
      </w:r>
      <w:r>
        <w:rPr>
          <w:rFonts w:hint="eastAsia" w:ascii="宋体" w:hAnsi="宋体" w:eastAsia="宋体" w:cs="宋体"/>
          <w:b/>
          <w:bCs/>
          <w:sz w:val="24"/>
          <w:szCs w:val="24"/>
        </w:rPr>
        <w:t>要求</w:t>
      </w:r>
    </w:p>
    <w:p w14:paraId="5181E2A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5</w:t>
      </w:r>
      <w:r>
        <w:rPr>
          <w:rFonts w:hint="eastAsia" w:ascii="宋体" w:hAnsi="宋体" w:eastAsia="宋体" w:cs="宋体"/>
          <w:sz w:val="24"/>
          <w:szCs w:val="24"/>
        </w:rPr>
        <w:t>.1</w:t>
      </w:r>
      <w:r>
        <w:rPr>
          <w:rFonts w:hint="eastAsia" w:ascii="宋体" w:hAnsi="宋体" w:eastAsia="宋体" w:cs="宋体"/>
          <w:sz w:val="24"/>
          <w:szCs w:val="24"/>
          <w:lang w:eastAsia="zh-CN"/>
        </w:rPr>
        <w:t>现供货</w:t>
      </w:r>
      <w:r>
        <w:rPr>
          <w:rFonts w:hint="eastAsia" w:ascii="宋体" w:hAnsi="宋体" w:eastAsia="宋体" w:cs="宋体"/>
          <w:sz w:val="24"/>
          <w:szCs w:val="24"/>
        </w:rPr>
        <w:t>价格高于</w:t>
      </w:r>
      <w:r>
        <w:rPr>
          <w:rFonts w:hint="eastAsia" w:ascii="宋体" w:hAnsi="宋体" w:eastAsia="宋体" w:cs="宋体"/>
          <w:sz w:val="24"/>
          <w:szCs w:val="24"/>
          <w:lang w:eastAsia="zh-CN"/>
        </w:rPr>
        <w:t>阳采</w:t>
      </w:r>
      <w:r>
        <w:rPr>
          <w:rFonts w:hint="eastAsia" w:ascii="宋体" w:hAnsi="宋体" w:eastAsia="宋体" w:cs="宋体"/>
          <w:sz w:val="24"/>
          <w:szCs w:val="24"/>
        </w:rPr>
        <w:t>平台</w:t>
      </w:r>
      <w:r>
        <w:rPr>
          <w:rFonts w:hint="eastAsia" w:ascii="宋体" w:hAnsi="宋体" w:eastAsia="宋体" w:cs="宋体"/>
          <w:sz w:val="24"/>
          <w:szCs w:val="24"/>
          <w:lang w:eastAsia="zh-CN"/>
        </w:rPr>
        <w:t>的</w:t>
      </w:r>
      <w:r>
        <w:rPr>
          <w:rFonts w:hint="eastAsia" w:ascii="宋体" w:hAnsi="宋体" w:eastAsia="宋体" w:cs="宋体"/>
          <w:sz w:val="24"/>
          <w:szCs w:val="24"/>
        </w:rPr>
        <w:t>最低价时，须</w:t>
      </w:r>
      <w:r>
        <w:rPr>
          <w:rFonts w:hint="eastAsia" w:ascii="宋体" w:hAnsi="宋体" w:eastAsia="宋体" w:cs="宋体"/>
          <w:sz w:val="24"/>
          <w:szCs w:val="24"/>
          <w:lang w:eastAsia="zh-CN"/>
        </w:rPr>
        <w:t>调整</w:t>
      </w:r>
      <w:r>
        <w:rPr>
          <w:rFonts w:hint="eastAsia" w:ascii="宋体" w:hAnsi="宋体" w:eastAsia="宋体" w:cs="宋体"/>
          <w:sz w:val="24"/>
          <w:szCs w:val="24"/>
        </w:rPr>
        <w:t>按</w:t>
      </w:r>
      <w:r>
        <w:rPr>
          <w:rFonts w:hint="eastAsia" w:ascii="宋体" w:hAnsi="宋体" w:eastAsia="宋体" w:cs="宋体"/>
          <w:sz w:val="24"/>
          <w:szCs w:val="24"/>
          <w:lang w:eastAsia="zh-CN"/>
        </w:rPr>
        <w:t>阳采平台</w:t>
      </w:r>
      <w:r>
        <w:rPr>
          <w:rFonts w:hint="eastAsia" w:ascii="宋体" w:hAnsi="宋体" w:eastAsia="宋体" w:cs="宋体"/>
          <w:sz w:val="24"/>
          <w:szCs w:val="24"/>
        </w:rPr>
        <w:t>最低价</w:t>
      </w:r>
      <w:r>
        <w:rPr>
          <w:rFonts w:hint="eastAsia" w:ascii="宋体" w:hAnsi="宋体" w:eastAsia="宋体" w:cs="宋体"/>
          <w:sz w:val="24"/>
          <w:szCs w:val="24"/>
          <w:lang w:eastAsia="zh-CN"/>
        </w:rPr>
        <w:t>供货</w:t>
      </w:r>
      <w:r>
        <w:rPr>
          <w:rFonts w:hint="eastAsia" w:ascii="宋体" w:hAnsi="宋体" w:eastAsia="宋体" w:cs="宋体"/>
          <w:sz w:val="24"/>
          <w:szCs w:val="24"/>
        </w:rPr>
        <w:t>。</w:t>
      </w:r>
    </w:p>
    <w:p w14:paraId="107ED21E">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5</w:t>
      </w:r>
      <w:r>
        <w:rPr>
          <w:rFonts w:hint="eastAsia" w:ascii="宋体" w:hAnsi="宋体" w:eastAsia="宋体" w:cs="宋体"/>
          <w:sz w:val="24"/>
          <w:szCs w:val="24"/>
        </w:rPr>
        <w:t>.2</w:t>
      </w:r>
      <w:r>
        <w:rPr>
          <w:rFonts w:hint="eastAsia" w:ascii="宋体" w:hAnsi="宋体" w:eastAsia="宋体" w:cs="宋体"/>
          <w:sz w:val="24"/>
          <w:szCs w:val="24"/>
          <w:lang w:eastAsia="zh-CN"/>
        </w:rPr>
        <w:t>乙方</w:t>
      </w:r>
      <w:r>
        <w:rPr>
          <w:rFonts w:hint="eastAsia" w:ascii="宋体" w:hAnsi="宋体" w:eastAsia="宋体" w:cs="宋体"/>
          <w:sz w:val="24"/>
          <w:szCs w:val="24"/>
        </w:rPr>
        <w:t>必须</w:t>
      </w:r>
      <w:r>
        <w:rPr>
          <w:rFonts w:hint="eastAsia" w:ascii="宋体" w:hAnsi="宋体" w:eastAsia="宋体" w:cs="宋体"/>
          <w:sz w:val="24"/>
          <w:szCs w:val="24"/>
          <w:lang w:eastAsia="zh-CN"/>
        </w:rPr>
        <w:t>在</w:t>
      </w:r>
      <w:r>
        <w:rPr>
          <w:rFonts w:hint="eastAsia" w:ascii="宋体" w:hAnsi="宋体" w:eastAsia="宋体" w:cs="宋体"/>
          <w:sz w:val="24"/>
          <w:szCs w:val="24"/>
        </w:rPr>
        <w:t>阳光平台</w:t>
      </w:r>
      <w:r>
        <w:rPr>
          <w:rFonts w:hint="eastAsia" w:ascii="宋体" w:hAnsi="宋体" w:eastAsia="宋体" w:cs="宋体"/>
          <w:sz w:val="24"/>
          <w:szCs w:val="24"/>
          <w:lang w:eastAsia="zh-CN"/>
        </w:rPr>
        <w:t>有</w:t>
      </w:r>
      <w:r>
        <w:rPr>
          <w:rFonts w:hint="eastAsia" w:ascii="宋体" w:hAnsi="宋体" w:eastAsia="宋体" w:cs="宋体"/>
          <w:sz w:val="24"/>
          <w:szCs w:val="24"/>
        </w:rPr>
        <w:t>配送权，</w:t>
      </w:r>
      <w:r>
        <w:rPr>
          <w:rFonts w:hint="eastAsia" w:ascii="宋体" w:hAnsi="宋体" w:eastAsia="宋体" w:cs="宋体"/>
          <w:sz w:val="24"/>
          <w:szCs w:val="24"/>
          <w:lang w:eastAsia="zh-CN"/>
        </w:rPr>
        <w:t>确保在阳采平台正常配送合同约定的产品。</w:t>
      </w:r>
    </w:p>
    <w:p w14:paraId="7A2C0FF7">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lang w:val="en-US" w:eastAsia="zh-CN"/>
        </w:rPr>
        <w:t>15.3合同内产品若列入带量采购范围，按省医保局最新的管理政策执行。</w:t>
      </w:r>
    </w:p>
    <w:p w14:paraId="60342AD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（以下无正文）</w:t>
      </w:r>
    </w:p>
    <w:p w14:paraId="33CA0244">
      <w:pPr>
        <w:widowControl/>
        <w:jc w:val="left"/>
      </w:pPr>
    </w:p>
    <w:p w14:paraId="1A14C65E">
      <w:pPr>
        <w:pStyle w:val="3"/>
        <w:spacing w:line="360" w:lineRule="auto"/>
        <w:rPr>
          <w:rFonts w:hint="eastAsia" w:ascii="Times New Roman" w:hAnsi="Times New Roman" w:eastAsia="宋体" w:cs="Times New Roman"/>
          <w:kern w:val="2"/>
          <w:sz w:val="24"/>
          <w:szCs w:val="24"/>
          <w:lang w:val="en-US" w:eastAsia="zh-CN" w:bidi="ar-SA"/>
        </w:rPr>
      </w:pPr>
    </w:p>
    <w:p w14:paraId="560D706C">
      <w:pPr>
        <w:pStyle w:val="3"/>
        <w:spacing w:line="360" w:lineRule="auto"/>
        <w:rPr>
          <w:rFonts w:hint="eastAsia" w:ascii="Times New Roman" w:hAnsi="Times New Roman" w:eastAsia="宋体" w:cs="Times New Roman"/>
          <w:kern w:val="2"/>
          <w:sz w:val="24"/>
          <w:szCs w:val="24"/>
          <w:lang w:val="en-US" w:eastAsia="zh-CN" w:bidi="ar-SA"/>
        </w:rPr>
      </w:pPr>
    </w:p>
    <w:p w14:paraId="304BD205">
      <w:pPr>
        <w:pStyle w:val="3"/>
        <w:spacing w:line="360" w:lineRule="auto"/>
        <w:rPr>
          <w:rFonts w:hint="eastAsia" w:ascii="Times New Roman" w:hAnsi="Times New Roman" w:eastAsia="宋体" w:cs="Times New Roman"/>
          <w:kern w:val="2"/>
          <w:sz w:val="24"/>
          <w:szCs w:val="24"/>
          <w:lang w:val="en-US" w:eastAsia="zh-CN" w:bidi="ar-SA"/>
        </w:rPr>
      </w:pPr>
    </w:p>
    <w:p w14:paraId="008555EF">
      <w:pPr>
        <w:pStyle w:val="3"/>
        <w:spacing w:line="360" w:lineRule="auto"/>
        <w:rPr>
          <w:rFonts w:hint="eastAsia" w:ascii="Times New Roman" w:hAnsi="Times New Roman" w:eastAsia="宋体" w:cs="Times New Roman"/>
          <w:kern w:val="2"/>
          <w:sz w:val="24"/>
          <w:szCs w:val="24"/>
          <w:lang w:val="en-US" w:eastAsia="zh-CN" w:bidi="ar-SA"/>
        </w:rPr>
      </w:pPr>
    </w:p>
    <w:p w14:paraId="7D1E7866">
      <w:pPr>
        <w:pStyle w:val="3"/>
        <w:spacing w:line="360" w:lineRule="auto"/>
        <w:rPr>
          <w:rFonts w:hint="eastAsia" w:ascii="Times New Roman" w:hAnsi="Times New Roman" w:eastAsia="宋体" w:cs="Times New Roman"/>
          <w:kern w:val="2"/>
          <w:sz w:val="24"/>
          <w:szCs w:val="24"/>
          <w:lang w:val="en-US" w:eastAsia="zh-CN" w:bidi="ar-SA"/>
        </w:rPr>
      </w:pPr>
    </w:p>
    <w:p w14:paraId="39175013">
      <w:pPr>
        <w:pStyle w:val="3"/>
        <w:spacing w:line="360" w:lineRule="auto"/>
        <w:rPr>
          <w:rFonts w:hint="eastAsia" w:ascii="Times New Roman" w:hAnsi="Times New Roman" w:eastAsia="宋体" w:cs="Times New Roman"/>
          <w:kern w:val="2"/>
          <w:sz w:val="24"/>
          <w:szCs w:val="24"/>
          <w:lang w:val="en-US" w:eastAsia="zh-CN" w:bidi="ar-SA"/>
        </w:rPr>
      </w:pPr>
    </w:p>
    <w:p w14:paraId="04AE213D">
      <w:pPr>
        <w:pStyle w:val="3"/>
        <w:spacing w:line="360" w:lineRule="auto"/>
        <w:rPr>
          <w:rFonts w:hint="eastAsia" w:ascii="Times New Roman" w:hAnsi="Times New Roman" w:eastAsia="宋体" w:cs="Times New Roman"/>
          <w:kern w:val="2"/>
          <w:sz w:val="24"/>
          <w:szCs w:val="24"/>
          <w:lang w:val="en-US" w:eastAsia="zh-CN" w:bidi="ar-SA"/>
        </w:rPr>
      </w:pPr>
    </w:p>
    <w:p w14:paraId="15FC9BD6">
      <w:pPr>
        <w:pStyle w:val="3"/>
        <w:spacing w:line="360" w:lineRule="auto"/>
        <w:rPr>
          <w:rFonts w:hint="eastAsia" w:ascii="Times New Roman" w:hAnsi="Times New Roman" w:eastAsia="宋体" w:cs="Times New Roman"/>
          <w:kern w:val="2"/>
          <w:sz w:val="24"/>
          <w:szCs w:val="24"/>
          <w:lang w:val="en-US" w:eastAsia="zh-CN" w:bidi="ar-SA"/>
        </w:rPr>
      </w:pPr>
    </w:p>
    <w:p w14:paraId="274393A2">
      <w:pPr>
        <w:pStyle w:val="3"/>
        <w:spacing w:line="360" w:lineRule="auto"/>
        <w:rPr>
          <w:rFonts w:hint="eastAsia" w:ascii="Times New Roman" w:hAnsi="Times New Roman" w:eastAsia="宋体" w:cs="Times New Roman"/>
          <w:kern w:val="2"/>
          <w:sz w:val="24"/>
          <w:szCs w:val="24"/>
          <w:lang w:val="en-US" w:eastAsia="zh-CN" w:bidi="ar-SA"/>
        </w:rPr>
      </w:pPr>
    </w:p>
    <w:p w14:paraId="3008CFF4">
      <w:pPr>
        <w:pStyle w:val="3"/>
        <w:spacing w:line="360" w:lineRule="auto"/>
        <w:rPr>
          <w:rFonts w:hint="eastAsia" w:ascii="Times New Roman" w:hAnsi="Times New Roman" w:eastAsia="宋体" w:cs="Times New Roman"/>
          <w:kern w:val="2"/>
          <w:sz w:val="24"/>
          <w:szCs w:val="24"/>
          <w:lang w:val="en-US" w:eastAsia="zh-CN" w:bidi="ar-SA"/>
        </w:rPr>
      </w:pPr>
    </w:p>
    <w:p w14:paraId="737C3594">
      <w:pPr>
        <w:pStyle w:val="3"/>
        <w:spacing w:line="360" w:lineRule="auto"/>
        <w:rPr>
          <w:rFonts w:hint="eastAsia" w:ascii="Times New Roman" w:hAnsi="Times New Roman" w:eastAsia="宋体" w:cs="Times New Roman"/>
          <w:kern w:val="2"/>
          <w:sz w:val="24"/>
          <w:szCs w:val="24"/>
          <w:lang w:val="en-US" w:eastAsia="zh-CN" w:bidi="ar-SA"/>
        </w:rPr>
      </w:pPr>
    </w:p>
    <w:p w14:paraId="67AC1842">
      <w:pPr>
        <w:pStyle w:val="3"/>
        <w:spacing w:line="360" w:lineRule="auto"/>
        <w:rPr>
          <w:rFonts w:hint="eastAsia" w:ascii="Times New Roman" w:hAnsi="Times New Roman" w:eastAsia="宋体" w:cs="Times New Roman"/>
          <w:kern w:val="2"/>
          <w:sz w:val="24"/>
          <w:szCs w:val="24"/>
          <w:lang w:val="en-US" w:eastAsia="zh-CN" w:bidi="ar-SA"/>
        </w:rPr>
      </w:pPr>
    </w:p>
    <w:p w14:paraId="2CB1B8C3">
      <w:pPr>
        <w:pStyle w:val="3"/>
        <w:spacing w:line="360" w:lineRule="auto"/>
        <w:ind w:firstLine="480" w:firstLineChars="20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（本页无正文，为甘肃省第二人民医院与</w:t>
      </w:r>
      <w:r>
        <w:rPr>
          <w:rFonts w:hint="eastAsia" w:cs="Times New Roman"/>
          <w:kern w:val="2"/>
          <w:sz w:val="24"/>
          <w:szCs w:val="24"/>
          <w:lang w:val="en-US" w:eastAsia="zh-CN" w:bidi="ar-SA"/>
        </w:rPr>
        <w:t>“</w:t>
      </w:r>
      <w:r>
        <w:rPr>
          <w:rFonts w:hint="eastAsia" w:cs="Times New Roman"/>
          <w:kern w:val="2"/>
          <w:sz w:val="24"/>
          <w:szCs w:val="24"/>
          <w:u w:val="single"/>
          <w:lang w:val="en-US" w:eastAsia="zh-CN" w:bidi="ar-SA"/>
        </w:rPr>
        <w:t xml:space="preserve">       </w:t>
      </w:r>
      <w:r>
        <w:rPr>
          <w:rFonts w:hint="eastAsia" w:cs="Times New Roman"/>
          <w:kern w:val="2"/>
          <w:sz w:val="24"/>
          <w:szCs w:val="24"/>
          <w:lang w:val="en-US" w:eastAsia="zh-CN" w:bidi="ar-SA"/>
        </w:rPr>
        <w:t xml:space="preserve"> ”</w:t>
      </w:r>
      <w:r>
        <w:rPr>
          <w:rFonts w:hint="eastAsia" w:ascii="Times New Roman" w:hAnsi="Times New Roman" w:eastAsia="宋体" w:cs="Times New Roman"/>
          <w:kern w:val="2"/>
          <w:sz w:val="24"/>
          <w:szCs w:val="24"/>
          <w:lang w:val="en-US" w:eastAsia="zh-CN" w:bidi="ar-SA"/>
        </w:rPr>
        <w:t>之间“</w:t>
      </w:r>
      <w:r>
        <w:rPr>
          <w:rFonts w:hint="eastAsia" w:cs="Times New Roman"/>
          <w:kern w:val="2"/>
          <w:sz w:val="24"/>
          <w:szCs w:val="24"/>
          <w:lang w:val="en-US" w:eastAsia="zh-CN" w:bidi="ar-SA"/>
        </w:rPr>
        <w:t xml:space="preserve">     </w:t>
      </w:r>
      <w:r>
        <w:rPr>
          <w:rFonts w:hint="eastAsia" w:cs="Times New Roman"/>
          <w:kern w:val="2"/>
          <w:sz w:val="24"/>
          <w:szCs w:val="24"/>
          <w:u w:val="single"/>
          <w:lang w:val="en-US" w:eastAsia="zh-CN" w:bidi="ar-SA"/>
        </w:rPr>
        <w:t>采购项目</w:t>
      </w:r>
      <w:r>
        <w:rPr>
          <w:rFonts w:hint="eastAsia" w:ascii="Times New Roman" w:hAnsi="Times New Roman" w:eastAsia="宋体" w:cs="Times New Roman"/>
          <w:kern w:val="2"/>
          <w:sz w:val="24"/>
          <w:szCs w:val="24"/>
          <w:lang w:val="en-US" w:eastAsia="zh-CN" w:bidi="ar-SA"/>
        </w:rPr>
        <w:t>”采购合同之签署页）</w:t>
      </w:r>
    </w:p>
    <w:tbl>
      <w:tblPr>
        <w:tblStyle w:val="8"/>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8"/>
        <w:gridCol w:w="5004"/>
      </w:tblGrid>
      <w:tr w14:paraId="60A37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958" w:type="dxa"/>
            <w:tcBorders>
              <w:tl2br w:val="nil"/>
              <w:tr2bl w:val="nil"/>
            </w:tcBorders>
            <w:noWrap/>
            <w:vAlign w:val="top"/>
          </w:tcPr>
          <w:p w14:paraId="0EDEE52F">
            <w:pPr>
              <w:snapToGrid w:val="0"/>
              <w:spacing w:line="360" w:lineRule="auto"/>
              <w:rPr>
                <w:sz w:val="24"/>
              </w:rPr>
            </w:pPr>
            <w:r>
              <w:rPr>
                <w:rFonts w:hint="eastAsia"/>
                <w:sz w:val="24"/>
              </w:rPr>
              <w:t>甲方（公章）：甘肃省第二人民医院</w:t>
            </w:r>
          </w:p>
          <w:p w14:paraId="1AA91F61">
            <w:pPr>
              <w:snapToGrid w:val="0"/>
              <w:spacing w:line="360" w:lineRule="auto"/>
              <w:rPr>
                <w:sz w:val="24"/>
              </w:rPr>
            </w:pPr>
            <w:r>
              <w:rPr>
                <w:rFonts w:hint="eastAsia"/>
                <w:sz w:val="24"/>
                <w:lang w:val="en-US" w:eastAsia="zh-CN"/>
              </w:rPr>
              <w:t>通讯</w:t>
            </w:r>
            <w:r>
              <w:rPr>
                <w:rFonts w:hint="eastAsia"/>
                <w:sz w:val="24"/>
              </w:rPr>
              <w:t>地址：兰州市城关区和政西街1号</w:t>
            </w:r>
          </w:p>
          <w:p w14:paraId="7D675E90">
            <w:pPr>
              <w:snapToGrid w:val="0"/>
              <w:spacing w:line="360" w:lineRule="auto"/>
              <w:rPr>
                <w:rFonts w:hint="eastAsia"/>
                <w:sz w:val="24"/>
                <w:lang w:val="en-US" w:eastAsia="zh-CN"/>
              </w:rPr>
            </w:pPr>
            <w:r>
              <w:rPr>
                <w:rFonts w:hint="eastAsia"/>
                <w:sz w:val="24"/>
              </w:rPr>
              <w:t>电话:0931-</w:t>
            </w:r>
            <w:r>
              <w:rPr>
                <w:rFonts w:hint="eastAsia"/>
                <w:sz w:val="24"/>
                <w:lang w:val="en-US" w:eastAsia="zh-CN"/>
              </w:rPr>
              <w:t>4949317</w:t>
            </w:r>
          </w:p>
          <w:p w14:paraId="67A8A3F0">
            <w:pPr>
              <w:snapToGrid w:val="0"/>
              <w:spacing w:line="360" w:lineRule="auto"/>
              <w:rPr>
                <w:sz w:val="24"/>
              </w:rPr>
            </w:pPr>
            <w:r>
              <w:rPr>
                <w:rFonts w:hint="eastAsia"/>
                <w:sz w:val="24"/>
              </w:rPr>
              <w:t>邮编:730000</w:t>
            </w:r>
          </w:p>
          <w:p w14:paraId="76E08980">
            <w:pPr>
              <w:pStyle w:val="2"/>
              <w:snapToGrid w:val="0"/>
              <w:ind w:firstLine="0"/>
              <w:rPr>
                <w:rFonts w:hint="default" w:eastAsia="宋体"/>
                <w:lang w:val="en-US" w:eastAsia="zh-CN"/>
              </w:rPr>
            </w:pPr>
            <w:r>
              <w:rPr>
                <w:rFonts w:hint="eastAsia"/>
                <w:lang w:val="en-US" w:eastAsia="zh-CN"/>
              </w:rPr>
              <w:t>通讯</w:t>
            </w:r>
            <w:r>
              <w:rPr>
                <w:rFonts w:hint="eastAsia"/>
              </w:rPr>
              <w:t>电子邮箱：</w:t>
            </w:r>
            <w:r>
              <w:rPr>
                <w:rFonts w:hint="eastAsia"/>
                <w:lang w:val="en-US" w:eastAsia="zh-CN"/>
              </w:rPr>
              <w:t>365918597@qq.com</w:t>
            </w:r>
          </w:p>
        </w:tc>
        <w:tc>
          <w:tcPr>
            <w:tcW w:w="5004" w:type="dxa"/>
            <w:tcBorders>
              <w:tl2br w:val="nil"/>
              <w:tr2bl w:val="nil"/>
            </w:tcBorders>
            <w:noWrap/>
            <w:vAlign w:val="top"/>
          </w:tcPr>
          <w:p w14:paraId="0EAB8E79">
            <w:pPr>
              <w:snapToGrid w:val="0"/>
              <w:spacing w:line="360" w:lineRule="auto"/>
              <w:rPr>
                <w:rFonts w:hint="eastAsia"/>
                <w:sz w:val="24"/>
              </w:rPr>
            </w:pPr>
            <w:r>
              <w:rPr>
                <w:rFonts w:hint="eastAsia"/>
                <w:sz w:val="24"/>
              </w:rPr>
              <w:t>乙方（公章）：</w:t>
            </w:r>
          </w:p>
          <w:p w14:paraId="780DE60C">
            <w:pPr>
              <w:snapToGrid w:val="0"/>
              <w:spacing w:line="360" w:lineRule="auto"/>
              <w:rPr>
                <w:rFonts w:hint="eastAsia"/>
                <w:sz w:val="24"/>
              </w:rPr>
            </w:pPr>
            <w:r>
              <w:rPr>
                <w:rFonts w:hint="eastAsia"/>
                <w:sz w:val="24"/>
                <w:lang w:val="en-US" w:eastAsia="zh-CN"/>
              </w:rPr>
              <w:t>通讯</w:t>
            </w:r>
            <w:r>
              <w:rPr>
                <w:rFonts w:hint="eastAsia"/>
                <w:sz w:val="24"/>
              </w:rPr>
              <w:t>地址：</w:t>
            </w:r>
          </w:p>
          <w:p w14:paraId="659C0356">
            <w:pPr>
              <w:snapToGrid w:val="0"/>
              <w:spacing w:line="360" w:lineRule="auto"/>
              <w:rPr>
                <w:rFonts w:hint="default"/>
                <w:sz w:val="24"/>
                <w:lang w:val="en-US" w:eastAsia="zh-CN"/>
              </w:rPr>
            </w:pPr>
            <w:r>
              <w:rPr>
                <w:rFonts w:hint="eastAsia"/>
                <w:sz w:val="24"/>
              </w:rPr>
              <w:t>电话:</w:t>
            </w:r>
          </w:p>
          <w:p w14:paraId="528448E9">
            <w:pPr>
              <w:snapToGrid w:val="0"/>
              <w:spacing w:line="360" w:lineRule="auto"/>
              <w:rPr>
                <w:rFonts w:hint="default"/>
                <w:sz w:val="24"/>
                <w:lang w:val="en-US" w:eastAsia="zh-CN"/>
              </w:rPr>
            </w:pPr>
            <w:r>
              <w:rPr>
                <w:rFonts w:hint="eastAsia"/>
                <w:sz w:val="24"/>
              </w:rPr>
              <w:t>邮编:</w:t>
            </w:r>
          </w:p>
          <w:p w14:paraId="518F22E4">
            <w:pPr>
              <w:snapToGrid w:val="0"/>
              <w:spacing w:line="360" w:lineRule="auto"/>
              <w:rPr>
                <w:rFonts w:hint="default" w:eastAsia="宋体"/>
                <w:lang w:val="en-US" w:eastAsia="zh-CN"/>
              </w:rPr>
            </w:pPr>
            <w:r>
              <w:rPr>
                <w:rFonts w:hint="eastAsia"/>
                <w:sz w:val="24"/>
                <w:lang w:val="en-US" w:eastAsia="zh-CN"/>
              </w:rPr>
              <w:t>通讯</w:t>
            </w:r>
            <w:r>
              <w:rPr>
                <w:rFonts w:hint="eastAsia"/>
                <w:sz w:val="24"/>
              </w:rPr>
              <w:t>电子邮箱：</w:t>
            </w:r>
          </w:p>
        </w:tc>
      </w:tr>
      <w:tr w14:paraId="598C8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958" w:type="dxa"/>
            <w:tcBorders>
              <w:tl2br w:val="nil"/>
              <w:tr2bl w:val="nil"/>
            </w:tcBorders>
            <w:noWrap/>
            <w:vAlign w:val="center"/>
          </w:tcPr>
          <w:p w14:paraId="7F138461">
            <w:pPr>
              <w:snapToGrid w:val="0"/>
              <w:spacing w:line="480" w:lineRule="auto"/>
              <w:rPr>
                <w:rFonts w:hint="eastAsia"/>
                <w:sz w:val="24"/>
              </w:rPr>
            </w:pPr>
            <w:r>
              <w:rPr>
                <w:rFonts w:hint="eastAsia"/>
                <w:sz w:val="24"/>
              </w:rPr>
              <w:t>甲方法定代表人：</w:t>
            </w:r>
          </w:p>
          <w:p w14:paraId="24510607">
            <w:pPr>
              <w:pStyle w:val="3"/>
              <w:snapToGrid w:val="0"/>
            </w:pPr>
          </w:p>
          <w:p w14:paraId="5935E876">
            <w:pPr>
              <w:pStyle w:val="3"/>
              <w:snapToGrid w:val="0"/>
            </w:pPr>
          </w:p>
          <w:p w14:paraId="54B7447E">
            <w:pPr>
              <w:pStyle w:val="3"/>
              <w:snapToGrid w:val="0"/>
            </w:pPr>
          </w:p>
          <w:p w14:paraId="70E73FF1">
            <w:pPr>
              <w:pStyle w:val="3"/>
              <w:snapToGrid w:val="0"/>
            </w:pPr>
          </w:p>
          <w:p w14:paraId="47DFC792">
            <w:pPr>
              <w:snapToGrid w:val="0"/>
            </w:pPr>
          </w:p>
          <w:p w14:paraId="16504D19">
            <w:pPr>
              <w:snapToGrid w:val="0"/>
              <w:spacing w:line="480" w:lineRule="auto"/>
              <w:rPr>
                <w:sz w:val="24"/>
              </w:rPr>
            </w:pPr>
            <w:r>
              <w:rPr>
                <w:rFonts w:hint="eastAsia"/>
                <w:sz w:val="24"/>
              </w:rPr>
              <w:t>签字日期:</w:t>
            </w:r>
            <w:r>
              <w:rPr>
                <w:rFonts w:hint="eastAsia"/>
                <w:sz w:val="24"/>
                <w:lang w:val="en-US" w:eastAsia="zh-CN"/>
              </w:rPr>
              <w:t xml:space="preserve">      </w:t>
            </w:r>
            <w:r>
              <w:rPr>
                <w:rFonts w:hint="eastAsia"/>
                <w:sz w:val="24"/>
              </w:rPr>
              <w:t>年</w:t>
            </w:r>
            <w:r>
              <w:rPr>
                <w:rFonts w:hint="eastAsia"/>
                <w:sz w:val="24"/>
                <w:lang w:val="en-US" w:eastAsia="zh-CN"/>
              </w:rPr>
              <w:t xml:space="preserve">   </w:t>
            </w:r>
            <w:r>
              <w:rPr>
                <w:rFonts w:hint="eastAsia"/>
                <w:sz w:val="24"/>
              </w:rPr>
              <w:t>月</w:t>
            </w:r>
            <w:r>
              <w:rPr>
                <w:rFonts w:hint="eastAsia"/>
                <w:sz w:val="24"/>
                <w:lang w:val="en-US" w:eastAsia="zh-CN"/>
              </w:rPr>
              <w:t xml:space="preserve">   </w:t>
            </w:r>
            <w:r>
              <w:rPr>
                <w:rFonts w:hint="eastAsia"/>
                <w:sz w:val="24"/>
              </w:rPr>
              <w:t>日</w:t>
            </w:r>
          </w:p>
        </w:tc>
        <w:tc>
          <w:tcPr>
            <w:tcW w:w="5004" w:type="dxa"/>
            <w:tcBorders>
              <w:tl2br w:val="nil"/>
              <w:tr2bl w:val="nil"/>
            </w:tcBorders>
            <w:noWrap/>
            <w:vAlign w:val="center"/>
          </w:tcPr>
          <w:p w14:paraId="421D2EA3">
            <w:pPr>
              <w:tabs>
                <w:tab w:val="left" w:pos="377"/>
              </w:tabs>
              <w:snapToGrid w:val="0"/>
              <w:spacing w:line="480" w:lineRule="auto"/>
              <w:rPr>
                <w:rFonts w:hint="eastAsia"/>
                <w:sz w:val="24"/>
              </w:rPr>
            </w:pPr>
            <w:r>
              <w:rPr>
                <w:rFonts w:hint="eastAsia"/>
                <w:sz w:val="24"/>
              </w:rPr>
              <w:t>乙方法定代表人：</w:t>
            </w:r>
          </w:p>
          <w:p w14:paraId="5156DD79">
            <w:pPr>
              <w:pStyle w:val="3"/>
              <w:snapToGrid w:val="0"/>
            </w:pPr>
          </w:p>
          <w:p w14:paraId="0A032B7A">
            <w:pPr>
              <w:pStyle w:val="3"/>
              <w:snapToGrid w:val="0"/>
            </w:pPr>
          </w:p>
          <w:p w14:paraId="2171FF6C">
            <w:pPr>
              <w:pStyle w:val="3"/>
              <w:snapToGrid w:val="0"/>
            </w:pPr>
          </w:p>
          <w:p w14:paraId="7816BC5A">
            <w:pPr>
              <w:pStyle w:val="3"/>
              <w:snapToGrid w:val="0"/>
            </w:pPr>
          </w:p>
          <w:p w14:paraId="1896D0A5">
            <w:pPr>
              <w:snapToGrid w:val="0"/>
            </w:pPr>
          </w:p>
          <w:p w14:paraId="013864C5">
            <w:pPr>
              <w:snapToGrid w:val="0"/>
              <w:spacing w:line="480" w:lineRule="auto"/>
              <w:rPr>
                <w:sz w:val="24"/>
              </w:rPr>
            </w:pPr>
            <w:r>
              <w:rPr>
                <w:rFonts w:hint="eastAsia"/>
                <w:sz w:val="24"/>
              </w:rPr>
              <w:t>签字日期:</w:t>
            </w:r>
            <w:r>
              <w:rPr>
                <w:rFonts w:hint="eastAsia"/>
                <w:sz w:val="24"/>
                <w:lang w:val="en-US" w:eastAsia="zh-CN"/>
              </w:rPr>
              <w:t xml:space="preserve">      </w:t>
            </w:r>
            <w:r>
              <w:rPr>
                <w:rFonts w:hint="eastAsia"/>
                <w:sz w:val="24"/>
              </w:rPr>
              <w:t>年</w:t>
            </w:r>
            <w:r>
              <w:rPr>
                <w:rFonts w:hint="eastAsia"/>
                <w:sz w:val="24"/>
                <w:lang w:val="en-US" w:eastAsia="zh-CN"/>
              </w:rPr>
              <w:t xml:space="preserve">   </w:t>
            </w:r>
            <w:r>
              <w:rPr>
                <w:rFonts w:hint="eastAsia"/>
                <w:sz w:val="24"/>
              </w:rPr>
              <w:t>月</w:t>
            </w:r>
            <w:r>
              <w:rPr>
                <w:rFonts w:hint="eastAsia"/>
                <w:sz w:val="24"/>
                <w:lang w:val="en-US" w:eastAsia="zh-CN"/>
              </w:rPr>
              <w:t xml:space="preserve">   </w:t>
            </w:r>
            <w:r>
              <w:rPr>
                <w:rFonts w:hint="eastAsia"/>
                <w:sz w:val="24"/>
              </w:rPr>
              <w:t>日</w:t>
            </w:r>
          </w:p>
        </w:tc>
      </w:tr>
      <w:tr w14:paraId="15A1F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958" w:type="dxa"/>
            <w:tcBorders>
              <w:tl2br w:val="nil"/>
              <w:tr2bl w:val="nil"/>
            </w:tcBorders>
            <w:noWrap/>
            <w:vAlign w:val="center"/>
          </w:tcPr>
          <w:p w14:paraId="74E1B21C">
            <w:pPr>
              <w:snapToGrid w:val="0"/>
              <w:spacing w:line="480" w:lineRule="auto"/>
              <w:rPr>
                <w:sz w:val="24"/>
              </w:rPr>
            </w:pPr>
            <w:r>
              <w:rPr>
                <w:rFonts w:hint="eastAsia"/>
                <w:sz w:val="24"/>
              </w:rPr>
              <w:t>委托授权人:</w:t>
            </w:r>
          </w:p>
          <w:p w14:paraId="32D9498C">
            <w:pPr>
              <w:pStyle w:val="3"/>
              <w:snapToGrid w:val="0"/>
            </w:pPr>
          </w:p>
          <w:p w14:paraId="6691F857">
            <w:pPr>
              <w:snapToGrid w:val="0"/>
            </w:pPr>
          </w:p>
          <w:p w14:paraId="2F88A49B">
            <w:pPr>
              <w:snapToGrid w:val="0"/>
            </w:pPr>
          </w:p>
          <w:p w14:paraId="3CB6D25E">
            <w:pPr>
              <w:snapToGrid w:val="0"/>
            </w:pPr>
          </w:p>
          <w:p w14:paraId="7CE6302E">
            <w:pPr>
              <w:snapToGrid w:val="0"/>
            </w:pPr>
          </w:p>
          <w:p w14:paraId="19303BF8">
            <w:pPr>
              <w:snapToGrid w:val="0"/>
              <w:spacing w:line="480" w:lineRule="auto"/>
              <w:rPr>
                <w:sz w:val="24"/>
              </w:rPr>
            </w:pPr>
            <w:r>
              <w:rPr>
                <w:rFonts w:hint="eastAsia"/>
                <w:sz w:val="24"/>
              </w:rPr>
              <w:t>签字日期：</w:t>
            </w:r>
            <w:r>
              <w:rPr>
                <w:rFonts w:hint="eastAsia"/>
                <w:sz w:val="24"/>
                <w:lang w:val="en-US" w:eastAsia="zh-CN"/>
              </w:rPr>
              <w:t xml:space="preserve">     </w:t>
            </w:r>
            <w:r>
              <w:rPr>
                <w:rFonts w:hint="eastAsia"/>
                <w:sz w:val="24"/>
              </w:rPr>
              <w:t>年</w:t>
            </w:r>
            <w:r>
              <w:rPr>
                <w:rFonts w:hint="eastAsia"/>
                <w:sz w:val="24"/>
                <w:lang w:val="en-US" w:eastAsia="zh-CN"/>
              </w:rPr>
              <w:t xml:space="preserve">   </w:t>
            </w:r>
            <w:r>
              <w:rPr>
                <w:rFonts w:hint="eastAsia"/>
                <w:sz w:val="24"/>
              </w:rPr>
              <w:t>月</w:t>
            </w:r>
            <w:r>
              <w:rPr>
                <w:rFonts w:hint="eastAsia"/>
                <w:sz w:val="24"/>
                <w:lang w:val="en-US" w:eastAsia="zh-CN"/>
              </w:rPr>
              <w:t xml:space="preserve">   </w:t>
            </w:r>
            <w:r>
              <w:rPr>
                <w:rFonts w:hint="eastAsia"/>
                <w:sz w:val="24"/>
              </w:rPr>
              <w:t>日</w:t>
            </w:r>
          </w:p>
        </w:tc>
        <w:tc>
          <w:tcPr>
            <w:tcW w:w="5004" w:type="dxa"/>
            <w:tcBorders>
              <w:tl2br w:val="nil"/>
              <w:tr2bl w:val="nil"/>
            </w:tcBorders>
            <w:noWrap/>
            <w:vAlign w:val="center"/>
          </w:tcPr>
          <w:p w14:paraId="57931E72">
            <w:pPr>
              <w:snapToGrid w:val="0"/>
              <w:spacing w:line="480" w:lineRule="auto"/>
              <w:rPr>
                <w:sz w:val="24"/>
              </w:rPr>
            </w:pPr>
            <w:r>
              <w:rPr>
                <w:rFonts w:hint="eastAsia"/>
                <w:sz w:val="24"/>
              </w:rPr>
              <w:t>委托授权人:</w:t>
            </w:r>
          </w:p>
          <w:p w14:paraId="2C0366CC">
            <w:pPr>
              <w:pStyle w:val="3"/>
              <w:snapToGrid w:val="0"/>
            </w:pPr>
          </w:p>
          <w:p w14:paraId="7FE42977">
            <w:pPr>
              <w:pStyle w:val="3"/>
              <w:snapToGrid w:val="0"/>
            </w:pPr>
          </w:p>
          <w:p w14:paraId="345B6263">
            <w:pPr>
              <w:pStyle w:val="3"/>
              <w:snapToGrid w:val="0"/>
            </w:pPr>
          </w:p>
          <w:p w14:paraId="3719BCDF">
            <w:pPr>
              <w:pStyle w:val="3"/>
              <w:snapToGrid w:val="0"/>
            </w:pPr>
          </w:p>
          <w:p w14:paraId="1C0390A3">
            <w:pPr>
              <w:snapToGrid w:val="0"/>
            </w:pPr>
          </w:p>
          <w:p w14:paraId="6165D34C">
            <w:pPr>
              <w:snapToGrid w:val="0"/>
              <w:spacing w:line="480" w:lineRule="auto"/>
              <w:rPr>
                <w:sz w:val="24"/>
              </w:rPr>
            </w:pPr>
            <w:r>
              <w:rPr>
                <w:rFonts w:hint="eastAsia"/>
                <w:sz w:val="24"/>
              </w:rPr>
              <w:t>签字日期：</w:t>
            </w:r>
            <w:r>
              <w:rPr>
                <w:rFonts w:hint="eastAsia"/>
                <w:sz w:val="24"/>
                <w:lang w:val="en-US" w:eastAsia="zh-CN"/>
              </w:rPr>
              <w:t xml:space="preserve">     </w:t>
            </w:r>
            <w:r>
              <w:rPr>
                <w:rFonts w:hint="eastAsia"/>
                <w:sz w:val="24"/>
              </w:rPr>
              <w:t>年</w:t>
            </w:r>
            <w:r>
              <w:rPr>
                <w:rFonts w:hint="eastAsia"/>
                <w:sz w:val="24"/>
                <w:lang w:val="en-US" w:eastAsia="zh-CN"/>
              </w:rPr>
              <w:t xml:space="preserve">   </w:t>
            </w:r>
            <w:r>
              <w:rPr>
                <w:rFonts w:hint="eastAsia"/>
                <w:sz w:val="24"/>
              </w:rPr>
              <w:t>月</w:t>
            </w:r>
            <w:r>
              <w:rPr>
                <w:rFonts w:hint="eastAsia"/>
                <w:sz w:val="24"/>
                <w:lang w:val="en-US" w:eastAsia="zh-CN"/>
              </w:rPr>
              <w:t xml:space="preserve">   </w:t>
            </w:r>
            <w:r>
              <w:rPr>
                <w:rFonts w:hint="eastAsia"/>
                <w:sz w:val="24"/>
              </w:rPr>
              <w:t>日</w:t>
            </w:r>
          </w:p>
        </w:tc>
      </w:tr>
      <w:tr w14:paraId="32488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958" w:type="dxa"/>
            <w:tcBorders>
              <w:tl2br w:val="nil"/>
              <w:tr2bl w:val="nil"/>
            </w:tcBorders>
            <w:noWrap/>
            <w:vAlign w:val="center"/>
          </w:tcPr>
          <w:p w14:paraId="385D1773">
            <w:pPr>
              <w:snapToGrid w:val="0"/>
              <w:spacing w:line="48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招标采购科、医学装备科</w:t>
            </w:r>
            <w:r>
              <w:rPr>
                <w:rFonts w:hint="eastAsia" w:ascii="宋体" w:hAnsi="宋体" w:eastAsia="宋体" w:cs="宋体"/>
                <w:sz w:val="24"/>
                <w:szCs w:val="24"/>
                <w:lang w:eastAsia="zh-CN"/>
              </w:rPr>
              <w:t>：</w:t>
            </w:r>
          </w:p>
          <w:p w14:paraId="37A29B85">
            <w:pPr>
              <w:pStyle w:val="4"/>
              <w:snapToGrid w:val="0"/>
              <w:rPr>
                <w:rFonts w:hint="eastAsia"/>
              </w:rPr>
            </w:pPr>
          </w:p>
          <w:p w14:paraId="1EE41856">
            <w:pPr>
              <w:pStyle w:val="4"/>
              <w:snapToGrid w:val="0"/>
              <w:ind w:left="0" w:leftChars="0" w:firstLine="0" w:firstLineChars="0"/>
              <w:rPr>
                <w:rFonts w:hint="eastAsia"/>
              </w:rPr>
            </w:pPr>
          </w:p>
          <w:p w14:paraId="645EA986">
            <w:pPr>
              <w:pStyle w:val="3"/>
              <w:snapToGrid w:val="0"/>
              <w:rPr>
                <w:rFonts w:hint="eastAsia" w:ascii="宋体" w:hAnsi="宋体" w:eastAsia="宋体" w:cs="宋体"/>
                <w:sz w:val="24"/>
                <w:szCs w:val="24"/>
                <w:lang w:val="en-US" w:eastAsia="zh-CN"/>
              </w:rPr>
            </w:pPr>
          </w:p>
          <w:p w14:paraId="028457FB">
            <w:pPr>
              <w:snapToGrid w:val="0"/>
              <w:spacing w:line="480" w:lineRule="auto"/>
              <w:rPr>
                <w:rFonts w:hint="eastAsia"/>
                <w:sz w:val="24"/>
              </w:rPr>
            </w:pPr>
            <w:r>
              <w:rPr>
                <w:rFonts w:hint="eastAsia" w:ascii="宋体" w:hAnsi="宋体" w:eastAsia="宋体" w:cs="宋体"/>
                <w:sz w:val="24"/>
                <w:szCs w:val="24"/>
              </w:rPr>
              <w:t>签字日期：</w:t>
            </w:r>
            <w:r>
              <w:rPr>
                <w:rFonts w:hint="eastAsia"/>
                <w:sz w:val="24"/>
                <w:lang w:val="en-US" w:eastAsia="zh-CN"/>
              </w:rPr>
              <w:t xml:space="preserve">    </w:t>
            </w:r>
            <w:r>
              <w:rPr>
                <w:rFonts w:hint="eastAsia"/>
                <w:sz w:val="24"/>
              </w:rPr>
              <w:t>年</w:t>
            </w:r>
            <w:r>
              <w:rPr>
                <w:rFonts w:hint="eastAsia"/>
                <w:sz w:val="24"/>
                <w:lang w:val="en-US" w:eastAsia="zh-CN"/>
              </w:rPr>
              <w:t xml:space="preserve">   </w:t>
            </w:r>
            <w:r>
              <w:rPr>
                <w:rFonts w:hint="eastAsia"/>
                <w:sz w:val="24"/>
              </w:rPr>
              <w:t>月</w:t>
            </w:r>
            <w:r>
              <w:rPr>
                <w:rFonts w:hint="eastAsia"/>
                <w:sz w:val="24"/>
                <w:lang w:val="en-US" w:eastAsia="zh-CN"/>
              </w:rPr>
              <w:t xml:space="preserve">   </w:t>
            </w:r>
            <w:r>
              <w:rPr>
                <w:rFonts w:hint="eastAsia"/>
                <w:sz w:val="24"/>
              </w:rPr>
              <w:t>日</w:t>
            </w:r>
          </w:p>
        </w:tc>
        <w:tc>
          <w:tcPr>
            <w:tcW w:w="5004" w:type="dxa"/>
            <w:tcBorders>
              <w:tl2br w:val="nil"/>
              <w:tr2bl w:val="nil"/>
            </w:tcBorders>
            <w:noWrap/>
            <w:vAlign w:val="center"/>
          </w:tcPr>
          <w:p w14:paraId="1B8606B3">
            <w:pPr>
              <w:snapToGrid w:val="0"/>
              <w:spacing w:line="480" w:lineRule="auto"/>
              <w:rPr>
                <w:rFonts w:hint="eastAsia" w:ascii="宋体" w:hAnsi="宋体" w:eastAsia="宋体" w:cs="宋体"/>
                <w:sz w:val="24"/>
                <w:szCs w:val="24"/>
              </w:rPr>
            </w:pPr>
            <w:r>
              <w:rPr>
                <w:rFonts w:hint="eastAsia" w:ascii="宋体" w:hAnsi="宋体" w:eastAsia="宋体" w:cs="宋体"/>
                <w:sz w:val="24"/>
                <w:szCs w:val="24"/>
                <w:lang w:val="en-US" w:eastAsia="zh-CN"/>
              </w:rPr>
              <w:t>经办</w:t>
            </w:r>
            <w:r>
              <w:rPr>
                <w:rFonts w:hint="eastAsia" w:ascii="宋体" w:hAnsi="宋体" w:eastAsia="宋体" w:cs="宋体"/>
                <w:sz w:val="24"/>
                <w:szCs w:val="24"/>
              </w:rPr>
              <w:t>人</w:t>
            </w:r>
            <w:r>
              <w:rPr>
                <w:rFonts w:hint="eastAsia" w:ascii="宋体" w:hAnsi="宋体" w:eastAsia="宋体" w:cs="宋体"/>
                <w:sz w:val="24"/>
                <w:szCs w:val="24"/>
                <w:lang w:eastAsia="zh-CN"/>
              </w:rPr>
              <w:t>：</w:t>
            </w:r>
          </w:p>
          <w:p w14:paraId="3598616A">
            <w:pPr>
              <w:pStyle w:val="3"/>
              <w:snapToGrid w:val="0"/>
              <w:rPr>
                <w:rFonts w:hint="eastAsia" w:ascii="宋体" w:hAnsi="宋体" w:eastAsia="宋体" w:cs="宋体"/>
                <w:sz w:val="24"/>
                <w:szCs w:val="24"/>
                <w:lang w:val="en-US" w:eastAsia="zh-CN"/>
              </w:rPr>
            </w:pPr>
          </w:p>
          <w:p w14:paraId="22CAD4A4">
            <w:pPr>
              <w:pStyle w:val="3"/>
              <w:snapToGrid w:val="0"/>
              <w:rPr>
                <w:rFonts w:hint="eastAsia" w:ascii="宋体" w:hAnsi="宋体" w:eastAsia="宋体" w:cs="宋体"/>
                <w:sz w:val="24"/>
                <w:szCs w:val="24"/>
                <w:lang w:val="en-US" w:eastAsia="zh-CN"/>
              </w:rPr>
            </w:pPr>
          </w:p>
          <w:p w14:paraId="0CEA51C5">
            <w:pPr>
              <w:snapToGrid w:val="0"/>
              <w:rPr>
                <w:rFonts w:hint="eastAsia"/>
                <w:lang w:val="en-US" w:eastAsia="zh-CN"/>
              </w:rPr>
            </w:pPr>
          </w:p>
          <w:p w14:paraId="3FC184F7">
            <w:pPr>
              <w:snapToGrid w:val="0"/>
              <w:spacing w:line="480" w:lineRule="auto"/>
              <w:rPr>
                <w:rFonts w:hint="eastAsia"/>
                <w:sz w:val="24"/>
              </w:rPr>
            </w:pPr>
            <w:r>
              <w:rPr>
                <w:rFonts w:hint="eastAsia" w:ascii="宋体" w:hAnsi="宋体" w:eastAsia="宋体" w:cs="宋体"/>
                <w:sz w:val="24"/>
                <w:szCs w:val="24"/>
              </w:rPr>
              <w:t>签字日期：</w:t>
            </w:r>
            <w:r>
              <w:rPr>
                <w:rFonts w:hint="eastAsia"/>
                <w:sz w:val="24"/>
                <w:lang w:val="en-US" w:eastAsia="zh-CN"/>
              </w:rPr>
              <w:t xml:space="preserve">    </w:t>
            </w:r>
            <w:r>
              <w:rPr>
                <w:rFonts w:hint="eastAsia"/>
                <w:sz w:val="24"/>
              </w:rPr>
              <w:t>年</w:t>
            </w:r>
            <w:r>
              <w:rPr>
                <w:rFonts w:hint="eastAsia"/>
                <w:sz w:val="24"/>
                <w:lang w:val="en-US" w:eastAsia="zh-CN"/>
              </w:rPr>
              <w:t xml:space="preserve">   </w:t>
            </w:r>
            <w:r>
              <w:rPr>
                <w:rFonts w:hint="eastAsia"/>
                <w:sz w:val="24"/>
              </w:rPr>
              <w:t>月</w:t>
            </w:r>
            <w:r>
              <w:rPr>
                <w:rFonts w:hint="eastAsia"/>
                <w:sz w:val="24"/>
                <w:lang w:val="en-US" w:eastAsia="zh-CN"/>
              </w:rPr>
              <w:t xml:space="preserve">   </w:t>
            </w:r>
            <w:r>
              <w:rPr>
                <w:rFonts w:hint="eastAsia"/>
                <w:sz w:val="24"/>
              </w:rPr>
              <w:t>日</w:t>
            </w:r>
          </w:p>
        </w:tc>
      </w:tr>
      <w:tr w14:paraId="79CE5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958" w:type="dxa"/>
            <w:tcBorders>
              <w:tl2br w:val="nil"/>
              <w:tr2bl w:val="nil"/>
            </w:tcBorders>
            <w:noWrap/>
            <w:vAlign w:val="center"/>
          </w:tcPr>
          <w:p w14:paraId="10D52756">
            <w:pPr>
              <w:snapToGrid w:val="0"/>
              <w:spacing w:line="360" w:lineRule="auto"/>
              <w:rPr>
                <w:rFonts w:hint="eastAsia" w:ascii="宋体" w:hAnsi="宋体" w:eastAsia="宋体" w:cs="宋体"/>
                <w:highlight w:val="none"/>
              </w:rPr>
            </w:pPr>
            <w:r>
              <w:rPr>
                <w:rFonts w:hint="eastAsia" w:ascii="宋体" w:hAnsi="宋体" w:eastAsia="宋体" w:cs="宋体"/>
                <w:sz w:val="24"/>
                <w:highlight w:val="none"/>
              </w:rPr>
              <w:t>开户行：</w:t>
            </w:r>
            <w:r>
              <w:rPr>
                <w:rFonts w:hint="eastAsia" w:ascii="宋体" w:hAnsi="宋体" w:eastAsia="宋体" w:cs="宋体"/>
                <w:sz w:val="24"/>
                <w:highlight w:val="none"/>
                <w:lang w:val="en-US" w:eastAsia="zh-CN"/>
              </w:rPr>
              <w:t>中国建设银行股份有限公司兰州铁路支行</w:t>
            </w:r>
          </w:p>
          <w:p w14:paraId="0072F861">
            <w:pPr>
              <w:snapToGrid w:val="0"/>
              <w:spacing w:line="480" w:lineRule="auto"/>
              <w:rPr>
                <w:sz w:val="24"/>
              </w:rPr>
            </w:pPr>
            <w:r>
              <w:rPr>
                <w:rFonts w:hint="eastAsia" w:ascii="宋体" w:hAnsi="宋体" w:eastAsia="宋体" w:cs="宋体"/>
                <w:sz w:val="24"/>
                <w:highlight w:val="none"/>
              </w:rPr>
              <w:t>账号：</w:t>
            </w:r>
            <w:r>
              <w:rPr>
                <w:rFonts w:hint="eastAsia" w:ascii="宋体" w:hAnsi="宋体" w:eastAsia="宋体" w:cs="宋体"/>
                <w:sz w:val="24"/>
                <w:highlight w:val="none"/>
                <w:lang w:val="en-US" w:eastAsia="zh-CN"/>
              </w:rPr>
              <w:t>62001370001051501707</w:t>
            </w:r>
          </w:p>
        </w:tc>
        <w:tc>
          <w:tcPr>
            <w:tcW w:w="5004" w:type="dxa"/>
            <w:tcBorders>
              <w:tl2br w:val="nil"/>
              <w:tr2bl w:val="nil"/>
            </w:tcBorders>
            <w:noWrap/>
            <w:vAlign w:val="center"/>
          </w:tcPr>
          <w:p w14:paraId="5FAE2426">
            <w:pPr>
              <w:snapToGrid w:val="0"/>
              <w:spacing w:line="480" w:lineRule="auto"/>
              <w:rPr>
                <w:rFonts w:hint="default" w:eastAsia="宋体"/>
                <w:sz w:val="24"/>
                <w:lang w:val="en-US" w:eastAsia="zh-CN"/>
              </w:rPr>
            </w:pPr>
            <w:r>
              <w:rPr>
                <w:rFonts w:hint="eastAsia"/>
                <w:sz w:val="24"/>
              </w:rPr>
              <w:t>开户行：</w:t>
            </w:r>
          </w:p>
          <w:p w14:paraId="62543F3B">
            <w:pPr>
              <w:pStyle w:val="3"/>
              <w:snapToGrid w:val="0"/>
            </w:pPr>
          </w:p>
          <w:p w14:paraId="37203E0B">
            <w:pPr>
              <w:snapToGrid w:val="0"/>
              <w:spacing w:line="480" w:lineRule="auto"/>
              <w:rPr>
                <w:sz w:val="24"/>
              </w:rPr>
            </w:pPr>
            <w:r>
              <w:rPr>
                <w:rFonts w:hint="eastAsia" w:ascii="宋体" w:hAnsi="宋体" w:cs="宋体"/>
                <w:sz w:val="24"/>
              </w:rPr>
              <w:t>账号：</w:t>
            </w:r>
          </w:p>
        </w:tc>
      </w:tr>
    </w:tbl>
    <w:p w14:paraId="328049C5">
      <w:pPr>
        <w:spacing w:line="360" w:lineRule="auto"/>
        <w:rPr>
          <w:b/>
          <w:bCs/>
          <w:sz w:val="24"/>
        </w:rPr>
      </w:pPr>
      <w:r>
        <w:rPr>
          <w:rFonts w:hint="eastAsia"/>
          <w:b/>
          <w:bCs/>
          <w:sz w:val="24"/>
        </w:rPr>
        <w:t>备注：签署合同者需亲笔签署合同，不可机打。</w:t>
      </w:r>
    </w:p>
    <w:p w14:paraId="6EA9A4DD">
      <w:pPr>
        <w:pStyle w:val="7"/>
        <w:spacing w:before="0" w:after="0"/>
        <w:jc w:val="both"/>
        <w:rPr>
          <w:rFonts w:hint="eastAsia" w:eastAsia="宋体"/>
          <w:b/>
          <w:bCs/>
          <w:sz w:val="28"/>
          <w:szCs w:val="28"/>
          <w:lang w:val="en-US" w:eastAsia="zh-CN"/>
        </w:rPr>
      </w:pPr>
      <w:r>
        <w:rPr>
          <w:rFonts w:hint="eastAsia"/>
          <w:b/>
          <w:bCs/>
          <w:sz w:val="28"/>
          <w:szCs w:val="28"/>
          <w:lang w:val="en-US" w:eastAsia="zh-CN"/>
        </w:rPr>
        <w:t>附件一</w:t>
      </w:r>
    </w:p>
    <w:p w14:paraId="5B4626BC">
      <w:pPr>
        <w:pStyle w:val="7"/>
        <w:spacing w:before="0" w:after="0"/>
        <w:jc w:val="center"/>
        <w:rPr>
          <w:b/>
          <w:color w:val="000000"/>
          <w:sz w:val="36"/>
          <w:szCs w:val="36"/>
        </w:rPr>
      </w:pPr>
      <w:r>
        <w:rPr>
          <w:rFonts w:hint="eastAsia"/>
          <w:b/>
          <w:bCs/>
          <w:sz w:val="36"/>
          <w:szCs w:val="36"/>
        </w:rPr>
        <w:t>廉政协议书</w:t>
      </w:r>
    </w:p>
    <w:p w14:paraId="094FC2C9">
      <w:pPr>
        <w:pStyle w:val="7"/>
        <w:spacing w:before="0" w:beforeAutospacing="0" w:after="0" w:afterAutospacing="0"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甲方：甘肃省第二人民医院</w:t>
      </w:r>
    </w:p>
    <w:p w14:paraId="6EFC9629">
      <w:pPr>
        <w:pStyle w:val="7"/>
        <w:spacing w:before="0" w:beforeAutospacing="0" w:after="0" w:afterAutospacing="0" w:line="360" w:lineRule="auto"/>
        <w:ind w:firstLine="482" w:firstLineChars="200"/>
        <w:rPr>
          <w:rFonts w:hint="eastAsia" w:ascii="宋体" w:hAnsi="宋体" w:eastAsia="宋体" w:cs="宋体"/>
          <w:b/>
          <w:color w:val="000000"/>
          <w:sz w:val="24"/>
          <w:szCs w:val="24"/>
          <w:u w:val="single"/>
          <w:lang w:val="en-US" w:eastAsia="zh-CN"/>
        </w:rPr>
      </w:pPr>
      <w:r>
        <w:rPr>
          <w:rFonts w:hint="eastAsia" w:ascii="宋体" w:hAnsi="宋体" w:eastAsia="宋体" w:cs="宋体"/>
          <w:b/>
          <w:color w:val="000000"/>
          <w:sz w:val="24"/>
          <w:szCs w:val="24"/>
        </w:rPr>
        <w:t>乙方：</w:t>
      </w:r>
      <w:r>
        <w:rPr>
          <w:rFonts w:hint="eastAsia" w:ascii="宋体" w:hAnsi="宋体" w:eastAsia="宋体" w:cs="宋体"/>
          <w:b/>
          <w:color w:val="000000"/>
          <w:sz w:val="24"/>
          <w:szCs w:val="24"/>
          <w:u w:val="single"/>
          <w:lang w:val="en-US" w:eastAsia="zh-CN"/>
        </w:rPr>
        <w:t xml:space="preserve"> </w:t>
      </w:r>
      <w:bookmarkStart w:id="15" w:name="_GoBack"/>
      <w:bookmarkEnd w:id="15"/>
      <w:r>
        <w:rPr>
          <w:rFonts w:hint="eastAsia" w:ascii="宋体" w:hAnsi="宋体" w:eastAsia="宋体" w:cs="宋体"/>
          <w:b/>
          <w:color w:val="000000"/>
          <w:sz w:val="24"/>
          <w:szCs w:val="24"/>
          <w:u w:val="single"/>
          <w:lang w:val="en-US" w:eastAsia="zh-CN"/>
        </w:rPr>
        <w:t xml:space="preserve"> </w:t>
      </w:r>
    </w:p>
    <w:p w14:paraId="1922753C">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为加强廉政建设，杜绝不廉洁行为，保证项目实施高效优质维护双方权益。经双方公平自愿，平等协商，特订立本协议书。</w:t>
      </w:r>
    </w:p>
    <w:p w14:paraId="2A5FF9BA">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第一条 甲乙双方的权利和义务</w:t>
      </w:r>
    </w:p>
    <w:p w14:paraId="3273C77C">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1.严格遵守党和国家有关法律法规的有关规定。</w:t>
      </w:r>
    </w:p>
    <w:p w14:paraId="42E586A3">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2.严格执行物资采购合同文件等相关，自觉按合同办事。</w:t>
      </w:r>
    </w:p>
    <w:p w14:paraId="0481263C">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3.双方的业务和活动坚持公开、公正、诚信、透明的原则（除法律认定的商业秘密和合同文件另有规定之外），不得损害国家和集体利益，违反工程建设管理规章制度。</w:t>
      </w:r>
    </w:p>
    <w:p w14:paraId="6A378943">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4.建立健全廉政制度，开展廉政教育，公布廉政告示举报电话，监督并认真查处违法违纪行为。</w:t>
      </w:r>
    </w:p>
    <w:p w14:paraId="2C3DA438">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5.发现对方在业务活动中有违反廉政规定的行为，有及时提醒对方纠正的权利和义务。</w:t>
      </w:r>
    </w:p>
    <w:p w14:paraId="6E11829F">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6.发现对方严重违反本协议书义务条款的行为，有向其上级有关部门举报、建议给予处理并要求告知处理结果的权利。</w:t>
      </w:r>
    </w:p>
    <w:p w14:paraId="7ED89820">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第二条  甲方的义务</w:t>
      </w:r>
    </w:p>
    <w:p w14:paraId="73ED2D45">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1.甲方工作人员不得索要或接受乙方的礼金、有价证券和贵重物品，不得在乙方处报销任何应由甲方或个人支付的费用等。</w:t>
      </w:r>
    </w:p>
    <w:p w14:paraId="148538BC">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2.甲方工作人员不得参加乙方安排的超标准宴请和娱乐活动；不得接受乙方提供的通讯工具、交通工具和高档办公用品等。</w:t>
      </w:r>
    </w:p>
    <w:p w14:paraId="30A7CCE3">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3.甲方工作人员不得要求或者接受乙方为其住房装修、婚丧嫁娶活动、配偶子女的工作安排以及出国出境、旅游等提供方便等。</w:t>
      </w:r>
    </w:p>
    <w:p w14:paraId="51967722">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4.甲方工作人员及其配偶、子女不得从事与乙方施工合同有关的经济活动。</w:t>
      </w:r>
    </w:p>
    <w:p w14:paraId="74C2D178">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第三条  乙方的义务</w:t>
      </w:r>
    </w:p>
    <w:p w14:paraId="06C66BFA">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1.乙方不得以任何理由向甲方工作人员行贿或馈赠礼金、有价证券、贵重礼品。</w:t>
      </w:r>
    </w:p>
    <w:p w14:paraId="593BE427">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2.乙方不得以任何名义为甲方工作人员报销应由甲方单位或个人支付的任何费用。</w:t>
      </w:r>
    </w:p>
    <w:p w14:paraId="3ECE7447">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3.乙方不得以任何理由安排甲方工作人员参加超标准宴请和娱乐活动。</w:t>
      </w:r>
    </w:p>
    <w:p w14:paraId="0E300A05">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4.乙方不得为甲方工作人员购置或提供通讯工具、交通工具和高档办公用品等。</w:t>
      </w:r>
    </w:p>
    <w:p w14:paraId="57707CD3">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第四条  违约责任</w:t>
      </w:r>
    </w:p>
    <w:p w14:paraId="6A411F6B">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1.甲方及其工作人员违反本协议书第一、二条，按管理权限，依据有关规定给予党纪、政纪或组织处理；涉嫌犯罪的，移交司法机关追究刑事责任；给乙方单位造成经济损失的，应予以赔偿。</w:t>
      </w:r>
    </w:p>
    <w:p w14:paraId="48B48E6F">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乙方及其工作人员违反本协议书第一、三条，按管理权限，依据有关规定给予党纪、政纪或组织处理；给甲方单位造成经济损失的，应予以赔偿；情节严重的，甲方给予乙方列入甘肃省第二人民医院不诚信黑名单。并建议行业主管部门给予乙方一年内不得进入相关行业市场的处罚。</w:t>
      </w:r>
    </w:p>
    <w:p w14:paraId="14439088">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第五条  本协议书有效期为双方签署之日起至该合同履行完毕后止。</w:t>
      </w:r>
    </w:p>
    <w:p w14:paraId="546036A0">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第六条  本协议书作为物资采购合同组成部分，与主合同具有同等的法律效力，经合同双方签署立即生效。</w:t>
      </w:r>
    </w:p>
    <w:p w14:paraId="184DD04F">
      <w:pPr>
        <w:pStyle w:val="7"/>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第七条  本协议书附在合同之后。</w:t>
      </w:r>
    </w:p>
    <w:p w14:paraId="6F3440B1">
      <w:pPr>
        <w:pStyle w:val="7"/>
        <w:spacing w:before="0" w:beforeAutospacing="0" w:after="0" w:afterAutospacing="0" w:line="360" w:lineRule="auto"/>
        <w:ind w:firstLine="480" w:firstLineChars="200"/>
        <w:rPr>
          <w:color w:val="000000"/>
        </w:rPr>
      </w:pPr>
    </w:p>
    <w:p w14:paraId="11A22B17">
      <w:pPr>
        <w:pStyle w:val="7"/>
        <w:spacing w:before="0" w:beforeAutospacing="0" w:after="0" w:afterAutospacing="0" w:line="360" w:lineRule="auto"/>
        <w:ind w:firstLine="480" w:firstLineChars="200"/>
        <w:rPr>
          <w:color w:val="000000"/>
        </w:rPr>
      </w:pPr>
    </w:p>
    <w:p w14:paraId="6AB9084B">
      <w:pPr>
        <w:pStyle w:val="7"/>
        <w:spacing w:before="0" w:beforeAutospacing="0" w:after="0" w:afterAutospacing="0" w:line="360" w:lineRule="auto"/>
        <w:ind w:firstLine="480" w:firstLineChars="200"/>
        <w:rPr>
          <w:color w:val="000000"/>
        </w:rPr>
      </w:pPr>
    </w:p>
    <w:p w14:paraId="19C50DC1">
      <w:pPr>
        <w:pStyle w:val="7"/>
        <w:spacing w:before="0" w:beforeAutospacing="0" w:after="0" w:afterAutospacing="0" w:line="360" w:lineRule="auto"/>
        <w:ind w:firstLine="480" w:firstLineChars="200"/>
        <w:rPr>
          <w:color w:val="000000"/>
        </w:rPr>
      </w:pPr>
    </w:p>
    <w:p w14:paraId="42B9C728">
      <w:pPr>
        <w:pStyle w:val="7"/>
        <w:spacing w:before="0" w:beforeAutospacing="0" w:after="0" w:afterAutospacing="0" w:line="360" w:lineRule="auto"/>
        <w:ind w:firstLine="480" w:firstLineChars="200"/>
        <w:rPr>
          <w:color w:val="000000"/>
        </w:rPr>
      </w:pPr>
    </w:p>
    <w:p w14:paraId="7533C0D6">
      <w:pPr>
        <w:pStyle w:val="7"/>
        <w:spacing w:before="0" w:beforeAutospacing="0" w:after="0" w:afterAutospacing="0" w:line="360" w:lineRule="auto"/>
      </w:pPr>
      <w:r>
        <w:rPr>
          <w:rFonts w:hint="eastAsia"/>
          <w:color w:val="000000"/>
        </w:rPr>
        <w:t xml:space="preserve">甲方（盖章）：                   </w:t>
      </w:r>
      <w:r>
        <w:rPr>
          <w:rFonts w:hint="eastAsia"/>
          <w:color w:val="000000"/>
          <w:lang w:val="en-US" w:eastAsia="zh-CN"/>
        </w:rPr>
        <w:t xml:space="preserve">   </w:t>
      </w:r>
      <w:r>
        <w:rPr>
          <w:rFonts w:hint="eastAsia"/>
          <w:color w:val="000000"/>
        </w:rPr>
        <w:t xml:space="preserve"> </w:t>
      </w:r>
      <w:r>
        <w:rPr>
          <w:rFonts w:hint="eastAsia"/>
          <w:color w:val="000000"/>
          <w:lang w:val="en-US" w:eastAsia="zh-CN"/>
        </w:rPr>
        <w:t xml:space="preserve">    </w:t>
      </w:r>
      <w:r>
        <w:rPr>
          <w:rFonts w:hint="eastAsia"/>
          <w:color w:val="000000"/>
        </w:rPr>
        <w:t>乙方（盖章）：</w:t>
      </w:r>
    </w:p>
    <w:p w14:paraId="3B7780B7">
      <w:pPr>
        <w:pStyle w:val="7"/>
        <w:spacing w:before="0" w:beforeAutospacing="0" w:after="0" w:afterAutospacing="0" w:line="360" w:lineRule="auto"/>
        <w:ind w:firstLine="5760" w:firstLineChars="2400"/>
        <w:rPr>
          <w:color w:val="000000"/>
        </w:rPr>
      </w:pPr>
    </w:p>
    <w:p w14:paraId="37296491">
      <w:pPr>
        <w:pStyle w:val="7"/>
        <w:spacing w:before="0" w:beforeAutospacing="0" w:after="0" w:afterAutospacing="0" w:line="360" w:lineRule="auto"/>
        <w:rPr>
          <w:color w:val="000000"/>
        </w:rPr>
      </w:pPr>
    </w:p>
    <w:p w14:paraId="5F319E99">
      <w:pPr>
        <w:pStyle w:val="7"/>
        <w:spacing w:before="0" w:beforeAutospacing="0" w:after="0" w:afterAutospacing="0" w:line="360" w:lineRule="auto"/>
      </w:pPr>
      <w:r>
        <w:rPr>
          <w:rFonts w:hint="eastAsia"/>
          <w:color w:val="000000"/>
        </w:rPr>
        <w:t xml:space="preserve">签订日期：  </w:t>
      </w:r>
      <w:r>
        <w:rPr>
          <w:rFonts w:hint="eastAsia"/>
          <w:color w:val="000000"/>
          <w:lang w:val="en-US" w:eastAsia="zh-CN"/>
        </w:rPr>
        <w:t xml:space="preserve"> </w:t>
      </w:r>
      <w:r>
        <w:rPr>
          <w:rFonts w:hint="eastAsia"/>
          <w:color w:val="000000"/>
        </w:rPr>
        <w:t xml:space="preserve"> 年  月  日             </w:t>
      </w:r>
      <w:r>
        <w:rPr>
          <w:rFonts w:hint="eastAsia"/>
          <w:color w:val="000000"/>
          <w:lang w:val="en-US" w:eastAsia="zh-CN"/>
        </w:rPr>
        <w:t xml:space="preserve">    </w:t>
      </w:r>
      <w:r>
        <w:rPr>
          <w:rFonts w:hint="eastAsia"/>
          <w:color w:val="000000"/>
        </w:rPr>
        <w:t>签订日期：</w:t>
      </w:r>
      <w:r>
        <w:rPr>
          <w:rFonts w:hint="eastAsia"/>
          <w:color w:val="000000"/>
          <w:lang w:val="en-US" w:eastAsia="zh-CN"/>
        </w:rPr>
        <w:t xml:space="preserve">      </w:t>
      </w:r>
      <w:r>
        <w:rPr>
          <w:rFonts w:hint="eastAsia"/>
        </w:rPr>
        <w:t xml:space="preserve">年 </w:t>
      </w:r>
      <w:r>
        <w:rPr>
          <w:rFonts w:hint="eastAsia"/>
          <w:lang w:val="en-US" w:eastAsia="zh-CN"/>
        </w:rPr>
        <w:t xml:space="preserve"> </w:t>
      </w:r>
      <w:r>
        <w:rPr>
          <w:rFonts w:hint="eastAsia"/>
        </w:rPr>
        <w:t>月</w:t>
      </w:r>
      <w:r>
        <w:rPr>
          <w:rFonts w:hint="eastAsia"/>
          <w:lang w:val="en-US" w:eastAsia="zh-CN"/>
        </w:rPr>
        <w:t xml:space="preserve">  </w:t>
      </w:r>
      <w:r>
        <w:rPr>
          <w:rFonts w:hint="eastAsia"/>
        </w:rPr>
        <w:t>日</w:t>
      </w:r>
    </w:p>
    <w:p w14:paraId="680205BC"/>
    <w:p w14:paraId="7D545345"/>
    <w:p w14:paraId="63CD8F18">
      <w:pPr>
        <w:pStyle w:val="3"/>
      </w:pPr>
    </w:p>
    <w:p w14:paraId="4242D07E"/>
    <w:p w14:paraId="130ADCDD">
      <w:pPr>
        <w:pStyle w:val="3"/>
      </w:pPr>
    </w:p>
    <w:p w14:paraId="31BC2682">
      <w:pPr>
        <w:pStyle w:val="3"/>
      </w:pPr>
    </w:p>
    <w:p w14:paraId="7F85BEFC">
      <w:pPr>
        <w:pStyle w:val="3"/>
      </w:pPr>
    </w:p>
    <w:p w14:paraId="73BED388">
      <w:pPr>
        <w:pStyle w:val="3"/>
      </w:pPr>
    </w:p>
    <w:p w14:paraId="2F9EC440"/>
    <w:p w14:paraId="2206E68C">
      <w:pPr>
        <w:pStyle w:val="7"/>
        <w:spacing w:before="0" w:after="0"/>
        <w:jc w:val="both"/>
        <w:rPr>
          <w:rFonts w:hint="default"/>
          <w:lang w:val="en-US" w:eastAsia="zh-CN"/>
        </w:rPr>
      </w:pPr>
      <w:r>
        <w:rPr>
          <w:rFonts w:hint="eastAsia"/>
          <w:b/>
          <w:bCs/>
          <w:sz w:val="28"/>
          <w:szCs w:val="28"/>
          <w:lang w:val="en-US" w:eastAsia="zh-CN"/>
        </w:rPr>
        <w:t>附件二</w:t>
      </w:r>
      <w:r>
        <w:rPr>
          <w:rFonts w:hint="eastAsia"/>
          <w:lang w:val="en-US" w:eastAsia="zh-CN"/>
        </w:rPr>
        <w:t>：</w:t>
      </w:r>
    </w:p>
    <w:p w14:paraId="434B4647">
      <w:pPr>
        <w:jc w:val="center"/>
        <w:rPr>
          <w:rFonts w:hint="eastAsia" w:ascii="Times New Roman" w:hAnsi="Times New Roman" w:eastAsia="宋体" w:cs="Times New Roman"/>
          <w:b/>
          <w:bCs/>
          <w:sz w:val="44"/>
          <w:szCs w:val="44"/>
        </w:rPr>
      </w:pPr>
      <w:r>
        <w:rPr>
          <w:rFonts w:hint="eastAsia" w:ascii="Times New Roman" w:hAnsi="Times New Roman" w:eastAsia="宋体" w:cs="Times New Roman"/>
          <w:b/>
          <w:bCs/>
          <w:sz w:val="44"/>
          <w:szCs w:val="44"/>
        </w:rPr>
        <w:t>甘肃省第二人民医院医用耗材供应商</w:t>
      </w:r>
    </w:p>
    <w:p w14:paraId="612E9185">
      <w:pPr>
        <w:jc w:val="center"/>
        <w:rPr>
          <w:rFonts w:hint="default" w:ascii="Times New Roman" w:hAnsi="Times New Roman" w:eastAsia="宋体" w:cs="Times New Roman"/>
          <w:b/>
          <w:bCs/>
          <w:sz w:val="44"/>
          <w:szCs w:val="44"/>
        </w:rPr>
      </w:pPr>
      <w:r>
        <w:rPr>
          <w:rFonts w:hint="eastAsia" w:ascii="Times New Roman" w:hAnsi="Times New Roman" w:eastAsia="宋体" w:cs="Times New Roman"/>
          <w:b/>
          <w:bCs/>
          <w:sz w:val="44"/>
          <w:szCs w:val="44"/>
          <w:lang w:val="en-US" w:eastAsia="zh-CN"/>
        </w:rPr>
        <w:t>考核</w:t>
      </w:r>
      <w:r>
        <w:rPr>
          <w:rFonts w:hint="eastAsia" w:ascii="Times New Roman" w:hAnsi="Times New Roman" w:eastAsia="宋体" w:cs="Times New Roman"/>
          <w:b/>
          <w:bCs/>
          <w:sz w:val="44"/>
          <w:szCs w:val="44"/>
        </w:rPr>
        <w:t>实施方案</w:t>
      </w:r>
      <w:r>
        <w:rPr>
          <w:rFonts w:hint="default" w:ascii="Times New Roman" w:hAnsi="Times New Roman" w:eastAsia="宋体" w:cs="Times New Roman"/>
          <w:b/>
          <w:bCs/>
          <w:sz w:val="44"/>
          <w:szCs w:val="44"/>
        </w:rPr>
        <w:t>（</w:t>
      </w:r>
      <w:r>
        <w:rPr>
          <w:rFonts w:hint="eastAsia" w:ascii="Times New Roman" w:hAnsi="Times New Roman" w:eastAsia="宋体" w:cs="Times New Roman"/>
          <w:b/>
          <w:bCs/>
          <w:sz w:val="44"/>
          <w:szCs w:val="44"/>
          <w:lang w:val="en-US" w:eastAsia="zh-Hans"/>
        </w:rPr>
        <w:t>试行</w:t>
      </w:r>
      <w:r>
        <w:rPr>
          <w:rFonts w:hint="default" w:ascii="Times New Roman" w:hAnsi="Times New Roman" w:eastAsia="宋体" w:cs="Times New Roman"/>
          <w:b/>
          <w:bCs/>
          <w:sz w:val="44"/>
          <w:szCs w:val="44"/>
        </w:rPr>
        <w:t>）</w:t>
      </w:r>
    </w:p>
    <w:p w14:paraId="05DDABD2">
      <w:pPr>
        <w:spacing w:line="360" w:lineRule="auto"/>
        <w:jc w:val="left"/>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各科室、部门：</w:t>
      </w:r>
    </w:p>
    <w:p w14:paraId="00BFB40D">
      <w:pPr>
        <w:spacing w:line="360" w:lineRule="auto"/>
        <w:ind w:firstLine="480" w:firstLineChars="200"/>
        <w:jc w:val="left"/>
        <w:rPr>
          <w:rFonts w:hint="eastAsia" w:ascii="宋体" w:hAnsi="宋体" w:eastAsia="宋体" w:cs="宋体"/>
          <w:color w:val="FF0000"/>
          <w:sz w:val="24"/>
          <w:szCs w:val="24"/>
          <w:highlight w:val="none"/>
          <w:lang w:val="en-US" w:eastAsia="zh-CN"/>
        </w:rPr>
      </w:pPr>
      <w:r>
        <w:rPr>
          <w:rFonts w:hint="eastAsia" w:ascii="宋体" w:hAnsi="宋体" w:eastAsia="宋体" w:cs="宋体"/>
          <w:color w:val="000000"/>
          <w:sz w:val="24"/>
          <w:szCs w:val="24"/>
          <w:highlight w:val="none"/>
        </w:rPr>
        <w:t>为提升医院医用耗材试剂供应商的服务保障能力，加强医用耗材供应的安全性、及时性、有效性，根据《医疗机构医用耗材管理办法（试行）》(国卫医发[2019]43号)、《医疗器械监督管理条例》(国务院令第739号)等相关</w:t>
      </w:r>
      <w:r>
        <w:rPr>
          <w:rFonts w:hint="eastAsia" w:ascii="宋体" w:hAnsi="宋体" w:eastAsia="宋体" w:cs="宋体"/>
          <w:color w:val="000000"/>
          <w:sz w:val="24"/>
          <w:szCs w:val="24"/>
          <w:highlight w:val="none"/>
          <w:lang w:val="en-US" w:eastAsia="zh-CN"/>
        </w:rPr>
        <w:t>文件和</w:t>
      </w:r>
      <w:r>
        <w:rPr>
          <w:rFonts w:hint="eastAsia" w:ascii="宋体" w:hAnsi="宋体" w:eastAsia="宋体" w:cs="宋体"/>
          <w:color w:val="000000"/>
          <w:sz w:val="24"/>
          <w:szCs w:val="24"/>
          <w:highlight w:val="none"/>
        </w:rPr>
        <w:t>法</w:t>
      </w:r>
      <w:r>
        <w:rPr>
          <w:rFonts w:hint="eastAsia" w:ascii="宋体" w:hAnsi="宋体" w:eastAsia="宋体" w:cs="宋体"/>
          <w:color w:val="000000"/>
          <w:sz w:val="24"/>
          <w:szCs w:val="24"/>
          <w:highlight w:val="none"/>
          <w:lang w:val="en-US" w:eastAsia="zh-CN"/>
        </w:rPr>
        <w:t>规</w:t>
      </w:r>
      <w:r>
        <w:rPr>
          <w:rFonts w:hint="eastAsia" w:ascii="宋体" w:hAnsi="宋体" w:eastAsia="宋体" w:cs="宋体"/>
          <w:color w:val="000000"/>
          <w:sz w:val="24"/>
          <w:szCs w:val="24"/>
          <w:highlight w:val="none"/>
        </w:rPr>
        <w:t>规定，</w:t>
      </w:r>
      <w:r>
        <w:rPr>
          <w:rFonts w:hint="eastAsia" w:ascii="宋体" w:hAnsi="宋体" w:eastAsia="宋体" w:cs="宋体"/>
          <w:color w:val="000000"/>
          <w:sz w:val="24"/>
          <w:szCs w:val="24"/>
          <w:highlight w:val="none"/>
          <w:lang w:val="en-US" w:eastAsia="zh-CN"/>
        </w:rPr>
        <w:t>经医院研究决定，将</w:t>
      </w:r>
      <w:r>
        <w:rPr>
          <w:rFonts w:hint="eastAsia" w:ascii="宋体" w:hAnsi="宋体" w:eastAsia="宋体" w:cs="宋体"/>
          <w:color w:val="000000"/>
          <w:sz w:val="24"/>
          <w:szCs w:val="24"/>
          <w:highlight w:val="none"/>
        </w:rPr>
        <w:t>制定我院医用耗材试剂供应</w:t>
      </w:r>
      <w:r>
        <w:rPr>
          <w:rFonts w:hint="eastAsia" w:ascii="宋体" w:hAnsi="宋体" w:eastAsia="宋体" w:cs="宋体"/>
          <w:sz w:val="24"/>
          <w:szCs w:val="24"/>
          <w:highlight w:val="none"/>
        </w:rPr>
        <w:t>商</w:t>
      </w:r>
      <w:r>
        <w:rPr>
          <w:rFonts w:hint="eastAsia" w:ascii="宋体" w:hAnsi="宋体" w:eastAsia="宋体" w:cs="宋体"/>
          <w:sz w:val="24"/>
          <w:szCs w:val="24"/>
          <w:highlight w:val="none"/>
          <w:lang w:val="en-US" w:eastAsia="zh-CN"/>
        </w:rPr>
        <w:t>考核</w:t>
      </w:r>
      <w:r>
        <w:rPr>
          <w:rFonts w:hint="eastAsia" w:ascii="宋体" w:hAnsi="宋体" w:eastAsia="宋体" w:cs="宋体"/>
          <w:sz w:val="24"/>
          <w:szCs w:val="24"/>
          <w:highlight w:val="none"/>
        </w:rPr>
        <w:t>实施方案</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现将《</w:t>
      </w:r>
      <w:r>
        <w:rPr>
          <w:rFonts w:hint="eastAsia" w:ascii="宋体" w:hAnsi="宋体" w:eastAsia="宋体" w:cs="宋体"/>
          <w:color w:val="000000"/>
          <w:sz w:val="24"/>
          <w:szCs w:val="24"/>
          <w:highlight w:val="none"/>
          <w:lang w:val="en-US" w:eastAsia="zh-CN"/>
        </w:rPr>
        <w:t>甘肃省第二人民医院医用耗材试剂供应商考核实施方案（</w:t>
      </w:r>
      <w:r>
        <w:rPr>
          <w:rFonts w:hint="eastAsia" w:ascii="宋体" w:hAnsi="宋体" w:eastAsia="宋体" w:cs="宋体"/>
          <w:color w:val="000000"/>
          <w:sz w:val="24"/>
          <w:szCs w:val="24"/>
          <w:highlight w:val="none"/>
          <w:lang w:val="en-US" w:eastAsia="zh-Hans"/>
        </w:rPr>
        <w:t>试行</w:t>
      </w: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highlight w:val="none"/>
          <w:lang w:val="en-US" w:eastAsia="zh-CN"/>
        </w:rPr>
        <w:t>》印发，请相关科室遵照执行。</w:t>
      </w:r>
    </w:p>
    <w:p w14:paraId="3AD2544D">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w:t>
      </w:r>
      <w:r>
        <w:rPr>
          <w:rFonts w:hint="eastAsia" w:ascii="宋体" w:hAnsi="宋体" w:eastAsia="宋体" w:cs="宋体"/>
          <w:sz w:val="24"/>
          <w:szCs w:val="24"/>
          <w:highlight w:val="none"/>
          <w:lang w:val="en-US" w:eastAsia="zh-CN"/>
        </w:rPr>
        <w:t>考核</w:t>
      </w:r>
      <w:r>
        <w:rPr>
          <w:rFonts w:hint="eastAsia" w:ascii="宋体" w:hAnsi="宋体" w:eastAsia="宋体" w:cs="宋体"/>
          <w:sz w:val="24"/>
          <w:szCs w:val="24"/>
          <w:highlight w:val="none"/>
        </w:rPr>
        <w:t>目的</w:t>
      </w:r>
    </w:p>
    <w:p w14:paraId="2C2CDF7F">
      <w:pPr>
        <w:spacing w:line="360" w:lineRule="auto"/>
        <w:ind w:firstLine="480" w:firstLineChars="200"/>
        <w:jc w:val="left"/>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通过建</w:t>
      </w:r>
      <w:r>
        <w:rPr>
          <w:rFonts w:hint="eastAsia" w:ascii="宋体" w:hAnsi="宋体" w:eastAsia="宋体" w:cs="宋体"/>
          <w:color w:val="000000"/>
          <w:sz w:val="24"/>
          <w:szCs w:val="24"/>
          <w:highlight w:val="none"/>
        </w:rPr>
        <w:t>立科学合理的供应商评</w:t>
      </w:r>
      <w:r>
        <w:rPr>
          <w:rFonts w:hint="eastAsia" w:ascii="宋体" w:hAnsi="宋体" w:eastAsia="宋体" w:cs="宋体"/>
          <w:color w:val="000000"/>
          <w:sz w:val="24"/>
          <w:szCs w:val="24"/>
          <w:highlight w:val="none"/>
          <w:lang w:val="en-US" w:eastAsia="zh-CN"/>
        </w:rPr>
        <w:t>考核</w:t>
      </w:r>
      <w:r>
        <w:rPr>
          <w:rFonts w:hint="eastAsia" w:ascii="宋体" w:hAnsi="宋体" w:eastAsia="宋体" w:cs="宋体"/>
          <w:color w:val="000000"/>
          <w:sz w:val="24"/>
          <w:szCs w:val="24"/>
          <w:highlight w:val="none"/>
        </w:rPr>
        <w:t>体系,遴选出质优价廉、响应快速的供应商，降低医院耗材试剂成本，提升供应商产品质量和服务质量，减少因供货不及时和</w:t>
      </w:r>
      <w:r>
        <w:rPr>
          <w:rFonts w:hint="eastAsia" w:ascii="宋体" w:hAnsi="宋体" w:eastAsia="宋体" w:cs="宋体"/>
          <w:color w:val="000000"/>
          <w:sz w:val="24"/>
          <w:szCs w:val="24"/>
          <w:highlight w:val="none"/>
          <w:lang w:val="en-US" w:eastAsia="zh-CN"/>
        </w:rPr>
        <w:t>产品</w:t>
      </w:r>
      <w:r>
        <w:rPr>
          <w:rFonts w:hint="eastAsia" w:ascii="宋体" w:hAnsi="宋体" w:eastAsia="宋体" w:cs="宋体"/>
          <w:color w:val="000000"/>
          <w:sz w:val="24"/>
          <w:szCs w:val="24"/>
          <w:highlight w:val="none"/>
        </w:rPr>
        <w:t>质量差等因素</w:t>
      </w:r>
      <w:r>
        <w:rPr>
          <w:rFonts w:hint="eastAsia" w:ascii="宋体" w:hAnsi="宋体" w:eastAsia="宋体" w:cs="宋体"/>
          <w:color w:val="000000"/>
          <w:sz w:val="24"/>
          <w:szCs w:val="24"/>
          <w:highlight w:val="none"/>
          <w:lang w:val="en-US" w:eastAsia="zh-CN"/>
        </w:rPr>
        <w:t>而</w:t>
      </w:r>
      <w:r>
        <w:rPr>
          <w:rFonts w:hint="eastAsia" w:ascii="宋体" w:hAnsi="宋体" w:eastAsia="宋体" w:cs="宋体"/>
          <w:color w:val="000000"/>
          <w:sz w:val="24"/>
          <w:szCs w:val="24"/>
          <w:highlight w:val="none"/>
        </w:rPr>
        <w:t>影响医疗服务质量和效果的问题，不断规范和加强医院医用耗材试剂供应商的管理工作，助力医院高质</w:t>
      </w:r>
      <w:r>
        <w:rPr>
          <w:rFonts w:hint="eastAsia" w:ascii="宋体" w:hAnsi="宋体" w:eastAsia="宋体" w:cs="宋体"/>
          <w:sz w:val="24"/>
          <w:szCs w:val="24"/>
          <w:highlight w:val="none"/>
        </w:rPr>
        <w:t>量发展。</w:t>
      </w:r>
    </w:p>
    <w:p w14:paraId="2B1EEB86">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w:t>
      </w:r>
      <w:r>
        <w:rPr>
          <w:rFonts w:hint="eastAsia" w:ascii="宋体" w:hAnsi="宋体" w:eastAsia="宋体" w:cs="宋体"/>
          <w:sz w:val="24"/>
          <w:szCs w:val="24"/>
          <w:highlight w:val="none"/>
          <w:lang w:val="en-US" w:eastAsia="zh-CN"/>
        </w:rPr>
        <w:t>考核</w:t>
      </w:r>
      <w:r>
        <w:rPr>
          <w:rFonts w:hint="eastAsia" w:ascii="宋体" w:hAnsi="宋体" w:eastAsia="宋体" w:cs="宋体"/>
          <w:sz w:val="24"/>
          <w:szCs w:val="24"/>
          <w:highlight w:val="none"/>
        </w:rPr>
        <w:t>原则</w:t>
      </w:r>
    </w:p>
    <w:p w14:paraId="46DA708F">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我院医用耗材试剂供应</w:t>
      </w:r>
      <w:r>
        <w:rPr>
          <w:rFonts w:hint="eastAsia" w:ascii="宋体" w:hAnsi="宋体" w:eastAsia="宋体" w:cs="宋体"/>
          <w:sz w:val="24"/>
          <w:szCs w:val="24"/>
          <w:highlight w:val="none"/>
        </w:rPr>
        <w:t>商</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rPr>
        <w:t>需遵循以下几个原则：</w:t>
      </w:r>
    </w:p>
    <w:p w14:paraId="3FAEFF2A">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（一）客观公正的原则。供应商</w:t>
      </w:r>
      <w:r>
        <w:rPr>
          <w:rFonts w:hint="eastAsia" w:ascii="宋体" w:hAnsi="宋体" w:eastAsia="宋体" w:cs="宋体"/>
          <w:sz w:val="24"/>
          <w:szCs w:val="24"/>
          <w:highlight w:val="none"/>
          <w:lang w:val="en-US" w:eastAsia="zh-CN"/>
        </w:rPr>
        <w:t>考核过程中</w:t>
      </w:r>
      <w:r>
        <w:rPr>
          <w:rFonts w:hint="eastAsia" w:ascii="宋体" w:hAnsi="宋体" w:eastAsia="宋体" w:cs="宋体"/>
          <w:sz w:val="24"/>
          <w:szCs w:val="24"/>
          <w:highlight w:val="none"/>
        </w:rPr>
        <w:t>应当</w:t>
      </w:r>
      <w:r>
        <w:rPr>
          <w:rFonts w:hint="eastAsia" w:ascii="宋体" w:hAnsi="宋体" w:eastAsia="宋体" w:cs="宋体"/>
          <w:sz w:val="24"/>
          <w:szCs w:val="24"/>
          <w:highlight w:val="none"/>
          <w:lang w:val="en-US" w:eastAsia="zh-CN"/>
        </w:rPr>
        <w:t>指标</w:t>
      </w:r>
      <w:r>
        <w:rPr>
          <w:rFonts w:hint="eastAsia" w:ascii="宋体" w:hAnsi="宋体" w:eastAsia="宋体" w:cs="宋体"/>
          <w:sz w:val="24"/>
          <w:szCs w:val="24"/>
          <w:highlight w:val="none"/>
        </w:rPr>
        <w:t>客观</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过程公开透明，</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rPr>
        <w:t>结果</w:t>
      </w:r>
      <w:r>
        <w:rPr>
          <w:rFonts w:hint="eastAsia" w:ascii="宋体" w:hAnsi="宋体" w:eastAsia="宋体" w:cs="宋体"/>
          <w:sz w:val="24"/>
          <w:szCs w:val="24"/>
          <w:highlight w:val="none"/>
          <w:lang w:val="en-US" w:eastAsia="zh-CN"/>
        </w:rPr>
        <w:t>提交至医用耗材管理委员会，审定后</w:t>
      </w:r>
      <w:r>
        <w:rPr>
          <w:rFonts w:hint="eastAsia" w:ascii="宋体" w:hAnsi="宋体" w:eastAsia="宋体" w:cs="宋体"/>
          <w:sz w:val="24"/>
          <w:szCs w:val="24"/>
          <w:highlight w:val="none"/>
        </w:rPr>
        <w:t>进行公示。</w:t>
      </w:r>
    </w:p>
    <w:p w14:paraId="6B3F81BA">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（二）可操作性的原则。</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rPr>
        <w:t>指标具体明确，</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rPr>
        <w:t>内容简洁明了，所有医用耗材试剂供应商共用同一个</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rPr>
        <w:t>体系，便于医院对相关数据的统计分析，降低管理难度。</w:t>
      </w:r>
    </w:p>
    <w:p w14:paraId="77A2BEC8">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（三）优胜劣汰的原则。对</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rPr>
        <w:t>结果为合格的供应商，可依据采购合同，继续与医院合作；对</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rPr>
        <w:t>结果不合格的供应商，医院将解除合同，终止合作。</w:t>
      </w:r>
    </w:p>
    <w:p w14:paraId="03E3BA09">
      <w:pPr>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（四）</w:t>
      </w:r>
      <w:r>
        <w:rPr>
          <w:rFonts w:hint="eastAsia" w:ascii="宋体" w:hAnsi="宋体" w:eastAsia="宋体" w:cs="宋体"/>
          <w:sz w:val="24"/>
          <w:szCs w:val="24"/>
          <w:highlight w:val="none"/>
          <w:lang w:val="en-US" w:eastAsia="zh-CN"/>
        </w:rPr>
        <w:t>存在重大问题一票否决的原则。在供货过程中，发现有违法违规违纪等行为并经确认的供货商，直接取消供货资格。</w:t>
      </w:r>
    </w:p>
    <w:p w14:paraId="0143BC76">
      <w:pPr>
        <w:spacing w:line="360" w:lineRule="auto"/>
        <w:ind w:firstLine="480" w:firstLineChars="20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三、</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lang w:val="en-US" w:eastAsia="zh-CN"/>
        </w:rPr>
        <w:t>实施办法</w:t>
      </w:r>
    </w:p>
    <w:p w14:paraId="524F22F4">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w:t>
      </w:r>
      <w:r>
        <w:rPr>
          <w:rFonts w:hint="eastAsia" w:ascii="宋体" w:hAnsi="宋体" w:eastAsia="宋体" w:cs="宋体"/>
          <w:sz w:val="24"/>
          <w:szCs w:val="24"/>
          <w:highlight w:val="none"/>
          <w:lang w:val="en-US" w:eastAsia="zh-CN"/>
        </w:rPr>
        <w:t>适用</w:t>
      </w:r>
      <w:r>
        <w:rPr>
          <w:rFonts w:hint="eastAsia" w:ascii="宋体" w:hAnsi="宋体" w:eastAsia="宋体" w:cs="宋体"/>
          <w:sz w:val="24"/>
          <w:szCs w:val="24"/>
          <w:highlight w:val="none"/>
        </w:rPr>
        <w:t>范围</w:t>
      </w:r>
    </w:p>
    <w:p w14:paraId="5844A2BF">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医院在用的所有医用耗材、试剂和医用辅助材料供应商。</w:t>
      </w:r>
    </w:p>
    <w:p w14:paraId="5820E58F">
      <w:pPr>
        <w:widowControl/>
        <w:numPr>
          <w:ilvl w:val="0"/>
          <w:numId w:val="1"/>
        </w:numPr>
        <w:spacing w:line="360" w:lineRule="auto"/>
        <w:ind w:firstLine="64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rPr>
        <w:t>周期</w:t>
      </w:r>
    </w:p>
    <w:p w14:paraId="7AA099FF">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rPr>
        <w:t>以一年度为周期，</w:t>
      </w:r>
      <w:r>
        <w:rPr>
          <w:rFonts w:hint="eastAsia" w:ascii="宋体" w:hAnsi="宋体" w:eastAsia="宋体" w:cs="宋体"/>
          <w:sz w:val="24"/>
          <w:szCs w:val="24"/>
          <w:highlight w:val="none"/>
          <w:lang w:val="en-US" w:eastAsia="zh-CN"/>
        </w:rPr>
        <w:t>采取</w:t>
      </w:r>
      <w:r>
        <w:rPr>
          <w:rFonts w:hint="eastAsia" w:ascii="宋体" w:hAnsi="宋体" w:eastAsia="宋体" w:cs="宋体"/>
          <w:sz w:val="24"/>
          <w:szCs w:val="24"/>
          <w:highlight w:val="none"/>
        </w:rPr>
        <w:t>定期</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rPr>
        <w:t>与动态</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rPr>
        <w:t>相结合</w:t>
      </w:r>
      <w:r>
        <w:rPr>
          <w:rFonts w:hint="eastAsia" w:ascii="宋体" w:hAnsi="宋体" w:eastAsia="宋体" w:cs="宋体"/>
          <w:sz w:val="24"/>
          <w:szCs w:val="24"/>
          <w:highlight w:val="none"/>
          <w:lang w:val="en-US" w:eastAsia="zh-CN"/>
        </w:rPr>
        <w:t>的方式</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医院对所有</w:t>
      </w:r>
      <w:r>
        <w:rPr>
          <w:rFonts w:hint="eastAsia" w:ascii="宋体" w:hAnsi="宋体" w:eastAsia="宋体" w:cs="宋体"/>
          <w:sz w:val="24"/>
          <w:szCs w:val="24"/>
          <w:highlight w:val="none"/>
          <w:lang w:val="en-US" w:eastAsia="zh-CN"/>
        </w:rPr>
        <w:t>常规耗材</w:t>
      </w:r>
      <w:r>
        <w:rPr>
          <w:rFonts w:hint="eastAsia" w:ascii="宋体" w:hAnsi="宋体" w:eastAsia="宋体" w:cs="宋体"/>
          <w:sz w:val="24"/>
          <w:szCs w:val="24"/>
          <w:highlight w:val="none"/>
        </w:rPr>
        <w:t>供应商每年进行一次年度</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在日常管理过程中，根据工作需要，对发现存在产品供应问题对临床使用造成不良影响，产品资质、产品质量存在问题等严重情形的，</w:t>
      </w:r>
      <w:r>
        <w:rPr>
          <w:rFonts w:hint="eastAsia" w:ascii="宋体" w:hAnsi="宋体" w:eastAsia="宋体" w:cs="宋体"/>
          <w:sz w:val="24"/>
          <w:szCs w:val="24"/>
          <w:highlight w:val="none"/>
        </w:rPr>
        <w:t>可进行即时动态</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rPr>
        <w:t>。</w:t>
      </w:r>
    </w:p>
    <w:p w14:paraId="689E8625">
      <w:pPr>
        <w:widowControl/>
        <w:numPr>
          <w:ilvl w:val="0"/>
          <w:numId w:val="1"/>
        </w:numPr>
        <w:spacing w:line="360" w:lineRule="auto"/>
        <w:ind w:firstLine="64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考核小组</w:t>
      </w:r>
      <w:r>
        <w:rPr>
          <w:rFonts w:hint="eastAsia" w:ascii="宋体" w:hAnsi="宋体" w:eastAsia="宋体" w:cs="宋体"/>
          <w:sz w:val="24"/>
          <w:szCs w:val="24"/>
          <w:highlight w:val="none"/>
          <w:lang w:val="en-US" w:eastAsia="zh-CN"/>
        </w:rPr>
        <w:t>组成</w:t>
      </w:r>
    </w:p>
    <w:p w14:paraId="5F5C50C2">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组长：主管医学装备副院长</w:t>
      </w:r>
    </w:p>
    <w:p w14:paraId="36F95957">
      <w:pPr>
        <w:pStyle w:val="3"/>
        <w:spacing w:line="360" w:lineRule="auto"/>
        <w:ind w:firstLine="480" w:firstLineChars="200"/>
        <w:rPr>
          <w:rFonts w:hint="eastAsia" w:ascii="宋体" w:hAnsi="宋体" w:eastAsia="宋体" w:cs="宋体"/>
          <w:sz w:val="24"/>
          <w:szCs w:val="24"/>
          <w:highlight w:val="lightGray"/>
          <w:lang w:val="en-US" w:eastAsia="zh-CN"/>
        </w:rPr>
      </w:pPr>
      <w:r>
        <w:rPr>
          <w:rFonts w:hint="eastAsia" w:ascii="宋体" w:hAnsi="宋体" w:eastAsia="宋体" w:cs="宋体"/>
          <w:sz w:val="24"/>
          <w:szCs w:val="24"/>
          <w:highlight w:val="none"/>
          <w:lang w:val="en-US" w:eastAsia="zh-CN"/>
        </w:rPr>
        <w:t>监督：</w:t>
      </w:r>
      <w:r>
        <w:rPr>
          <w:rFonts w:hint="eastAsia" w:ascii="宋体" w:hAnsi="宋体" w:eastAsia="宋体" w:cs="宋体"/>
          <w:sz w:val="24"/>
          <w:szCs w:val="24"/>
          <w:highlight w:val="none"/>
        </w:rPr>
        <w:t>纪委</w:t>
      </w:r>
      <w:r>
        <w:rPr>
          <w:rFonts w:hint="eastAsia" w:ascii="宋体" w:hAnsi="宋体" w:eastAsia="宋体" w:cs="宋体"/>
          <w:sz w:val="24"/>
          <w:szCs w:val="24"/>
          <w:highlight w:val="none"/>
          <w:lang w:val="en-US" w:eastAsia="zh-CN"/>
        </w:rPr>
        <w:t>办公室负责人、审计与内控科负责人</w:t>
      </w:r>
    </w:p>
    <w:p w14:paraId="0F39EED9">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成员：由医学装备科、招标采购科、</w:t>
      </w:r>
      <w:r>
        <w:rPr>
          <w:rFonts w:hint="eastAsia" w:ascii="宋体" w:hAnsi="宋体" w:eastAsia="宋体" w:cs="宋体"/>
          <w:sz w:val="24"/>
          <w:szCs w:val="24"/>
          <w:highlight w:val="none"/>
          <w:lang w:val="en-US" w:eastAsia="zh-CN"/>
        </w:rPr>
        <w:t>医务科、</w:t>
      </w:r>
      <w:r>
        <w:rPr>
          <w:rFonts w:hint="eastAsia" w:ascii="宋体" w:hAnsi="宋体" w:eastAsia="宋体" w:cs="宋体"/>
          <w:sz w:val="24"/>
          <w:szCs w:val="24"/>
          <w:highlight w:val="none"/>
        </w:rPr>
        <w:t>财务科、各临床、医技使用科室</w:t>
      </w:r>
      <w:r>
        <w:rPr>
          <w:rFonts w:hint="eastAsia" w:ascii="宋体" w:hAnsi="宋体" w:eastAsia="宋体" w:cs="宋体"/>
          <w:sz w:val="24"/>
          <w:szCs w:val="24"/>
          <w:highlight w:val="none"/>
          <w:lang w:val="en-US" w:eastAsia="zh-CN"/>
        </w:rPr>
        <w:t>相关人员</w:t>
      </w:r>
      <w:r>
        <w:rPr>
          <w:rFonts w:hint="eastAsia" w:ascii="宋体" w:hAnsi="宋体" w:eastAsia="宋体" w:cs="宋体"/>
          <w:sz w:val="24"/>
          <w:szCs w:val="24"/>
          <w:highlight w:val="none"/>
        </w:rPr>
        <w:t>共同组成。</w:t>
      </w:r>
    </w:p>
    <w:p w14:paraId="13883DC2">
      <w:pPr>
        <w:widowControl/>
        <w:numPr>
          <w:ilvl w:val="0"/>
          <w:numId w:val="1"/>
        </w:numPr>
        <w:spacing w:line="360" w:lineRule="auto"/>
        <w:ind w:firstLine="64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lang w:val="en-US" w:eastAsia="zh-CN"/>
        </w:rPr>
        <w:t>办</w:t>
      </w:r>
      <w:r>
        <w:rPr>
          <w:rFonts w:hint="eastAsia" w:ascii="宋体" w:hAnsi="宋体" w:eastAsia="宋体" w:cs="宋体"/>
          <w:sz w:val="24"/>
          <w:szCs w:val="24"/>
          <w:highlight w:val="none"/>
          <w:lang w:eastAsia="zh-CN"/>
        </w:rPr>
        <w:t>法</w:t>
      </w:r>
    </w:p>
    <w:p w14:paraId="6872C4EC">
      <w:pPr>
        <w:widowControl/>
        <w:numPr>
          <w:ilvl w:val="0"/>
          <w:numId w:val="2"/>
        </w:num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考核小组根据</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甘肃省第二人民医院医用耗材试剂</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lang w:val="en-US" w:eastAsia="zh-CN"/>
        </w:rPr>
        <w:t>表</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进行供应商考核，</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rPr>
        <w:t>指标包括供货能力、票据管理、售后服务、资质管理、产品五个方面</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rPr>
        <w:t>实行分数制，</w:t>
      </w:r>
      <w:r>
        <w:rPr>
          <w:rFonts w:hint="eastAsia" w:ascii="宋体" w:hAnsi="宋体" w:eastAsia="宋体" w:cs="宋体"/>
          <w:sz w:val="24"/>
          <w:szCs w:val="24"/>
          <w:highlight w:val="none"/>
          <w:lang w:val="en-US" w:eastAsia="zh-CN"/>
        </w:rPr>
        <w:t>每份供货合同为一个考核单元，</w:t>
      </w:r>
      <w:r>
        <w:rPr>
          <w:rFonts w:hint="eastAsia" w:ascii="宋体" w:hAnsi="宋体" w:eastAsia="宋体" w:cs="宋体"/>
          <w:sz w:val="24"/>
          <w:szCs w:val="24"/>
          <w:highlight w:val="none"/>
        </w:rPr>
        <w:t>每个年度</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rPr>
        <w:t>初始分为100分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如存在考核内容中的情形，将扣除对应的分值</w:t>
      </w:r>
      <w:r>
        <w:rPr>
          <w:rFonts w:hint="eastAsia" w:ascii="宋体" w:hAnsi="宋体" w:eastAsia="宋体" w:cs="宋体"/>
          <w:sz w:val="24"/>
          <w:szCs w:val="24"/>
          <w:highlight w:val="none"/>
        </w:rPr>
        <w:t>。</w:t>
      </w:r>
    </w:p>
    <w:p w14:paraId="600B091B">
      <w:pPr>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kern w:val="2"/>
          <w:sz w:val="24"/>
          <w:szCs w:val="24"/>
          <w:highlight w:val="none"/>
          <w:lang w:val="en-US" w:eastAsia="zh-CN" w:bidi="ar-SA"/>
        </w:rPr>
        <w:t>2、</w:t>
      </w:r>
      <w:r>
        <w:rPr>
          <w:rFonts w:hint="eastAsia" w:ascii="宋体" w:hAnsi="宋体" w:eastAsia="宋体" w:cs="宋体"/>
          <w:b w:val="0"/>
          <w:bCs w:val="0"/>
          <w:color w:val="auto"/>
          <w:sz w:val="24"/>
          <w:szCs w:val="24"/>
          <w:highlight w:val="none"/>
          <w:lang w:val="en-US" w:eastAsia="zh-CN"/>
        </w:rPr>
        <w:t>考核需</w:t>
      </w:r>
      <w:r>
        <w:rPr>
          <w:rFonts w:hint="eastAsia" w:ascii="宋体" w:hAnsi="宋体" w:eastAsia="宋体" w:cs="宋体"/>
          <w:b w:val="0"/>
          <w:bCs w:val="0"/>
          <w:color w:val="auto"/>
          <w:sz w:val="24"/>
          <w:szCs w:val="24"/>
          <w:highlight w:val="none"/>
        </w:rPr>
        <w:t>提供明确的事实依据和佐证材料，</w:t>
      </w:r>
      <w:r>
        <w:rPr>
          <w:rFonts w:hint="eastAsia" w:ascii="宋体" w:hAnsi="宋体" w:eastAsia="宋体" w:cs="宋体"/>
          <w:b w:val="0"/>
          <w:bCs w:val="0"/>
          <w:color w:val="auto"/>
          <w:sz w:val="24"/>
          <w:szCs w:val="24"/>
          <w:highlight w:val="none"/>
          <w:lang w:val="en-US" w:eastAsia="zh-CN"/>
        </w:rPr>
        <w:t>对照</w:t>
      </w:r>
      <w:r>
        <w:rPr>
          <w:rFonts w:hint="eastAsia" w:ascii="宋体" w:hAnsi="宋体" w:eastAsia="宋体" w:cs="宋体"/>
          <w:b w:val="0"/>
          <w:bCs w:val="0"/>
          <w:color w:val="auto"/>
          <w:sz w:val="24"/>
          <w:szCs w:val="24"/>
          <w:highlight w:val="none"/>
        </w:rPr>
        <w:t>相应条款扣除</w:t>
      </w:r>
      <w:r>
        <w:rPr>
          <w:rFonts w:hint="eastAsia" w:ascii="宋体" w:hAnsi="宋体" w:eastAsia="宋体" w:cs="宋体"/>
          <w:b w:val="0"/>
          <w:bCs w:val="0"/>
          <w:color w:val="auto"/>
          <w:sz w:val="24"/>
          <w:szCs w:val="24"/>
          <w:highlight w:val="none"/>
          <w:lang w:val="en-US" w:eastAsia="zh-CN"/>
        </w:rPr>
        <w:t>对</w:t>
      </w:r>
      <w:r>
        <w:rPr>
          <w:rFonts w:hint="eastAsia" w:ascii="宋体" w:hAnsi="宋体" w:eastAsia="宋体" w:cs="宋体"/>
          <w:b w:val="0"/>
          <w:bCs w:val="0"/>
          <w:color w:val="auto"/>
          <w:sz w:val="24"/>
          <w:szCs w:val="24"/>
          <w:highlight w:val="none"/>
        </w:rPr>
        <w:t>应分数。在一个年度内供应商</w:t>
      </w:r>
      <w:r>
        <w:rPr>
          <w:rFonts w:hint="eastAsia" w:ascii="宋体" w:hAnsi="宋体" w:eastAsia="宋体" w:cs="宋体"/>
          <w:b w:val="0"/>
          <w:bCs w:val="0"/>
          <w:color w:val="auto"/>
          <w:sz w:val="24"/>
          <w:szCs w:val="24"/>
          <w:highlight w:val="none"/>
          <w:lang w:eastAsia="zh-CN"/>
        </w:rPr>
        <w:t>考核</w:t>
      </w:r>
      <w:r>
        <w:rPr>
          <w:rFonts w:hint="eastAsia" w:ascii="宋体" w:hAnsi="宋体" w:eastAsia="宋体" w:cs="宋体"/>
          <w:b w:val="0"/>
          <w:bCs w:val="0"/>
          <w:color w:val="auto"/>
          <w:sz w:val="24"/>
          <w:szCs w:val="24"/>
          <w:highlight w:val="none"/>
        </w:rPr>
        <w:t>累计得分≥95分</w:t>
      </w:r>
      <w:r>
        <w:rPr>
          <w:rFonts w:hint="eastAsia" w:ascii="宋体" w:hAnsi="宋体" w:eastAsia="宋体" w:cs="宋体"/>
          <w:b w:val="0"/>
          <w:bCs w:val="0"/>
          <w:color w:val="auto"/>
          <w:sz w:val="24"/>
          <w:szCs w:val="24"/>
          <w:highlight w:val="none"/>
          <w:lang w:val="en-US" w:eastAsia="zh-CN"/>
        </w:rPr>
        <w:t>者</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eastAsia="zh-CN"/>
        </w:rPr>
        <w:t>考核</w:t>
      </w:r>
      <w:r>
        <w:rPr>
          <w:rFonts w:hint="eastAsia" w:ascii="宋体" w:hAnsi="宋体" w:eastAsia="宋体" w:cs="宋体"/>
          <w:b w:val="0"/>
          <w:bCs w:val="0"/>
          <w:color w:val="auto"/>
          <w:sz w:val="24"/>
          <w:szCs w:val="24"/>
          <w:highlight w:val="none"/>
        </w:rPr>
        <w:t>结果为</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合格</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；累计得分＜95分</w:t>
      </w:r>
      <w:r>
        <w:rPr>
          <w:rFonts w:hint="eastAsia" w:ascii="宋体" w:hAnsi="宋体" w:eastAsia="宋体" w:cs="宋体"/>
          <w:b w:val="0"/>
          <w:bCs w:val="0"/>
          <w:color w:val="auto"/>
          <w:sz w:val="24"/>
          <w:szCs w:val="24"/>
          <w:highlight w:val="none"/>
          <w:lang w:val="en-US" w:eastAsia="zh-CN"/>
        </w:rPr>
        <w:t>者</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eastAsia="zh-CN"/>
        </w:rPr>
        <w:t>考核</w:t>
      </w:r>
      <w:r>
        <w:rPr>
          <w:rFonts w:hint="eastAsia" w:ascii="宋体" w:hAnsi="宋体" w:eastAsia="宋体" w:cs="宋体"/>
          <w:b w:val="0"/>
          <w:bCs w:val="0"/>
          <w:color w:val="auto"/>
          <w:sz w:val="24"/>
          <w:szCs w:val="24"/>
          <w:highlight w:val="none"/>
        </w:rPr>
        <w:t>结果为</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不合格</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eastAsia="zh-CN"/>
        </w:rPr>
        <w:t>考核</w:t>
      </w:r>
      <w:r>
        <w:rPr>
          <w:rFonts w:hint="eastAsia" w:ascii="宋体" w:hAnsi="宋体" w:eastAsia="宋体" w:cs="宋体"/>
          <w:b w:val="0"/>
          <w:bCs w:val="0"/>
          <w:color w:val="auto"/>
          <w:sz w:val="24"/>
          <w:szCs w:val="24"/>
          <w:highlight w:val="none"/>
        </w:rPr>
        <w:t>结束后，医学装备科</w:t>
      </w:r>
      <w:r>
        <w:rPr>
          <w:rFonts w:hint="eastAsia" w:ascii="宋体" w:hAnsi="宋体" w:eastAsia="宋体" w:cs="宋体"/>
          <w:b w:val="0"/>
          <w:bCs w:val="0"/>
          <w:color w:val="auto"/>
          <w:sz w:val="24"/>
          <w:szCs w:val="24"/>
          <w:highlight w:val="none"/>
          <w:lang w:val="en-US" w:eastAsia="zh-CN"/>
        </w:rPr>
        <w:t>将</w:t>
      </w:r>
      <w:r>
        <w:rPr>
          <w:rFonts w:hint="eastAsia" w:ascii="宋体" w:hAnsi="宋体" w:eastAsia="宋体" w:cs="宋体"/>
          <w:b w:val="0"/>
          <w:bCs w:val="0"/>
          <w:color w:val="auto"/>
          <w:sz w:val="24"/>
          <w:szCs w:val="24"/>
          <w:highlight w:val="none"/>
        </w:rPr>
        <w:t>供应商</w:t>
      </w:r>
      <w:r>
        <w:rPr>
          <w:rFonts w:hint="eastAsia" w:ascii="宋体" w:hAnsi="宋体" w:eastAsia="宋体" w:cs="宋体"/>
          <w:b w:val="0"/>
          <w:bCs w:val="0"/>
          <w:color w:val="auto"/>
          <w:sz w:val="24"/>
          <w:szCs w:val="24"/>
          <w:highlight w:val="none"/>
          <w:lang w:eastAsia="zh-CN"/>
        </w:rPr>
        <w:t>考核</w:t>
      </w:r>
      <w:r>
        <w:rPr>
          <w:rFonts w:hint="eastAsia" w:ascii="宋体" w:hAnsi="宋体" w:eastAsia="宋体" w:cs="宋体"/>
          <w:b w:val="0"/>
          <w:bCs w:val="0"/>
          <w:color w:val="auto"/>
          <w:sz w:val="24"/>
          <w:szCs w:val="24"/>
          <w:highlight w:val="none"/>
        </w:rPr>
        <w:t>的结果上报</w:t>
      </w:r>
      <w:r>
        <w:rPr>
          <w:rFonts w:hint="eastAsia" w:ascii="宋体" w:hAnsi="宋体" w:eastAsia="宋体" w:cs="宋体"/>
          <w:b w:val="0"/>
          <w:bCs w:val="0"/>
          <w:color w:val="auto"/>
          <w:sz w:val="24"/>
          <w:szCs w:val="24"/>
          <w:highlight w:val="none"/>
          <w:lang w:val="en-US" w:eastAsia="zh-CN"/>
        </w:rPr>
        <w:t>医院</w:t>
      </w:r>
      <w:r>
        <w:rPr>
          <w:rFonts w:hint="eastAsia" w:ascii="宋体" w:hAnsi="宋体" w:eastAsia="宋体" w:cs="宋体"/>
          <w:b w:val="0"/>
          <w:bCs w:val="0"/>
          <w:color w:val="auto"/>
          <w:sz w:val="24"/>
          <w:szCs w:val="24"/>
          <w:highlight w:val="none"/>
        </w:rPr>
        <w:t>医用耗材管理委员会，经委员会认定后，对</w:t>
      </w:r>
      <w:r>
        <w:rPr>
          <w:rFonts w:hint="eastAsia" w:ascii="宋体" w:hAnsi="宋体" w:eastAsia="宋体" w:cs="宋体"/>
          <w:b w:val="0"/>
          <w:bCs w:val="0"/>
          <w:color w:val="auto"/>
          <w:sz w:val="24"/>
          <w:szCs w:val="24"/>
          <w:highlight w:val="none"/>
          <w:lang w:eastAsia="zh-CN"/>
        </w:rPr>
        <w:t>考核</w:t>
      </w:r>
      <w:r>
        <w:rPr>
          <w:rFonts w:hint="eastAsia" w:ascii="宋体" w:hAnsi="宋体" w:eastAsia="宋体" w:cs="宋体"/>
          <w:b w:val="0"/>
          <w:bCs w:val="0"/>
          <w:color w:val="auto"/>
          <w:sz w:val="24"/>
          <w:szCs w:val="24"/>
          <w:highlight w:val="none"/>
        </w:rPr>
        <w:t>结果进行公示。</w:t>
      </w:r>
    </w:p>
    <w:p w14:paraId="5860E73B">
      <w:pPr>
        <w:pStyle w:val="3"/>
        <w:widowControl w:val="0"/>
        <w:numPr>
          <w:ilvl w:val="0"/>
          <w:numId w:val="0"/>
        </w:numPr>
        <w:spacing w:line="360"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3、考核表内容根据国家相关政策及医院管理需要，经医院医用耗材管理委员会审批后可进行调整。</w:t>
      </w:r>
    </w:p>
    <w:p w14:paraId="50B6A210">
      <w:pPr>
        <w:widowControl/>
        <w:numPr>
          <w:ilvl w:val="0"/>
          <w:numId w:val="1"/>
        </w:numPr>
        <w:spacing w:line="360" w:lineRule="auto"/>
        <w:ind w:firstLine="64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结果应用</w:t>
      </w:r>
    </w:p>
    <w:p w14:paraId="7F24461E">
      <w:pPr>
        <w:numPr>
          <w:ilvl w:val="0"/>
          <w:numId w:val="3"/>
        </w:numPr>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对存在违法违规违纪行为，</w:t>
      </w:r>
      <w:r>
        <w:rPr>
          <w:rFonts w:hint="eastAsia" w:ascii="宋体" w:hAnsi="宋体" w:eastAsia="宋体" w:cs="宋体"/>
          <w:sz w:val="24"/>
          <w:szCs w:val="24"/>
          <w:highlight w:val="none"/>
          <w:lang w:eastAsia="zh-CN"/>
        </w:rPr>
        <w:t>因自身原因拒绝继续履行合同的，</w:t>
      </w:r>
      <w:r>
        <w:rPr>
          <w:rFonts w:hint="eastAsia" w:ascii="宋体" w:hAnsi="宋体" w:eastAsia="宋体" w:cs="宋体"/>
          <w:sz w:val="24"/>
          <w:szCs w:val="24"/>
          <w:highlight w:val="none"/>
        </w:rPr>
        <w:t>采用非法途径查阅、索取、买卖医院</w:t>
      </w:r>
      <w:r>
        <w:rPr>
          <w:rFonts w:hint="eastAsia" w:ascii="宋体" w:hAnsi="宋体" w:eastAsia="宋体" w:cs="宋体"/>
          <w:sz w:val="24"/>
          <w:szCs w:val="24"/>
          <w:highlight w:val="none"/>
          <w:lang w:eastAsia="zh-CN"/>
        </w:rPr>
        <w:t>现用</w:t>
      </w:r>
      <w:r>
        <w:rPr>
          <w:rFonts w:hint="eastAsia" w:ascii="宋体" w:hAnsi="宋体" w:eastAsia="宋体" w:cs="宋体"/>
          <w:sz w:val="24"/>
          <w:szCs w:val="24"/>
          <w:highlight w:val="none"/>
        </w:rPr>
        <w:t>耗材</w:t>
      </w:r>
      <w:r>
        <w:rPr>
          <w:rFonts w:hint="eastAsia" w:ascii="宋体" w:hAnsi="宋体" w:eastAsia="宋体" w:cs="宋体"/>
          <w:sz w:val="24"/>
          <w:szCs w:val="24"/>
          <w:highlight w:val="none"/>
          <w:lang w:eastAsia="zh-CN"/>
        </w:rPr>
        <w:t>试剂等产品</w:t>
      </w:r>
      <w:r>
        <w:rPr>
          <w:rFonts w:hint="eastAsia" w:ascii="宋体" w:hAnsi="宋体" w:eastAsia="宋体" w:cs="宋体"/>
          <w:sz w:val="24"/>
          <w:szCs w:val="24"/>
          <w:highlight w:val="none"/>
        </w:rPr>
        <w:t>信息</w:t>
      </w:r>
      <w:r>
        <w:rPr>
          <w:rFonts w:hint="eastAsia" w:ascii="宋体" w:hAnsi="宋体" w:eastAsia="宋体" w:cs="宋体"/>
          <w:sz w:val="24"/>
          <w:szCs w:val="24"/>
          <w:highlight w:val="none"/>
          <w:lang w:eastAsia="zh-CN"/>
        </w:rPr>
        <w:t>对医院造成损失的，</w:t>
      </w:r>
      <w:r>
        <w:rPr>
          <w:rFonts w:hint="eastAsia" w:ascii="宋体" w:hAnsi="宋体" w:eastAsia="宋体" w:cs="宋体"/>
          <w:sz w:val="24"/>
          <w:szCs w:val="24"/>
          <w:highlight w:val="none"/>
        </w:rPr>
        <w:t>伪造</w:t>
      </w:r>
      <w:r>
        <w:rPr>
          <w:rFonts w:hint="eastAsia" w:ascii="宋体" w:hAnsi="宋体" w:eastAsia="宋体" w:cs="宋体"/>
          <w:sz w:val="24"/>
          <w:szCs w:val="24"/>
          <w:highlight w:val="none"/>
          <w:lang w:eastAsia="zh-CN"/>
        </w:rPr>
        <w:t>变造</w:t>
      </w:r>
      <w:r>
        <w:rPr>
          <w:rFonts w:hint="eastAsia" w:ascii="宋体" w:hAnsi="宋体" w:eastAsia="宋体" w:cs="宋体"/>
          <w:sz w:val="24"/>
          <w:szCs w:val="24"/>
          <w:highlight w:val="none"/>
        </w:rPr>
        <w:t>提供虚假证件、票据、资质证明，供应</w:t>
      </w:r>
      <w:r>
        <w:rPr>
          <w:rFonts w:hint="eastAsia" w:ascii="宋体" w:hAnsi="宋体" w:eastAsia="宋体" w:cs="宋体"/>
          <w:sz w:val="24"/>
          <w:szCs w:val="24"/>
          <w:highlight w:val="none"/>
          <w:lang w:eastAsia="zh-CN"/>
        </w:rPr>
        <w:t>资质不齐全、来源不清</w:t>
      </w:r>
      <w:r>
        <w:rPr>
          <w:rFonts w:hint="eastAsia" w:ascii="宋体" w:hAnsi="宋体" w:eastAsia="宋体" w:cs="宋体"/>
          <w:sz w:val="24"/>
          <w:szCs w:val="24"/>
          <w:highlight w:val="none"/>
        </w:rPr>
        <w:t>假冒伪劣产品</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串换耗材</w:t>
      </w:r>
      <w:r>
        <w:rPr>
          <w:rFonts w:hint="eastAsia" w:ascii="宋体" w:hAnsi="宋体" w:eastAsia="宋体" w:cs="宋体"/>
          <w:sz w:val="24"/>
          <w:szCs w:val="24"/>
          <w:highlight w:val="none"/>
          <w:lang w:val="en-US" w:eastAsia="zh-Hans"/>
        </w:rPr>
        <w:t>等问题</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经确认的供货商，直接取消供货资格。</w:t>
      </w:r>
    </w:p>
    <w:p w14:paraId="30D6A582">
      <w:pPr>
        <w:numPr>
          <w:ilvl w:val="0"/>
          <w:numId w:val="3"/>
        </w:numPr>
        <w:spacing w:line="360" w:lineRule="auto"/>
        <w:ind w:left="0" w:leftChars="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在考核中达到“合格”的供应商，可与医院续签合同继续进行供货，一年一续签，最长不超过3年；</w:t>
      </w:r>
      <w:r>
        <w:rPr>
          <w:rFonts w:hint="eastAsia" w:ascii="宋体" w:hAnsi="宋体" w:eastAsia="宋体" w:cs="宋体"/>
          <w:sz w:val="24"/>
          <w:szCs w:val="24"/>
          <w:highlight w:val="none"/>
          <w:lang w:eastAsia="zh-CN"/>
        </w:rPr>
        <w:t>考核</w:t>
      </w:r>
      <w:r>
        <w:rPr>
          <w:rFonts w:hint="eastAsia" w:ascii="宋体" w:hAnsi="宋体" w:eastAsia="宋体" w:cs="宋体"/>
          <w:sz w:val="24"/>
          <w:szCs w:val="24"/>
          <w:highlight w:val="none"/>
        </w:rPr>
        <w:t>“不合格”的供应商，医院将</w:t>
      </w:r>
      <w:r>
        <w:rPr>
          <w:rFonts w:hint="eastAsia" w:ascii="宋体" w:hAnsi="宋体" w:eastAsia="宋体" w:cs="宋体"/>
          <w:sz w:val="24"/>
          <w:szCs w:val="24"/>
          <w:highlight w:val="none"/>
          <w:lang w:val="en-US" w:eastAsia="zh-CN"/>
        </w:rPr>
        <w:t>直接</w:t>
      </w:r>
      <w:r>
        <w:rPr>
          <w:rFonts w:hint="eastAsia" w:ascii="宋体" w:hAnsi="宋体" w:eastAsia="宋体" w:cs="宋体"/>
          <w:sz w:val="24"/>
          <w:szCs w:val="24"/>
          <w:highlight w:val="none"/>
        </w:rPr>
        <w:t>终止</w:t>
      </w:r>
      <w:r>
        <w:rPr>
          <w:rFonts w:hint="eastAsia" w:ascii="宋体" w:hAnsi="宋体" w:eastAsia="宋体" w:cs="宋体"/>
          <w:sz w:val="24"/>
          <w:szCs w:val="24"/>
          <w:highlight w:val="none"/>
          <w:lang w:val="en-US" w:eastAsia="zh-CN"/>
        </w:rPr>
        <w:t>供货商供货资格</w:t>
      </w:r>
      <w:r>
        <w:rPr>
          <w:rFonts w:hint="eastAsia" w:ascii="宋体" w:hAnsi="宋体" w:eastAsia="宋体" w:cs="宋体"/>
          <w:sz w:val="24"/>
          <w:szCs w:val="24"/>
          <w:highlight w:val="none"/>
        </w:rPr>
        <w:t>，重新招选新的供应商。</w:t>
      </w:r>
    </w:p>
    <w:p w14:paraId="2111C87B">
      <w:pPr>
        <w:pStyle w:val="3"/>
        <w:widowControl w:val="0"/>
        <w:numPr>
          <w:ilvl w:val="0"/>
          <w:numId w:val="0"/>
        </w:numPr>
        <w:jc w:val="both"/>
        <w:rPr>
          <w:rFonts w:hint="default"/>
          <w:lang w:val="en-US" w:eastAsia="zh-CN"/>
        </w:rPr>
      </w:pPr>
    </w:p>
    <w:tbl>
      <w:tblPr>
        <w:tblStyle w:val="8"/>
        <w:tblW w:w="10020" w:type="dxa"/>
        <w:tblInd w:w="-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49"/>
        <w:gridCol w:w="2375"/>
        <w:gridCol w:w="5246"/>
        <w:gridCol w:w="1350"/>
      </w:tblGrid>
      <w:tr w14:paraId="4CC171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 w:hRule="atLeast"/>
        </w:trPr>
        <w:tc>
          <w:tcPr>
            <w:tcW w:w="10020" w:type="dxa"/>
            <w:gridSpan w:val="4"/>
            <w:tcBorders>
              <w:tl2br w:val="nil"/>
              <w:tr2bl w:val="nil"/>
            </w:tcBorders>
            <w:noWrap/>
            <w:vAlign w:val="center"/>
          </w:tcPr>
          <w:p w14:paraId="55F6032C">
            <w:pPr>
              <w:widowControl/>
              <w:jc w:val="center"/>
              <w:textAlignment w:val="center"/>
              <w:rPr>
                <w:rFonts w:hint="eastAsia" w:ascii="黑体" w:hAnsi="黑体" w:eastAsia="黑体" w:cs="黑体"/>
                <w:color w:val="auto"/>
                <w:kern w:val="0"/>
                <w:sz w:val="28"/>
                <w:szCs w:val="28"/>
                <w:highlight w:val="none"/>
                <w:lang w:eastAsia="zh-CN"/>
              </w:rPr>
            </w:pPr>
            <w:r>
              <w:rPr>
                <w:rFonts w:hint="eastAsia" w:ascii="黑体" w:hAnsi="黑体" w:eastAsia="黑体" w:cs="黑体"/>
                <w:color w:val="auto"/>
                <w:sz w:val="36"/>
                <w:szCs w:val="36"/>
                <w:highlight w:val="none"/>
                <w:lang w:val="en-US" w:eastAsia="zh-CN"/>
              </w:rPr>
              <w:t>甘肃省第二人民医院医用耗材</w:t>
            </w:r>
            <w:r>
              <w:rPr>
                <w:rFonts w:hint="eastAsia" w:ascii="黑体" w:hAnsi="黑体" w:eastAsia="黑体" w:cs="黑体"/>
                <w:color w:val="auto"/>
                <w:sz w:val="36"/>
                <w:szCs w:val="36"/>
                <w:highlight w:val="none"/>
              </w:rPr>
              <w:t>供应商</w:t>
            </w:r>
            <w:r>
              <w:rPr>
                <w:rFonts w:hint="eastAsia" w:ascii="黑体" w:hAnsi="黑体" w:eastAsia="黑体" w:cs="黑体"/>
                <w:color w:val="auto"/>
                <w:sz w:val="36"/>
                <w:szCs w:val="36"/>
                <w:highlight w:val="none"/>
                <w:lang w:eastAsia="zh-CN"/>
              </w:rPr>
              <w:t>考核</w:t>
            </w:r>
            <w:r>
              <w:rPr>
                <w:rFonts w:hint="eastAsia" w:ascii="黑体" w:hAnsi="黑体" w:eastAsia="黑体" w:cs="黑体"/>
                <w:color w:val="auto"/>
                <w:sz w:val="36"/>
                <w:szCs w:val="36"/>
                <w:highlight w:val="none"/>
                <w:lang w:val="en-US" w:eastAsia="zh-CN"/>
              </w:rPr>
              <w:t>表</w:t>
            </w:r>
          </w:p>
        </w:tc>
      </w:tr>
      <w:tr w14:paraId="686158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049" w:type="dxa"/>
            <w:tcBorders>
              <w:tl2br w:val="nil"/>
              <w:tr2bl w:val="nil"/>
            </w:tcBorders>
            <w:noWrap/>
            <w:vAlign w:val="center"/>
          </w:tcPr>
          <w:p w14:paraId="6D43223B">
            <w:pPr>
              <w:widowControl/>
              <w:jc w:val="center"/>
              <w:textAlignment w:val="center"/>
              <w:rPr>
                <w:rFonts w:hint="eastAsia" w:ascii="黑体" w:hAnsi="黑体" w:eastAsia="黑体" w:cs="黑体"/>
                <w:color w:val="auto"/>
                <w:kern w:val="0"/>
                <w:sz w:val="28"/>
                <w:szCs w:val="28"/>
                <w:highlight w:val="none"/>
                <w:lang w:eastAsia="zh-CN"/>
              </w:rPr>
            </w:pPr>
            <w:r>
              <w:rPr>
                <w:rFonts w:hint="eastAsia" w:ascii="黑体" w:hAnsi="黑体" w:eastAsia="黑体" w:cs="黑体"/>
                <w:color w:val="auto"/>
                <w:kern w:val="0"/>
                <w:sz w:val="28"/>
                <w:szCs w:val="28"/>
                <w:highlight w:val="none"/>
                <w:lang w:val="en-US" w:eastAsia="zh-CN"/>
              </w:rPr>
              <w:t>序号</w:t>
            </w:r>
          </w:p>
        </w:tc>
        <w:tc>
          <w:tcPr>
            <w:tcW w:w="2375" w:type="dxa"/>
            <w:tcBorders>
              <w:tl2br w:val="nil"/>
              <w:tr2bl w:val="nil"/>
            </w:tcBorders>
            <w:noWrap/>
            <w:vAlign w:val="center"/>
          </w:tcPr>
          <w:p w14:paraId="336F1059">
            <w:pPr>
              <w:widowControl/>
              <w:jc w:val="center"/>
              <w:textAlignment w:val="center"/>
              <w:rPr>
                <w:rFonts w:hint="eastAsia" w:ascii="黑体" w:hAnsi="黑体" w:eastAsia="黑体" w:cs="黑体"/>
                <w:color w:val="auto"/>
                <w:kern w:val="0"/>
                <w:sz w:val="28"/>
                <w:szCs w:val="28"/>
                <w:highlight w:val="none"/>
                <w:lang w:eastAsia="zh-CN"/>
              </w:rPr>
            </w:pPr>
            <w:r>
              <w:rPr>
                <w:rFonts w:hint="eastAsia" w:ascii="黑体" w:hAnsi="黑体" w:eastAsia="黑体" w:cs="黑体"/>
                <w:color w:val="auto"/>
                <w:kern w:val="0"/>
                <w:sz w:val="28"/>
                <w:szCs w:val="28"/>
                <w:highlight w:val="none"/>
                <w:lang w:eastAsia="zh-CN"/>
              </w:rPr>
              <w:t>考核</w:t>
            </w:r>
            <w:r>
              <w:rPr>
                <w:rFonts w:hint="eastAsia" w:ascii="黑体" w:hAnsi="黑体" w:eastAsia="黑体" w:cs="黑体"/>
                <w:color w:val="auto"/>
                <w:kern w:val="0"/>
                <w:sz w:val="28"/>
                <w:szCs w:val="28"/>
                <w:highlight w:val="none"/>
                <w:lang w:val="en-US" w:eastAsia="zh-CN"/>
              </w:rPr>
              <w:t>指标</w:t>
            </w:r>
          </w:p>
        </w:tc>
        <w:tc>
          <w:tcPr>
            <w:tcW w:w="5246" w:type="dxa"/>
            <w:tcBorders>
              <w:tl2br w:val="nil"/>
              <w:tr2bl w:val="nil"/>
            </w:tcBorders>
            <w:noWrap/>
            <w:vAlign w:val="center"/>
          </w:tcPr>
          <w:p w14:paraId="1BE4C548">
            <w:pPr>
              <w:widowControl/>
              <w:jc w:val="center"/>
              <w:textAlignment w:val="center"/>
              <w:rPr>
                <w:rFonts w:hint="eastAsia" w:ascii="黑体" w:hAnsi="黑体" w:eastAsia="黑体" w:cs="黑体"/>
                <w:color w:val="auto"/>
                <w:kern w:val="0"/>
                <w:sz w:val="28"/>
                <w:szCs w:val="28"/>
                <w:highlight w:val="none"/>
              </w:rPr>
            </w:pPr>
            <w:r>
              <w:rPr>
                <w:rFonts w:hint="eastAsia" w:ascii="黑体" w:hAnsi="黑体" w:eastAsia="黑体" w:cs="黑体"/>
                <w:color w:val="auto"/>
                <w:kern w:val="0"/>
                <w:sz w:val="28"/>
                <w:szCs w:val="28"/>
                <w:highlight w:val="none"/>
                <w:lang w:eastAsia="zh-CN"/>
              </w:rPr>
              <w:t>考核</w:t>
            </w:r>
            <w:r>
              <w:rPr>
                <w:rFonts w:hint="eastAsia" w:ascii="黑体" w:hAnsi="黑体" w:eastAsia="黑体" w:cs="黑体"/>
                <w:color w:val="auto"/>
                <w:kern w:val="0"/>
                <w:sz w:val="28"/>
                <w:szCs w:val="28"/>
                <w:highlight w:val="none"/>
              </w:rPr>
              <w:t>内容</w:t>
            </w:r>
          </w:p>
        </w:tc>
        <w:tc>
          <w:tcPr>
            <w:tcW w:w="1350" w:type="dxa"/>
            <w:tcBorders>
              <w:tl2br w:val="nil"/>
              <w:tr2bl w:val="nil"/>
            </w:tcBorders>
            <w:noWrap/>
            <w:vAlign w:val="center"/>
          </w:tcPr>
          <w:p w14:paraId="74E60ECA">
            <w:pPr>
              <w:widowControl/>
              <w:jc w:val="center"/>
              <w:textAlignment w:val="center"/>
              <w:rPr>
                <w:rFonts w:hint="eastAsia" w:ascii="黑体" w:hAnsi="黑体" w:eastAsia="黑体" w:cs="黑体"/>
                <w:color w:val="auto"/>
                <w:kern w:val="0"/>
                <w:sz w:val="28"/>
                <w:szCs w:val="28"/>
                <w:highlight w:val="none"/>
              </w:rPr>
            </w:pPr>
            <w:r>
              <w:rPr>
                <w:rFonts w:hint="eastAsia" w:ascii="黑体" w:hAnsi="黑体" w:eastAsia="黑体" w:cs="黑体"/>
                <w:color w:val="auto"/>
                <w:kern w:val="0"/>
                <w:sz w:val="28"/>
                <w:szCs w:val="28"/>
                <w:highlight w:val="none"/>
              </w:rPr>
              <w:t>分值</w:t>
            </w:r>
          </w:p>
        </w:tc>
      </w:tr>
      <w:tr w14:paraId="7DCDF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049" w:type="dxa"/>
            <w:vMerge w:val="restart"/>
            <w:tcBorders>
              <w:tl2br w:val="nil"/>
              <w:tr2bl w:val="nil"/>
            </w:tcBorders>
            <w:noWrap/>
            <w:vAlign w:val="center"/>
          </w:tcPr>
          <w:p w14:paraId="501F3F52">
            <w:pPr>
              <w:spacing w:line="360" w:lineRule="auto"/>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2375" w:type="dxa"/>
            <w:vMerge w:val="restart"/>
            <w:tcBorders>
              <w:tl2br w:val="nil"/>
              <w:tr2bl w:val="nil"/>
            </w:tcBorders>
            <w:noWrap/>
            <w:vAlign w:val="center"/>
          </w:tcPr>
          <w:p w14:paraId="79999D49">
            <w:pPr>
              <w:widowControl/>
              <w:spacing w:line="36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供货能力（</w:t>
            </w:r>
            <w:r>
              <w:rPr>
                <w:rFonts w:hint="eastAsia" w:ascii="宋体" w:hAnsi="宋体" w:eastAsia="宋体" w:cs="宋体"/>
                <w:color w:val="auto"/>
                <w:kern w:val="0"/>
                <w:sz w:val="24"/>
                <w:szCs w:val="24"/>
                <w:highlight w:val="none"/>
                <w:lang w:val="en-US" w:eastAsia="zh-CN"/>
              </w:rPr>
              <w:t>15</w:t>
            </w:r>
            <w:r>
              <w:rPr>
                <w:rFonts w:hint="eastAsia" w:ascii="宋体" w:hAnsi="宋体" w:eastAsia="宋体" w:cs="宋体"/>
                <w:color w:val="auto"/>
                <w:kern w:val="0"/>
                <w:sz w:val="24"/>
                <w:szCs w:val="24"/>
                <w:highlight w:val="none"/>
              </w:rPr>
              <w:t>分）</w:t>
            </w:r>
          </w:p>
        </w:tc>
        <w:tc>
          <w:tcPr>
            <w:tcW w:w="5246" w:type="dxa"/>
            <w:tcBorders>
              <w:tl2br w:val="nil"/>
              <w:tr2bl w:val="nil"/>
            </w:tcBorders>
            <w:noWrap/>
            <w:vAlign w:val="center"/>
          </w:tcPr>
          <w:p w14:paraId="31C0A198">
            <w:pPr>
              <w:widowControl/>
              <w:spacing w:line="360" w:lineRule="auto"/>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供货响应时间</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医院</w:t>
            </w:r>
            <w:r>
              <w:rPr>
                <w:rFonts w:hint="eastAsia" w:ascii="宋体" w:hAnsi="宋体" w:eastAsia="宋体" w:cs="宋体"/>
                <w:color w:val="auto"/>
                <w:kern w:val="0"/>
                <w:sz w:val="24"/>
                <w:szCs w:val="24"/>
                <w:highlight w:val="none"/>
              </w:rPr>
              <w:t>采购订单发送后，</w:t>
            </w:r>
            <w:r>
              <w:rPr>
                <w:rFonts w:hint="eastAsia" w:ascii="宋体" w:hAnsi="宋体" w:eastAsia="宋体" w:cs="宋体"/>
                <w:color w:val="auto"/>
                <w:kern w:val="0"/>
                <w:sz w:val="24"/>
                <w:szCs w:val="24"/>
                <w:highlight w:val="none"/>
                <w:lang w:val="en-US" w:eastAsia="zh-CN"/>
              </w:rPr>
              <w:t>24</w:t>
            </w:r>
            <w:r>
              <w:rPr>
                <w:rFonts w:hint="eastAsia" w:ascii="宋体" w:hAnsi="宋体" w:eastAsia="宋体" w:cs="宋体"/>
                <w:color w:val="auto"/>
                <w:kern w:val="0"/>
                <w:sz w:val="24"/>
                <w:szCs w:val="24"/>
                <w:highlight w:val="none"/>
              </w:rPr>
              <w:t>小时内未</w:t>
            </w:r>
            <w:r>
              <w:rPr>
                <w:rFonts w:hint="eastAsia" w:ascii="宋体" w:hAnsi="宋体" w:eastAsia="宋体" w:cs="宋体"/>
                <w:color w:val="auto"/>
                <w:kern w:val="0"/>
                <w:sz w:val="24"/>
                <w:szCs w:val="24"/>
                <w:highlight w:val="none"/>
                <w:lang w:val="en-US" w:eastAsia="zh-CN"/>
              </w:rPr>
              <w:t>及时响应</w:t>
            </w:r>
            <w:r>
              <w:rPr>
                <w:rFonts w:hint="eastAsia" w:ascii="宋体" w:hAnsi="宋体" w:eastAsia="宋体" w:cs="宋体"/>
                <w:color w:val="auto"/>
                <w:kern w:val="0"/>
                <w:sz w:val="24"/>
                <w:szCs w:val="24"/>
                <w:highlight w:val="none"/>
              </w:rPr>
              <w:t>订单</w:t>
            </w:r>
            <w:r>
              <w:rPr>
                <w:rFonts w:hint="eastAsia" w:ascii="宋体" w:hAnsi="宋体" w:eastAsia="宋体" w:cs="宋体"/>
                <w:color w:val="auto"/>
                <w:kern w:val="0"/>
                <w:sz w:val="24"/>
                <w:szCs w:val="24"/>
                <w:highlight w:val="none"/>
                <w:lang w:val="en-US" w:eastAsia="zh-CN"/>
              </w:rPr>
              <w:t>等</w:t>
            </w:r>
            <w:r>
              <w:rPr>
                <w:rFonts w:hint="eastAsia" w:ascii="宋体" w:hAnsi="宋体" w:eastAsia="宋体" w:cs="宋体"/>
                <w:color w:val="auto"/>
                <w:kern w:val="0"/>
                <w:sz w:val="24"/>
                <w:szCs w:val="24"/>
                <w:highlight w:val="none"/>
              </w:rPr>
              <w:t>。</w:t>
            </w:r>
          </w:p>
        </w:tc>
        <w:tc>
          <w:tcPr>
            <w:tcW w:w="1350" w:type="dxa"/>
            <w:tcBorders>
              <w:tl2br w:val="nil"/>
              <w:tr2bl w:val="nil"/>
            </w:tcBorders>
            <w:noWrap/>
            <w:vAlign w:val="center"/>
          </w:tcPr>
          <w:p w14:paraId="146A06BA">
            <w:pPr>
              <w:widowControl/>
              <w:spacing w:line="360" w:lineRule="auto"/>
              <w:jc w:val="center"/>
              <w:textAlignment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5</w:t>
            </w:r>
          </w:p>
        </w:tc>
      </w:tr>
      <w:tr w14:paraId="631E16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1049" w:type="dxa"/>
            <w:vMerge w:val="continue"/>
            <w:tcBorders>
              <w:tl2br w:val="nil"/>
              <w:tr2bl w:val="nil"/>
            </w:tcBorders>
            <w:noWrap/>
            <w:vAlign w:val="center"/>
          </w:tcPr>
          <w:p w14:paraId="76937BC6">
            <w:pPr>
              <w:spacing w:line="360" w:lineRule="auto"/>
              <w:jc w:val="center"/>
              <w:rPr>
                <w:rFonts w:hint="eastAsia" w:ascii="宋体" w:hAnsi="宋体" w:eastAsia="宋体" w:cs="宋体"/>
                <w:color w:val="auto"/>
                <w:kern w:val="0"/>
                <w:sz w:val="24"/>
                <w:szCs w:val="24"/>
                <w:highlight w:val="none"/>
              </w:rPr>
            </w:pPr>
          </w:p>
        </w:tc>
        <w:tc>
          <w:tcPr>
            <w:tcW w:w="2375" w:type="dxa"/>
            <w:vMerge w:val="continue"/>
            <w:tcBorders>
              <w:tl2br w:val="nil"/>
              <w:tr2bl w:val="nil"/>
            </w:tcBorders>
            <w:noWrap/>
            <w:vAlign w:val="center"/>
          </w:tcPr>
          <w:p w14:paraId="046E6C5A">
            <w:pPr>
              <w:spacing w:line="360" w:lineRule="auto"/>
              <w:jc w:val="center"/>
              <w:rPr>
                <w:rFonts w:hint="eastAsia" w:ascii="宋体" w:hAnsi="宋体" w:eastAsia="宋体" w:cs="宋体"/>
                <w:color w:val="auto"/>
                <w:kern w:val="0"/>
                <w:sz w:val="24"/>
                <w:szCs w:val="24"/>
                <w:highlight w:val="none"/>
              </w:rPr>
            </w:pPr>
          </w:p>
        </w:tc>
        <w:tc>
          <w:tcPr>
            <w:tcW w:w="5246" w:type="dxa"/>
            <w:tcBorders>
              <w:tl2br w:val="nil"/>
              <w:tr2bl w:val="nil"/>
            </w:tcBorders>
            <w:noWrap/>
            <w:vAlign w:val="center"/>
          </w:tcPr>
          <w:p w14:paraId="28E30F59">
            <w:pPr>
              <w:widowControl/>
              <w:spacing w:line="360" w:lineRule="auto"/>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供货及时性</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未在规定时间内完成供货和配送</w:t>
            </w:r>
            <w:r>
              <w:rPr>
                <w:rFonts w:hint="eastAsia" w:ascii="宋体" w:hAnsi="宋体" w:eastAsia="宋体" w:cs="宋体"/>
                <w:color w:val="auto"/>
                <w:kern w:val="0"/>
                <w:sz w:val="24"/>
                <w:szCs w:val="24"/>
                <w:highlight w:val="none"/>
                <w:lang w:val="en-US" w:eastAsia="zh-CN"/>
              </w:rPr>
              <w:t>至医院指定地点</w:t>
            </w:r>
            <w:r>
              <w:rPr>
                <w:rFonts w:hint="eastAsia" w:ascii="宋体" w:hAnsi="宋体" w:eastAsia="宋体" w:cs="宋体"/>
                <w:color w:val="auto"/>
                <w:kern w:val="0"/>
                <w:sz w:val="24"/>
                <w:szCs w:val="24"/>
                <w:highlight w:val="none"/>
              </w:rPr>
              <w:t>。</w:t>
            </w:r>
          </w:p>
        </w:tc>
        <w:tc>
          <w:tcPr>
            <w:tcW w:w="1350" w:type="dxa"/>
            <w:tcBorders>
              <w:tl2br w:val="nil"/>
              <w:tr2bl w:val="nil"/>
            </w:tcBorders>
            <w:noWrap/>
            <w:vAlign w:val="center"/>
          </w:tcPr>
          <w:p w14:paraId="59D05148">
            <w:pPr>
              <w:widowControl/>
              <w:spacing w:line="360" w:lineRule="auto"/>
              <w:jc w:val="center"/>
              <w:textAlignment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5</w:t>
            </w:r>
          </w:p>
        </w:tc>
      </w:tr>
      <w:tr w14:paraId="6A279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4" w:hRule="atLeast"/>
        </w:trPr>
        <w:tc>
          <w:tcPr>
            <w:tcW w:w="1049" w:type="dxa"/>
            <w:vMerge w:val="continue"/>
            <w:tcBorders>
              <w:tl2br w:val="nil"/>
              <w:tr2bl w:val="nil"/>
            </w:tcBorders>
            <w:noWrap/>
            <w:vAlign w:val="center"/>
          </w:tcPr>
          <w:p w14:paraId="4086B036">
            <w:pPr>
              <w:spacing w:line="360" w:lineRule="auto"/>
              <w:jc w:val="center"/>
              <w:rPr>
                <w:rFonts w:hint="eastAsia" w:ascii="宋体" w:hAnsi="宋体" w:eastAsia="宋体" w:cs="宋体"/>
                <w:color w:val="auto"/>
                <w:kern w:val="0"/>
                <w:sz w:val="24"/>
                <w:szCs w:val="24"/>
                <w:highlight w:val="none"/>
              </w:rPr>
            </w:pPr>
          </w:p>
        </w:tc>
        <w:tc>
          <w:tcPr>
            <w:tcW w:w="2375" w:type="dxa"/>
            <w:vMerge w:val="continue"/>
            <w:tcBorders>
              <w:tl2br w:val="nil"/>
              <w:tr2bl w:val="nil"/>
            </w:tcBorders>
            <w:noWrap/>
            <w:vAlign w:val="center"/>
          </w:tcPr>
          <w:p w14:paraId="2F709231">
            <w:pPr>
              <w:spacing w:line="360" w:lineRule="auto"/>
              <w:jc w:val="center"/>
              <w:rPr>
                <w:rFonts w:hint="eastAsia" w:ascii="宋体" w:hAnsi="宋体" w:eastAsia="宋体" w:cs="宋体"/>
                <w:color w:val="auto"/>
                <w:kern w:val="0"/>
                <w:sz w:val="24"/>
                <w:szCs w:val="24"/>
                <w:highlight w:val="none"/>
              </w:rPr>
            </w:pPr>
          </w:p>
        </w:tc>
        <w:tc>
          <w:tcPr>
            <w:tcW w:w="5246" w:type="dxa"/>
            <w:tcBorders>
              <w:tl2br w:val="nil"/>
              <w:tr2bl w:val="nil"/>
            </w:tcBorders>
            <w:noWrap/>
            <w:vAlign w:val="center"/>
          </w:tcPr>
          <w:p w14:paraId="35598045">
            <w:pPr>
              <w:widowControl/>
              <w:spacing w:line="360" w:lineRule="auto"/>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供货准确性</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配送产品未达到</w:t>
            </w:r>
            <w:r>
              <w:rPr>
                <w:rFonts w:hint="eastAsia" w:ascii="宋体" w:hAnsi="宋体" w:eastAsia="宋体" w:cs="宋体"/>
                <w:color w:val="auto"/>
                <w:kern w:val="0"/>
                <w:sz w:val="24"/>
                <w:szCs w:val="24"/>
                <w:highlight w:val="none"/>
                <w:lang w:val="en-US" w:eastAsia="zh-CN"/>
              </w:rPr>
              <w:t>医院</w:t>
            </w:r>
            <w:r>
              <w:rPr>
                <w:rFonts w:hint="eastAsia" w:ascii="宋体" w:hAnsi="宋体" w:eastAsia="宋体" w:cs="宋体"/>
                <w:color w:val="auto"/>
                <w:kern w:val="0"/>
                <w:sz w:val="24"/>
                <w:szCs w:val="24"/>
                <w:highlight w:val="none"/>
              </w:rPr>
              <w:t>验收标准（如包装损坏、效期太近等）</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经院方工作人员指出问题后不及时整改或整改不到位</w:t>
            </w:r>
            <w:r>
              <w:rPr>
                <w:rFonts w:hint="eastAsia" w:ascii="宋体" w:hAnsi="宋体" w:eastAsia="宋体" w:cs="宋体"/>
                <w:color w:val="auto"/>
                <w:kern w:val="0"/>
                <w:sz w:val="24"/>
                <w:szCs w:val="24"/>
                <w:highlight w:val="none"/>
              </w:rPr>
              <w:t>。</w:t>
            </w:r>
          </w:p>
        </w:tc>
        <w:tc>
          <w:tcPr>
            <w:tcW w:w="1350" w:type="dxa"/>
            <w:tcBorders>
              <w:tl2br w:val="nil"/>
              <w:tr2bl w:val="nil"/>
            </w:tcBorders>
            <w:noWrap/>
            <w:vAlign w:val="center"/>
          </w:tcPr>
          <w:p w14:paraId="1818FB92">
            <w:pPr>
              <w:widowControl/>
              <w:spacing w:line="360" w:lineRule="auto"/>
              <w:jc w:val="center"/>
              <w:textAlignment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5</w:t>
            </w:r>
          </w:p>
        </w:tc>
      </w:tr>
      <w:tr w14:paraId="681D06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trPr>
        <w:tc>
          <w:tcPr>
            <w:tcW w:w="1049" w:type="dxa"/>
            <w:vMerge w:val="restart"/>
            <w:tcBorders>
              <w:tl2br w:val="nil"/>
              <w:tr2bl w:val="nil"/>
            </w:tcBorders>
            <w:noWrap/>
            <w:vAlign w:val="center"/>
          </w:tcPr>
          <w:p w14:paraId="65A00376">
            <w:pPr>
              <w:spacing w:line="360" w:lineRule="auto"/>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2375" w:type="dxa"/>
            <w:vMerge w:val="restart"/>
            <w:tcBorders>
              <w:tl2br w:val="nil"/>
              <w:tr2bl w:val="nil"/>
            </w:tcBorders>
            <w:noWrap/>
            <w:vAlign w:val="center"/>
          </w:tcPr>
          <w:p w14:paraId="6A6DE3B7">
            <w:pPr>
              <w:widowControl/>
              <w:spacing w:line="36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票据管理（</w:t>
            </w:r>
            <w:r>
              <w:rPr>
                <w:rFonts w:hint="eastAsia" w:ascii="宋体" w:hAnsi="宋体" w:eastAsia="宋体" w:cs="宋体"/>
                <w:color w:val="auto"/>
                <w:kern w:val="0"/>
                <w:sz w:val="24"/>
                <w:szCs w:val="24"/>
                <w:highlight w:val="none"/>
                <w:lang w:val="en-US" w:eastAsia="zh-CN"/>
              </w:rPr>
              <w:t>18</w:t>
            </w:r>
            <w:r>
              <w:rPr>
                <w:rFonts w:hint="eastAsia" w:ascii="宋体" w:hAnsi="宋体" w:eastAsia="宋体" w:cs="宋体"/>
                <w:color w:val="auto"/>
                <w:kern w:val="0"/>
                <w:sz w:val="24"/>
                <w:szCs w:val="24"/>
                <w:highlight w:val="none"/>
              </w:rPr>
              <w:t>分）</w:t>
            </w:r>
          </w:p>
        </w:tc>
        <w:tc>
          <w:tcPr>
            <w:tcW w:w="5246" w:type="dxa"/>
            <w:tcBorders>
              <w:tl2br w:val="nil"/>
              <w:tr2bl w:val="nil"/>
            </w:tcBorders>
            <w:noWrap/>
            <w:vAlign w:val="center"/>
          </w:tcPr>
          <w:p w14:paraId="346CE4DF">
            <w:pPr>
              <w:widowControl/>
              <w:spacing w:line="360" w:lineRule="auto"/>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送货单据齐全性</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销售出库清单</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进口产品商检证明</w:t>
            </w:r>
            <w:r>
              <w:rPr>
                <w:rFonts w:hint="eastAsia" w:ascii="宋体" w:hAnsi="宋体" w:eastAsia="宋体" w:cs="宋体"/>
                <w:color w:val="auto"/>
                <w:kern w:val="0"/>
                <w:sz w:val="24"/>
                <w:szCs w:val="24"/>
                <w:highlight w:val="none"/>
              </w:rPr>
              <w:t>等</w:t>
            </w:r>
            <w:r>
              <w:rPr>
                <w:rFonts w:hint="eastAsia" w:ascii="宋体" w:hAnsi="宋体" w:eastAsia="宋体" w:cs="宋体"/>
                <w:color w:val="auto"/>
                <w:kern w:val="0"/>
                <w:sz w:val="24"/>
                <w:szCs w:val="24"/>
                <w:highlight w:val="none"/>
                <w:lang w:val="en-US" w:eastAsia="zh-CN"/>
              </w:rPr>
              <w:t>医院要求的验收资料</w:t>
            </w:r>
            <w:r>
              <w:rPr>
                <w:rFonts w:hint="eastAsia" w:ascii="宋体" w:hAnsi="宋体" w:eastAsia="宋体" w:cs="宋体"/>
                <w:color w:val="auto"/>
                <w:kern w:val="0"/>
                <w:sz w:val="24"/>
                <w:szCs w:val="24"/>
                <w:highlight w:val="none"/>
              </w:rPr>
              <w:t>不全</w:t>
            </w:r>
            <w:r>
              <w:rPr>
                <w:rFonts w:hint="eastAsia" w:ascii="宋体" w:hAnsi="宋体" w:eastAsia="宋体" w:cs="宋体"/>
                <w:color w:val="auto"/>
                <w:kern w:val="0"/>
                <w:sz w:val="24"/>
                <w:szCs w:val="24"/>
                <w:highlight w:val="none"/>
                <w:lang w:val="en-US" w:eastAsia="zh-Hans"/>
              </w:rPr>
              <w:t>或提供错误</w:t>
            </w:r>
            <w:r>
              <w:rPr>
                <w:rFonts w:hint="eastAsia" w:ascii="宋体" w:hAnsi="宋体" w:eastAsia="宋体" w:cs="宋体"/>
                <w:color w:val="auto"/>
                <w:kern w:val="0"/>
                <w:sz w:val="24"/>
                <w:szCs w:val="24"/>
                <w:highlight w:val="none"/>
                <w:lang w:eastAsia="zh-Hans"/>
              </w:rPr>
              <w:t>、</w:t>
            </w:r>
            <w:r>
              <w:rPr>
                <w:rFonts w:hint="eastAsia" w:ascii="宋体" w:hAnsi="宋体" w:eastAsia="宋体" w:cs="宋体"/>
                <w:color w:val="auto"/>
                <w:kern w:val="0"/>
                <w:sz w:val="24"/>
                <w:szCs w:val="24"/>
                <w:highlight w:val="none"/>
                <w:lang w:val="en-US" w:eastAsia="zh-Hans"/>
              </w:rPr>
              <w:t>虚假材料</w:t>
            </w:r>
            <w:r>
              <w:rPr>
                <w:rFonts w:hint="eastAsia" w:ascii="宋体" w:hAnsi="宋体" w:eastAsia="宋体" w:cs="宋体"/>
                <w:color w:val="auto"/>
                <w:kern w:val="0"/>
                <w:sz w:val="24"/>
                <w:szCs w:val="24"/>
                <w:highlight w:val="none"/>
              </w:rPr>
              <w:t>。</w:t>
            </w:r>
          </w:p>
        </w:tc>
        <w:tc>
          <w:tcPr>
            <w:tcW w:w="1350" w:type="dxa"/>
            <w:tcBorders>
              <w:tl2br w:val="nil"/>
              <w:tr2bl w:val="nil"/>
            </w:tcBorders>
            <w:noWrap/>
            <w:vAlign w:val="center"/>
          </w:tcPr>
          <w:p w14:paraId="6293E02B">
            <w:pPr>
              <w:widowControl/>
              <w:spacing w:line="36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r>
      <w:tr w14:paraId="15D6AC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rPr>
        <w:tc>
          <w:tcPr>
            <w:tcW w:w="1049" w:type="dxa"/>
            <w:vMerge w:val="continue"/>
            <w:tcBorders>
              <w:tl2br w:val="nil"/>
              <w:tr2bl w:val="nil"/>
            </w:tcBorders>
            <w:noWrap/>
            <w:vAlign w:val="center"/>
          </w:tcPr>
          <w:p w14:paraId="1A938592">
            <w:pPr>
              <w:spacing w:line="360" w:lineRule="auto"/>
              <w:jc w:val="center"/>
              <w:rPr>
                <w:rFonts w:hint="eastAsia" w:ascii="宋体" w:hAnsi="宋体" w:eastAsia="宋体" w:cs="宋体"/>
                <w:color w:val="auto"/>
                <w:kern w:val="0"/>
                <w:sz w:val="24"/>
                <w:szCs w:val="24"/>
                <w:highlight w:val="none"/>
              </w:rPr>
            </w:pPr>
          </w:p>
        </w:tc>
        <w:tc>
          <w:tcPr>
            <w:tcW w:w="2375" w:type="dxa"/>
            <w:vMerge w:val="continue"/>
            <w:tcBorders>
              <w:tl2br w:val="nil"/>
              <w:tr2bl w:val="nil"/>
            </w:tcBorders>
            <w:noWrap/>
            <w:vAlign w:val="center"/>
          </w:tcPr>
          <w:p w14:paraId="431D3190">
            <w:pPr>
              <w:widowControl/>
              <w:spacing w:line="360" w:lineRule="auto"/>
              <w:jc w:val="center"/>
              <w:textAlignment w:val="center"/>
              <w:rPr>
                <w:rFonts w:hint="eastAsia" w:ascii="宋体" w:hAnsi="宋体" w:eastAsia="宋体" w:cs="宋体"/>
                <w:color w:val="auto"/>
                <w:kern w:val="0"/>
                <w:sz w:val="24"/>
                <w:szCs w:val="24"/>
                <w:highlight w:val="none"/>
              </w:rPr>
            </w:pPr>
          </w:p>
        </w:tc>
        <w:tc>
          <w:tcPr>
            <w:tcW w:w="5246" w:type="dxa"/>
            <w:tcBorders>
              <w:tl2br w:val="nil"/>
              <w:tr2bl w:val="nil"/>
            </w:tcBorders>
            <w:noWrap/>
            <w:vAlign w:val="center"/>
          </w:tcPr>
          <w:p w14:paraId="64963B3F">
            <w:pPr>
              <w:widowControl/>
              <w:spacing w:line="360" w:lineRule="auto"/>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发票准确性</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发票信息（发票号、金额、开户账号等）</w:t>
            </w:r>
            <w:r>
              <w:rPr>
                <w:rFonts w:hint="eastAsia" w:ascii="宋体" w:hAnsi="宋体" w:eastAsia="宋体" w:cs="宋体"/>
                <w:color w:val="auto"/>
                <w:kern w:val="0"/>
                <w:sz w:val="24"/>
                <w:szCs w:val="24"/>
                <w:highlight w:val="none"/>
                <w:lang w:val="en-US" w:eastAsia="zh-CN"/>
              </w:rPr>
              <w:t>错误或开具虚假发票</w:t>
            </w:r>
            <w:r>
              <w:rPr>
                <w:rFonts w:hint="eastAsia" w:ascii="宋体" w:hAnsi="宋体" w:eastAsia="宋体" w:cs="宋体"/>
                <w:color w:val="auto"/>
                <w:kern w:val="0"/>
                <w:sz w:val="24"/>
                <w:szCs w:val="24"/>
                <w:highlight w:val="none"/>
              </w:rPr>
              <w:t>。</w:t>
            </w:r>
          </w:p>
        </w:tc>
        <w:tc>
          <w:tcPr>
            <w:tcW w:w="1350" w:type="dxa"/>
            <w:tcBorders>
              <w:tl2br w:val="nil"/>
              <w:tr2bl w:val="nil"/>
            </w:tcBorders>
            <w:noWrap/>
            <w:vAlign w:val="center"/>
          </w:tcPr>
          <w:p w14:paraId="32172C9A">
            <w:pPr>
              <w:widowControl/>
              <w:spacing w:line="36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r>
      <w:tr w14:paraId="76C32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049" w:type="dxa"/>
            <w:vMerge w:val="continue"/>
            <w:tcBorders>
              <w:tl2br w:val="nil"/>
              <w:tr2bl w:val="nil"/>
            </w:tcBorders>
            <w:noWrap/>
            <w:vAlign w:val="center"/>
          </w:tcPr>
          <w:p w14:paraId="6759138F">
            <w:pPr>
              <w:spacing w:line="360" w:lineRule="auto"/>
              <w:jc w:val="center"/>
              <w:rPr>
                <w:rFonts w:hint="eastAsia" w:ascii="宋体" w:hAnsi="宋体" w:eastAsia="宋体" w:cs="宋体"/>
                <w:color w:val="auto"/>
                <w:kern w:val="0"/>
                <w:sz w:val="24"/>
                <w:szCs w:val="24"/>
                <w:highlight w:val="none"/>
              </w:rPr>
            </w:pPr>
          </w:p>
        </w:tc>
        <w:tc>
          <w:tcPr>
            <w:tcW w:w="2375" w:type="dxa"/>
            <w:vMerge w:val="continue"/>
            <w:tcBorders>
              <w:tl2br w:val="nil"/>
              <w:tr2bl w:val="nil"/>
            </w:tcBorders>
            <w:noWrap/>
            <w:vAlign w:val="center"/>
          </w:tcPr>
          <w:p w14:paraId="78FEDB47">
            <w:pPr>
              <w:spacing w:line="360" w:lineRule="auto"/>
              <w:jc w:val="center"/>
              <w:rPr>
                <w:rFonts w:hint="eastAsia" w:ascii="宋体" w:hAnsi="宋体" w:eastAsia="宋体" w:cs="宋体"/>
                <w:color w:val="auto"/>
                <w:kern w:val="0"/>
                <w:sz w:val="24"/>
                <w:szCs w:val="24"/>
                <w:highlight w:val="none"/>
              </w:rPr>
            </w:pPr>
          </w:p>
        </w:tc>
        <w:tc>
          <w:tcPr>
            <w:tcW w:w="5246" w:type="dxa"/>
            <w:tcBorders>
              <w:tl2br w:val="nil"/>
              <w:tr2bl w:val="nil"/>
            </w:tcBorders>
            <w:noWrap/>
            <w:vAlign w:val="center"/>
          </w:tcPr>
          <w:p w14:paraId="2587AA01">
            <w:pPr>
              <w:widowControl/>
              <w:spacing w:line="360" w:lineRule="auto"/>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销售清单准确性</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配送产品与采购订单和合同约定</w:t>
            </w:r>
            <w:r>
              <w:rPr>
                <w:rFonts w:hint="eastAsia" w:ascii="宋体" w:hAnsi="宋体" w:eastAsia="宋体" w:cs="宋体"/>
                <w:color w:val="auto"/>
                <w:kern w:val="0"/>
                <w:sz w:val="24"/>
                <w:szCs w:val="24"/>
                <w:highlight w:val="none"/>
                <w:lang w:val="en-US" w:eastAsia="zh-CN"/>
              </w:rPr>
              <w:t>内容</w:t>
            </w:r>
            <w:r>
              <w:rPr>
                <w:rFonts w:hint="eastAsia" w:ascii="宋体" w:hAnsi="宋体" w:eastAsia="宋体" w:cs="宋体"/>
                <w:color w:val="auto"/>
                <w:kern w:val="0"/>
                <w:sz w:val="24"/>
                <w:szCs w:val="24"/>
                <w:highlight w:val="none"/>
              </w:rPr>
              <w:t>不符。</w:t>
            </w:r>
          </w:p>
        </w:tc>
        <w:tc>
          <w:tcPr>
            <w:tcW w:w="1350" w:type="dxa"/>
            <w:tcBorders>
              <w:tl2br w:val="nil"/>
              <w:tr2bl w:val="nil"/>
            </w:tcBorders>
            <w:noWrap/>
            <w:vAlign w:val="center"/>
          </w:tcPr>
          <w:p w14:paraId="6AAF3B4A">
            <w:pPr>
              <w:widowControl/>
              <w:spacing w:line="36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r>
      <w:tr w14:paraId="57EA7F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2" w:hRule="atLeast"/>
        </w:trPr>
        <w:tc>
          <w:tcPr>
            <w:tcW w:w="1049" w:type="dxa"/>
            <w:vMerge w:val="continue"/>
            <w:tcBorders>
              <w:tl2br w:val="nil"/>
              <w:tr2bl w:val="nil"/>
            </w:tcBorders>
            <w:noWrap/>
            <w:vAlign w:val="center"/>
          </w:tcPr>
          <w:p w14:paraId="6B5A77DB">
            <w:pPr>
              <w:spacing w:line="360" w:lineRule="auto"/>
              <w:jc w:val="center"/>
              <w:rPr>
                <w:rFonts w:hint="eastAsia" w:ascii="宋体" w:hAnsi="宋体" w:eastAsia="宋体" w:cs="宋体"/>
                <w:color w:val="auto"/>
                <w:kern w:val="0"/>
                <w:sz w:val="24"/>
                <w:szCs w:val="24"/>
                <w:highlight w:val="none"/>
              </w:rPr>
            </w:pPr>
          </w:p>
        </w:tc>
        <w:tc>
          <w:tcPr>
            <w:tcW w:w="2375" w:type="dxa"/>
            <w:vMerge w:val="continue"/>
            <w:tcBorders>
              <w:tl2br w:val="nil"/>
              <w:tr2bl w:val="nil"/>
            </w:tcBorders>
            <w:noWrap/>
            <w:vAlign w:val="center"/>
          </w:tcPr>
          <w:p w14:paraId="32367BA7">
            <w:pPr>
              <w:spacing w:line="360" w:lineRule="auto"/>
              <w:jc w:val="center"/>
              <w:rPr>
                <w:rFonts w:hint="eastAsia" w:ascii="宋体" w:hAnsi="宋体" w:eastAsia="宋体" w:cs="宋体"/>
                <w:color w:val="auto"/>
                <w:kern w:val="0"/>
                <w:sz w:val="24"/>
                <w:szCs w:val="24"/>
                <w:highlight w:val="none"/>
              </w:rPr>
            </w:pPr>
          </w:p>
        </w:tc>
        <w:tc>
          <w:tcPr>
            <w:tcW w:w="5246" w:type="dxa"/>
            <w:tcBorders>
              <w:tl2br w:val="nil"/>
              <w:tr2bl w:val="nil"/>
            </w:tcBorders>
            <w:noWrap/>
            <w:vAlign w:val="center"/>
          </w:tcPr>
          <w:p w14:paraId="3EAB7B01">
            <w:pPr>
              <w:widowControl/>
              <w:spacing w:line="360" w:lineRule="auto"/>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发票及时性</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当月</w:t>
            </w:r>
            <w:r>
              <w:rPr>
                <w:rFonts w:hint="eastAsia" w:ascii="宋体" w:hAnsi="宋体" w:eastAsia="宋体" w:cs="宋体"/>
                <w:color w:val="auto"/>
                <w:kern w:val="0"/>
                <w:sz w:val="24"/>
                <w:szCs w:val="24"/>
                <w:highlight w:val="none"/>
                <w:lang w:val="en-US" w:eastAsia="zh-CN"/>
              </w:rPr>
              <w:t>未</w:t>
            </w:r>
            <w:r>
              <w:rPr>
                <w:rFonts w:hint="eastAsia" w:ascii="宋体" w:hAnsi="宋体" w:eastAsia="宋体" w:cs="宋体"/>
                <w:color w:val="auto"/>
                <w:kern w:val="0"/>
                <w:sz w:val="24"/>
                <w:szCs w:val="24"/>
                <w:highlight w:val="none"/>
              </w:rPr>
              <w:t>及时</w:t>
            </w:r>
            <w:r>
              <w:rPr>
                <w:rFonts w:hint="eastAsia" w:ascii="宋体" w:hAnsi="宋体" w:eastAsia="宋体" w:cs="宋体"/>
                <w:color w:val="auto"/>
                <w:kern w:val="0"/>
                <w:sz w:val="24"/>
                <w:szCs w:val="24"/>
                <w:highlight w:val="none"/>
                <w:lang w:val="en-US" w:eastAsia="zh-CN"/>
              </w:rPr>
              <w:t>提交发票。</w:t>
            </w:r>
          </w:p>
        </w:tc>
        <w:tc>
          <w:tcPr>
            <w:tcW w:w="1350" w:type="dxa"/>
            <w:tcBorders>
              <w:tl2br w:val="nil"/>
              <w:tr2bl w:val="nil"/>
            </w:tcBorders>
            <w:noWrap/>
            <w:vAlign w:val="center"/>
          </w:tcPr>
          <w:p w14:paraId="583787D4">
            <w:pPr>
              <w:widowControl/>
              <w:spacing w:line="360" w:lineRule="auto"/>
              <w:jc w:val="center"/>
              <w:textAlignment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3</w:t>
            </w:r>
          </w:p>
        </w:tc>
      </w:tr>
      <w:tr w14:paraId="641EC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3" w:hRule="atLeast"/>
        </w:trPr>
        <w:tc>
          <w:tcPr>
            <w:tcW w:w="1049" w:type="dxa"/>
            <w:vMerge w:val="restart"/>
            <w:tcBorders>
              <w:tl2br w:val="nil"/>
              <w:tr2bl w:val="nil"/>
            </w:tcBorders>
            <w:noWrap/>
            <w:vAlign w:val="center"/>
          </w:tcPr>
          <w:p w14:paraId="558CC6F1">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2375" w:type="dxa"/>
            <w:vMerge w:val="restart"/>
            <w:tcBorders>
              <w:tl2br w:val="nil"/>
              <w:tr2bl w:val="nil"/>
            </w:tcBorders>
            <w:noWrap/>
            <w:vAlign w:val="center"/>
          </w:tcPr>
          <w:p w14:paraId="3467F95C">
            <w:pPr>
              <w:widowControl/>
              <w:spacing w:line="360" w:lineRule="auto"/>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售后</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5246" w:type="dxa"/>
            <w:tcBorders>
              <w:tl2br w:val="nil"/>
              <w:tr2bl w:val="nil"/>
            </w:tcBorders>
            <w:noWrap/>
            <w:vAlign w:val="center"/>
          </w:tcPr>
          <w:p w14:paraId="1EF68CBE">
            <w:pPr>
              <w:widowControl/>
              <w:spacing w:line="360" w:lineRule="auto"/>
              <w:jc w:val="left"/>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退换货及时性</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kern w:val="0"/>
                <w:sz w:val="24"/>
                <w:szCs w:val="24"/>
                <w:highlight w:val="none"/>
              </w:rPr>
              <w:t>所供产品质量差、与样品不一致、不符合</w:t>
            </w:r>
            <w:r>
              <w:rPr>
                <w:rFonts w:hint="eastAsia" w:ascii="宋体" w:hAnsi="宋体" w:eastAsia="宋体" w:cs="宋体"/>
                <w:color w:val="auto"/>
                <w:kern w:val="0"/>
                <w:sz w:val="24"/>
                <w:szCs w:val="24"/>
                <w:highlight w:val="none"/>
                <w:lang w:val="en-US" w:eastAsia="zh-CN"/>
              </w:rPr>
              <w:t>相关管理规定或</w:t>
            </w:r>
            <w:r>
              <w:rPr>
                <w:rFonts w:hint="eastAsia" w:ascii="宋体" w:hAnsi="宋体" w:eastAsia="宋体" w:cs="宋体"/>
                <w:color w:val="auto"/>
                <w:kern w:val="0"/>
                <w:sz w:val="24"/>
                <w:szCs w:val="24"/>
                <w:highlight w:val="none"/>
              </w:rPr>
              <w:t>临床使用要求，不及时</w:t>
            </w:r>
            <w:r>
              <w:rPr>
                <w:rFonts w:hint="eastAsia" w:ascii="宋体" w:hAnsi="宋体" w:eastAsia="宋体" w:cs="宋体"/>
                <w:color w:val="auto"/>
                <w:kern w:val="0"/>
                <w:sz w:val="24"/>
                <w:szCs w:val="24"/>
                <w:highlight w:val="none"/>
                <w:lang w:val="en-US" w:eastAsia="zh-CN"/>
              </w:rPr>
              <w:t>进行</w:t>
            </w:r>
            <w:r>
              <w:rPr>
                <w:rFonts w:hint="eastAsia" w:ascii="宋体" w:hAnsi="宋体" w:eastAsia="宋体" w:cs="宋体"/>
                <w:color w:val="auto"/>
                <w:kern w:val="0"/>
                <w:sz w:val="24"/>
                <w:szCs w:val="24"/>
                <w:highlight w:val="none"/>
              </w:rPr>
              <w:t>退换</w:t>
            </w:r>
            <w:r>
              <w:rPr>
                <w:rFonts w:hint="eastAsia" w:ascii="宋体" w:hAnsi="宋体" w:eastAsia="宋体" w:cs="宋体"/>
                <w:color w:val="auto"/>
                <w:kern w:val="0"/>
                <w:sz w:val="24"/>
                <w:szCs w:val="24"/>
                <w:highlight w:val="none"/>
                <w:lang w:val="en-US" w:eastAsia="zh-CN"/>
              </w:rPr>
              <w:t>的</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在接到医院相关部门要求对库存临效期货物进行更换时，不履行义务对医院造成损失。</w:t>
            </w:r>
          </w:p>
        </w:tc>
        <w:tc>
          <w:tcPr>
            <w:tcW w:w="1350" w:type="dxa"/>
            <w:tcBorders>
              <w:tl2br w:val="nil"/>
              <w:tr2bl w:val="nil"/>
            </w:tcBorders>
            <w:noWrap/>
            <w:vAlign w:val="center"/>
          </w:tcPr>
          <w:p w14:paraId="1E8A1583">
            <w:pPr>
              <w:widowControl/>
              <w:spacing w:line="360" w:lineRule="auto"/>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7</w:t>
            </w:r>
          </w:p>
        </w:tc>
      </w:tr>
      <w:tr w14:paraId="5F2C9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1049" w:type="dxa"/>
            <w:vMerge w:val="continue"/>
            <w:tcBorders>
              <w:tl2br w:val="nil"/>
              <w:tr2bl w:val="nil"/>
            </w:tcBorders>
            <w:noWrap/>
            <w:vAlign w:val="center"/>
          </w:tcPr>
          <w:p w14:paraId="329AA8F1">
            <w:pPr>
              <w:spacing w:line="360" w:lineRule="auto"/>
              <w:rPr>
                <w:rFonts w:hint="eastAsia" w:ascii="宋体" w:hAnsi="宋体" w:eastAsia="宋体" w:cs="宋体"/>
                <w:color w:val="auto"/>
                <w:sz w:val="24"/>
                <w:szCs w:val="24"/>
                <w:highlight w:val="none"/>
              </w:rPr>
            </w:pPr>
          </w:p>
        </w:tc>
        <w:tc>
          <w:tcPr>
            <w:tcW w:w="2375" w:type="dxa"/>
            <w:vMerge w:val="continue"/>
            <w:tcBorders>
              <w:tl2br w:val="nil"/>
              <w:tr2bl w:val="nil"/>
            </w:tcBorders>
            <w:noWrap/>
            <w:vAlign w:val="center"/>
          </w:tcPr>
          <w:p w14:paraId="1907E471">
            <w:pPr>
              <w:widowControl/>
              <w:spacing w:line="360" w:lineRule="auto"/>
              <w:jc w:val="center"/>
              <w:textAlignment w:val="center"/>
              <w:rPr>
                <w:rFonts w:hint="eastAsia" w:ascii="宋体" w:hAnsi="宋体" w:eastAsia="宋体" w:cs="宋体"/>
                <w:color w:val="auto"/>
                <w:sz w:val="24"/>
                <w:szCs w:val="24"/>
                <w:highlight w:val="none"/>
              </w:rPr>
            </w:pPr>
          </w:p>
        </w:tc>
        <w:tc>
          <w:tcPr>
            <w:tcW w:w="5246" w:type="dxa"/>
            <w:tcBorders>
              <w:tl2br w:val="nil"/>
              <w:tr2bl w:val="nil"/>
            </w:tcBorders>
            <w:noWrap/>
            <w:vAlign w:val="center"/>
          </w:tcPr>
          <w:p w14:paraId="10187716">
            <w:pPr>
              <w:widowControl/>
              <w:spacing w:line="360" w:lineRule="auto"/>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耗材培训</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厂家未能</w:t>
            </w:r>
            <w:r>
              <w:rPr>
                <w:rFonts w:hint="eastAsia" w:ascii="宋体" w:hAnsi="宋体" w:eastAsia="宋体" w:cs="宋体"/>
                <w:color w:val="auto"/>
                <w:sz w:val="24"/>
                <w:szCs w:val="24"/>
                <w:highlight w:val="none"/>
                <w:lang w:val="en-US" w:eastAsia="zh-Hans"/>
              </w:rPr>
              <w:t>按要求</w:t>
            </w:r>
            <w:r>
              <w:rPr>
                <w:rFonts w:hint="eastAsia" w:ascii="宋体" w:hAnsi="宋体" w:eastAsia="宋体" w:cs="宋体"/>
                <w:color w:val="auto"/>
                <w:sz w:val="24"/>
                <w:szCs w:val="24"/>
                <w:highlight w:val="none"/>
                <w:lang w:val="en-US" w:eastAsia="zh-CN"/>
              </w:rPr>
              <w:t>提供</w:t>
            </w:r>
            <w:r>
              <w:rPr>
                <w:rFonts w:hint="eastAsia" w:ascii="宋体" w:hAnsi="宋体" w:eastAsia="宋体" w:cs="宋体"/>
                <w:color w:val="auto"/>
                <w:sz w:val="24"/>
                <w:szCs w:val="24"/>
                <w:highlight w:val="none"/>
                <w:lang w:val="en-US" w:eastAsia="zh-Hans"/>
              </w:rPr>
              <w:t>操作</w:t>
            </w:r>
            <w:r>
              <w:rPr>
                <w:rFonts w:hint="eastAsia" w:ascii="宋体" w:hAnsi="宋体" w:eastAsia="宋体" w:cs="宋体"/>
                <w:color w:val="auto"/>
                <w:sz w:val="24"/>
                <w:szCs w:val="24"/>
                <w:highlight w:val="none"/>
              </w:rPr>
              <w:t>人员</w:t>
            </w:r>
            <w:r>
              <w:rPr>
                <w:rFonts w:hint="eastAsia" w:ascii="宋体" w:hAnsi="宋体" w:eastAsia="宋体" w:cs="宋体"/>
                <w:color w:val="auto"/>
                <w:sz w:val="24"/>
                <w:szCs w:val="24"/>
                <w:highlight w:val="none"/>
                <w:lang w:val="en-US" w:eastAsia="zh-CN"/>
              </w:rPr>
              <w:t>培训</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Hans"/>
              </w:rPr>
              <w:t>不能提供</w:t>
            </w:r>
            <w:r>
              <w:rPr>
                <w:rFonts w:hint="eastAsia" w:ascii="宋体" w:hAnsi="宋体" w:eastAsia="宋体" w:cs="宋体"/>
                <w:color w:val="auto"/>
                <w:sz w:val="24"/>
                <w:szCs w:val="24"/>
                <w:highlight w:val="none"/>
                <w:lang w:val="en-US" w:eastAsia="zh-CN"/>
              </w:rPr>
              <w:t>临床</w:t>
            </w:r>
            <w:r>
              <w:rPr>
                <w:rFonts w:hint="eastAsia" w:ascii="宋体" w:hAnsi="宋体" w:eastAsia="宋体" w:cs="宋体"/>
                <w:color w:val="auto"/>
                <w:sz w:val="24"/>
                <w:szCs w:val="24"/>
                <w:highlight w:val="none"/>
                <w:lang w:val="en-US" w:eastAsia="zh-Hans"/>
              </w:rPr>
              <w:t>使用</w:t>
            </w:r>
            <w:r>
              <w:rPr>
                <w:rFonts w:hint="eastAsia" w:ascii="宋体" w:hAnsi="宋体" w:eastAsia="宋体" w:cs="宋体"/>
                <w:color w:val="auto"/>
                <w:sz w:val="24"/>
                <w:szCs w:val="24"/>
                <w:highlight w:val="none"/>
              </w:rPr>
              <w:t>技术支持。</w:t>
            </w:r>
          </w:p>
        </w:tc>
        <w:tc>
          <w:tcPr>
            <w:tcW w:w="1350" w:type="dxa"/>
            <w:tcBorders>
              <w:tl2br w:val="nil"/>
              <w:tr2bl w:val="nil"/>
            </w:tcBorders>
            <w:noWrap/>
            <w:vAlign w:val="center"/>
          </w:tcPr>
          <w:p w14:paraId="1FD59FA5">
            <w:pPr>
              <w:widowControl/>
              <w:spacing w:line="360" w:lineRule="auto"/>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w:t>
            </w:r>
          </w:p>
        </w:tc>
      </w:tr>
      <w:tr w14:paraId="247992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trPr>
        <w:tc>
          <w:tcPr>
            <w:tcW w:w="1049" w:type="dxa"/>
            <w:vMerge w:val="continue"/>
            <w:tcBorders>
              <w:tl2br w:val="nil"/>
              <w:tr2bl w:val="nil"/>
            </w:tcBorders>
            <w:noWrap/>
            <w:vAlign w:val="center"/>
          </w:tcPr>
          <w:p w14:paraId="5A56BFEE">
            <w:pPr>
              <w:spacing w:line="360" w:lineRule="auto"/>
              <w:rPr>
                <w:rFonts w:hint="eastAsia" w:ascii="宋体" w:hAnsi="宋体" w:eastAsia="宋体" w:cs="宋体"/>
                <w:color w:val="auto"/>
                <w:sz w:val="24"/>
                <w:szCs w:val="24"/>
                <w:highlight w:val="none"/>
              </w:rPr>
            </w:pPr>
          </w:p>
        </w:tc>
        <w:tc>
          <w:tcPr>
            <w:tcW w:w="2375" w:type="dxa"/>
            <w:vMerge w:val="continue"/>
            <w:tcBorders>
              <w:tl2br w:val="nil"/>
              <w:tr2bl w:val="nil"/>
            </w:tcBorders>
            <w:noWrap/>
            <w:vAlign w:val="center"/>
          </w:tcPr>
          <w:p w14:paraId="1F111493">
            <w:pPr>
              <w:widowControl/>
              <w:spacing w:line="360" w:lineRule="auto"/>
              <w:jc w:val="center"/>
              <w:textAlignment w:val="center"/>
              <w:rPr>
                <w:rFonts w:hint="eastAsia" w:ascii="宋体" w:hAnsi="宋体" w:eastAsia="宋体" w:cs="宋体"/>
                <w:color w:val="auto"/>
                <w:sz w:val="24"/>
                <w:szCs w:val="24"/>
                <w:highlight w:val="none"/>
              </w:rPr>
            </w:pPr>
          </w:p>
        </w:tc>
        <w:tc>
          <w:tcPr>
            <w:tcW w:w="5246" w:type="dxa"/>
            <w:tcBorders>
              <w:tl2br w:val="nil"/>
              <w:tr2bl w:val="nil"/>
            </w:tcBorders>
            <w:noWrap/>
            <w:vAlign w:val="center"/>
          </w:tcPr>
          <w:p w14:paraId="54C849C8">
            <w:pPr>
              <w:widowControl/>
              <w:spacing w:line="360" w:lineRule="auto"/>
              <w:jc w:val="left"/>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其他不服从医院相关部门管理要求的情形。</w:t>
            </w:r>
          </w:p>
        </w:tc>
        <w:tc>
          <w:tcPr>
            <w:tcW w:w="1350" w:type="dxa"/>
            <w:tcBorders>
              <w:tl2br w:val="nil"/>
              <w:tr2bl w:val="nil"/>
            </w:tcBorders>
            <w:noWrap/>
            <w:vAlign w:val="center"/>
          </w:tcPr>
          <w:p w14:paraId="4C5AAB7B">
            <w:pPr>
              <w:widowControl/>
              <w:spacing w:line="360" w:lineRule="auto"/>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p>
        </w:tc>
      </w:tr>
      <w:tr w14:paraId="0C469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5" w:hRule="atLeast"/>
        </w:trPr>
        <w:tc>
          <w:tcPr>
            <w:tcW w:w="1049" w:type="dxa"/>
            <w:vMerge w:val="restart"/>
            <w:tcBorders>
              <w:tl2br w:val="nil"/>
              <w:tr2bl w:val="nil"/>
            </w:tcBorders>
            <w:noWrap/>
            <w:vAlign w:val="center"/>
          </w:tcPr>
          <w:p w14:paraId="764145A0">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2375" w:type="dxa"/>
            <w:vMerge w:val="restart"/>
            <w:tcBorders>
              <w:tl2br w:val="nil"/>
              <w:tr2bl w:val="nil"/>
            </w:tcBorders>
            <w:noWrap/>
            <w:vAlign w:val="center"/>
          </w:tcPr>
          <w:p w14:paraId="7C3D503E">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资质管理（24分）</w:t>
            </w:r>
          </w:p>
        </w:tc>
        <w:tc>
          <w:tcPr>
            <w:tcW w:w="5246" w:type="dxa"/>
            <w:tcBorders>
              <w:tl2br w:val="nil"/>
              <w:tr2bl w:val="nil"/>
            </w:tcBorders>
            <w:noWrap/>
            <w:vAlign w:val="center"/>
          </w:tcPr>
          <w:p w14:paraId="2AE2D574">
            <w:pPr>
              <w:widowControl/>
              <w:spacing w:line="360" w:lineRule="auto"/>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变更名称，未按要求提供资质证明文件至医学装备科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招标采购科及相关部门进行</w:t>
            </w:r>
            <w:r>
              <w:rPr>
                <w:rFonts w:hint="eastAsia" w:ascii="宋体" w:hAnsi="宋体" w:eastAsia="宋体" w:cs="宋体"/>
                <w:color w:val="auto"/>
                <w:sz w:val="24"/>
                <w:szCs w:val="24"/>
                <w:highlight w:val="none"/>
              </w:rPr>
              <w:t>备案。</w:t>
            </w:r>
          </w:p>
        </w:tc>
        <w:tc>
          <w:tcPr>
            <w:tcW w:w="1350" w:type="dxa"/>
            <w:tcBorders>
              <w:tl2br w:val="nil"/>
              <w:tr2bl w:val="nil"/>
            </w:tcBorders>
            <w:noWrap/>
            <w:vAlign w:val="center"/>
          </w:tcPr>
          <w:p w14:paraId="7C3EA053">
            <w:pPr>
              <w:widowControl/>
              <w:spacing w:line="360" w:lineRule="auto"/>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r>
      <w:tr w14:paraId="7EF028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trPr>
        <w:tc>
          <w:tcPr>
            <w:tcW w:w="1049" w:type="dxa"/>
            <w:vMerge w:val="continue"/>
            <w:tcBorders>
              <w:tl2br w:val="nil"/>
              <w:tr2bl w:val="nil"/>
            </w:tcBorders>
            <w:noWrap/>
            <w:vAlign w:val="center"/>
          </w:tcPr>
          <w:p w14:paraId="0DA458C5">
            <w:pPr>
              <w:spacing w:line="360" w:lineRule="auto"/>
              <w:rPr>
                <w:rFonts w:hint="eastAsia" w:ascii="宋体" w:hAnsi="宋体" w:eastAsia="宋体" w:cs="宋体"/>
                <w:color w:val="auto"/>
                <w:sz w:val="24"/>
                <w:szCs w:val="24"/>
                <w:highlight w:val="none"/>
              </w:rPr>
            </w:pPr>
          </w:p>
        </w:tc>
        <w:tc>
          <w:tcPr>
            <w:tcW w:w="2375" w:type="dxa"/>
            <w:vMerge w:val="continue"/>
            <w:tcBorders>
              <w:tl2br w:val="nil"/>
              <w:tr2bl w:val="nil"/>
            </w:tcBorders>
            <w:noWrap/>
            <w:vAlign w:val="center"/>
          </w:tcPr>
          <w:p w14:paraId="27ACF766">
            <w:pPr>
              <w:widowControl/>
              <w:spacing w:line="360" w:lineRule="auto"/>
              <w:jc w:val="center"/>
              <w:textAlignment w:val="center"/>
              <w:rPr>
                <w:rFonts w:hint="eastAsia" w:ascii="宋体" w:hAnsi="宋体" w:eastAsia="宋体" w:cs="宋体"/>
                <w:color w:val="auto"/>
                <w:kern w:val="0"/>
                <w:sz w:val="24"/>
                <w:szCs w:val="24"/>
                <w:highlight w:val="none"/>
              </w:rPr>
            </w:pPr>
          </w:p>
        </w:tc>
        <w:tc>
          <w:tcPr>
            <w:tcW w:w="5246" w:type="dxa"/>
            <w:tcBorders>
              <w:tl2br w:val="nil"/>
              <w:tr2bl w:val="nil"/>
            </w:tcBorders>
            <w:noWrap/>
            <w:vAlign w:val="center"/>
          </w:tcPr>
          <w:p w14:paraId="23BBD227">
            <w:pPr>
              <w:widowControl/>
              <w:spacing w:line="360" w:lineRule="auto"/>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信息真实性</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提供虚假资质、证明材料和产品。</w:t>
            </w:r>
          </w:p>
        </w:tc>
        <w:tc>
          <w:tcPr>
            <w:tcW w:w="1350" w:type="dxa"/>
            <w:tcBorders>
              <w:tl2br w:val="nil"/>
              <w:tr2bl w:val="nil"/>
            </w:tcBorders>
            <w:noWrap/>
            <w:vAlign w:val="center"/>
          </w:tcPr>
          <w:p w14:paraId="22C10217">
            <w:pPr>
              <w:widowControl/>
              <w:spacing w:line="36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r>
      <w:tr w14:paraId="37FB91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5" w:hRule="atLeast"/>
        </w:trPr>
        <w:tc>
          <w:tcPr>
            <w:tcW w:w="1049" w:type="dxa"/>
            <w:vMerge w:val="continue"/>
            <w:tcBorders>
              <w:tl2br w:val="nil"/>
              <w:tr2bl w:val="nil"/>
            </w:tcBorders>
            <w:noWrap/>
            <w:vAlign w:val="center"/>
          </w:tcPr>
          <w:p w14:paraId="7DF68391">
            <w:pPr>
              <w:spacing w:line="360" w:lineRule="auto"/>
              <w:jc w:val="center"/>
              <w:rPr>
                <w:rFonts w:hint="eastAsia" w:ascii="宋体" w:hAnsi="宋体" w:eastAsia="宋体" w:cs="宋体"/>
                <w:color w:val="auto"/>
                <w:sz w:val="24"/>
                <w:szCs w:val="24"/>
                <w:highlight w:val="none"/>
              </w:rPr>
            </w:pPr>
          </w:p>
        </w:tc>
        <w:tc>
          <w:tcPr>
            <w:tcW w:w="2375" w:type="dxa"/>
            <w:vMerge w:val="continue"/>
            <w:tcBorders>
              <w:tl2br w:val="nil"/>
              <w:tr2bl w:val="nil"/>
            </w:tcBorders>
            <w:noWrap/>
            <w:vAlign w:val="center"/>
          </w:tcPr>
          <w:p w14:paraId="681F103A">
            <w:pPr>
              <w:widowControl/>
              <w:spacing w:line="360" w:lineRule="auto"/>
              <w:jc w:val="center"/>
              <w:textAlignment w:val="center"/>
              <w:rPr>
                <w:rFonts w:hint="eastAsia" w:ascii="宋体" w:hAnsi="宋体" w:eastAsia="宋体" w:cs="宋体"/>
                <w:color w:val="auto"/>
                <w:sz w:val="24"/>
                <w:szCs w:val="24"/>
                <w:highlight w:val="none"/>
              </w:rPr>
            </w:pPr>
          </w:p>
        </w:tc>
        <w:tc>
          <w:tcPr>
            <w:tcW w:w="5246" w:type="dxa"/>
            <w:tcBorders>
              <w:tl2br w:val="nil"/>
              <w:tr2bl w:val="nil"/>
            </w:tcBorders>
            <w:noWrap/>
            <w:vAlign w:val="center"/>
          </w:tcPr>
          <w:p w14:paraId="2560E577">
            <w:pPr>
              <w:widowControl/>
              <w:spacing w:line="360" w:lineRule="auto"/>
              <w:jc w:val="left"/>
              <w:textAlignment w:val="center"/>
              <w:rPr>
                <w:rFonts w:hint="eastAsia" w:ascii="宋体" w:hAnsi="宋体" w:eastAsia="宋体" w:cs="宋体"/>
                <w:color w:val="auto"/>
                <w:sz w:val="24"/>
                <w:szCs w:val="24"/>
                <w:highlight w:val="none"/>
                <w:lang w:eastAsia="zh-Hans"/>
              </w:rPr>
            </w:pPr>
            <w:r>
              <w:rPr>
                <w:rFonts w:hint="eastAsia" w:ascii="宋体" w:hAnsi="宋体" w:eastAsia="宋体" w:cs="宋体"/>
                <w:color w:val="auto"/>
                <w:sz w:val="24"/>
                <w:szCs w:val="24"/>
                <w:highlight w:val="none"/>
              </w:rPr>
              <w:t>信息维护有效性</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产品资质证明未按要求及时更新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影响入库和临床使用</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Hans"/>
              </w:rPr>
              <w:t>不符合上级监管部门要求</w:t>
            </w:r>
            <w:r>
              <w:rPr>
                <w:rFonts w:hint="eastAsia" w:ascii="宋体" w:hAnsi="宋体" w:eastAsia="宋体" w:cs="宋体"/>
                <w:color w:val="auto"/>
                <w:sz w:val="24"/>
                <w:szCs w:val="24"/>
                <w:highlight w:val="none"/>
                <w:lang w:eastAsia="zh-Hans"/>
              </w:rPr>
              <w:t>，</w:t>
            </w:r>
            <w:r>
              <w:rPr>
                <w:rFonts w:hint="eastAsia" w:ascii="宋体" w:hAnsi="宋体" w:eastAsia="宋体" w:cs="宋体"/>
                <w:color w:val="auto"/>
                <w:sz w:val="24"/>
                <w:szCs w:val="24"/>
                <w:highlight w:val="none"/>
                <w:lang w:val="en-US" w:eastAsia="zh-Hans"/>
              </w:rPr>
              <w:t>对医院造成不良影响</w:t>
            </w:r>
            <w:r>
              <w:rPr>
                <w:rFonts w:hint="eastAsia" w:ascii="宋体" w:hAnsi="宋体" w:eastAsia="宋体" w:cs="宋体"/>
                <w:color w:val="auto"/>
                <w:sz w:val="24"/>
                <w:szCs w:val="24"/>
                <w:highlight w:val="none"/>
                <w:lang w:val="en-US" w:eastAsia="zh-CN"/>
              </w:rPr>
              <w:t>和损失</w:t>
            </w:r>
            <w:r>
              <w:rPr>
                <w:rFonts w:hint="eastAsia" w:ascii="宋体" w:hAnsi="宋体" w:eastAsia="宋体" w:cs="宋体"/>
                <w:color w:val="auto"/>
                <w:sz w:val="24"/>
                <w:szCs w:val="24"/>
                <w:highlight w:val="none"/>
                <w:lang w:eastAsia="zh-Hans"/>
              </w:rPr>
              <w:t>。</w:t>
            </w:r>
          </w:p>
        </w:tc>
        <w:tc>
          <w:tcPr>
            <w:tcW w:w="1350" w:type="dxa"/>
            <w:tcBorders>
              <w:tl2br w:val="nil"/>
              <w:tr2bl w:val="nil"/>
            </w:tcBorders>
            <w:noWrap/>
            <w:vAlign w:val="center"/>
          </w:tcPr>
          <w:p w14:paraId="417C1668">
            <w:pPr>
              <w:widowControl/>
              <w:spacing w:line="360" w:lineRule="auto"/>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r>
      <w:tr w14:paraId="09982C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5" w:hRule="atLeast"/>
        </w:trPr>
        <w:tc>
          <w:tcPr>
            <w:tcW w:w="1049" w:type="dxa"/>
            <w:vMerge w:val="continue"/>
            <w:tcBorders>
              <w:tl2br w:val="nil"/>
              <w:tr2bl w:val="nil"/>
            </w:tcBorders>
            <w:noWrap/>
            <w:vAlign w:val="center"/>
          </w:tcPr>
          <w:p w14:paraId="17CEF23F">
            <w:pPr>
              <w:spacing w:line="360" w:lineRule="auto"/>
              <w:jc w:val="center"/>
              <w:rPr>
                <w:rFonts w:hint="eastAsia" w:ascii="宋体" w:hAnsi="宋体" w:eastAsia="宋体" w:cs="宋体"/>
                <w:color w:val="auto"/>
                <w:sz w:val="24"/>
                <w:szCs w:val="24"/>
                <w:highlight w:val="none"/>
              </w:rPr>
            </w:pPr>
          </w:p>
        </w:tc>
        <w:tc>
          <w:tcPr>
            <w:tcW w:w="2375" w:type="dxa"/>
            <w:vMerge w:val="continue"/>
            <w:tcBorders>
              <w:tl2br w:val="nil"/>
              <w:tr2bl w:val="nil"/>
            </w:tcBorders>
            <w:noWrap/>
            <w:vAlign w:val="center"/>
          </w:tcPr>
          <w:p w14:paraId="5B6A719C">
            <w:pPr>
              <w:widowControl/>
              <w:spacing w:line="360" w:lineRule="auto"/>
              <w:jc w:val="center"/>
              <w:textAlignment w:val="center"/>
              <w:rPr>
                <w:rFonts w:hint="eastAsia" w:ascii="宋体" w:hAnsi="宋体" w:eastAsia="宋体" w:cs="宋体"/>
                <w:color w:val="auto"/>
                <w:sz w:val="24"/>
                <w:szCs w:val="24"/>
                <w:highlight w:val="none"/>
              </w:rPr>
            </w:pPr>
          </w:p>
        </w:tc>
        <w:tc>
          <w:tcPr>
            <w:tcW w:w="5246" w:type="dxa"/>
            <w:tcBorders>
              <w:tl2br w:val="nil"/>
              <w:tr2bl w:val="nil"/>
            </w:tcBorders>
            <w:noWrap/>
            <w:vAlign w:val="center"/>
          </w:tcPr>
          <w:p w14:paraId="27671B04">
            <w:pPr>
              <w:widowControl/>
              <w:spacing w:line="360" w:lineRule="auto"/>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因供货商自身原因无法正常履行合同</w:t>
            </w:r>
            <w:r>
              <w:rPr>
                <w:rFonts w:hint="eastAsia" w:ascii="宋体" w:hAnsi="宋体" w:eastAsia="宋体" w:cs="宋体"/>
                <w:color w:val="auto"/>
                <w:sz w:val="24"/>
                <w:szCs w:val="24"/>
                <w:highlight w:val="none"/>
                <w:lang w:val="en-US" w:eastAsia="zh-CN"/>
              </w:rPr>
              <w:t>义务</w:t>
            </w:r>
            <w:r>
              <w:rPr>
                <w:rFonts w:hint="eastAsia" w:ascii="宋体" w:hAnsi="宋体" w:eastAsia="宋体" w:cs="宋体"/>
                <w:color w:val="auto"/>
                <w:sz w:val="24"/>
                <w:szCs w:val="24"/>
                <w:highlight w:val="none"/>
              </w:rPr>
              <w:t>，影响医院正常</w:t>
            </w:r>
            <w:r>
              <w:rPr>
                <w:rFonts w:hint="eastAsia" w:ascii="宋体" w:hAnsi="宋体" w:eastAsia="宋体" w:cs="宋体"/>
                <w:color w:val="auto"/>
                <w:sz w:val="24"/>
                <w:szCs w:val="24"/>
                <w:highlight w:val="none"/>
                <w:lang w:val="en-US" w:eastAsia="zh-CN"/>
              </w:rPr>
              <w:t>出入库和</w:t>
            </w:r>
            <w:r>
              <w:rPr>
                <w:rFonts w:hint="eastAsia" w:ascii="宋体" w:hAnsi="宋体" w:eastAsia="宋体" w:cs="宋体"/>
                <w:color w:val="auto"/>
                <w:sz w:val="24"/>
                <w:szCs w:val="24"/>
                <w:highlight w:val="none"/>
              </w:rPr>
              <w:t>使用。</w:t>
            </w:r>
          </w:p>
        </w:tc>
        <w:tc>
          <w:tcPr>
            <w:tcW w:w="1350" w:type="dxa"/>
            <w:tcBorders>
              <w:tl2br w:val="nil"/>
              <w:tr2bl w:val="nil"/>
            </w:tcBorders>
            <w:noWrap/>
            <w:vAlign w:val="center"/>
          </w:tcPr>
          <w:p w14:paraId="440C2142">
            <w:pPr>
              <w:widowControl/>
              <w:spacing w:line="360" w:lineRule="auto"/>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p>
        </w:tc>
      </w:tr>
      <w:tr w14:paraId="5F611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atLeast"/>
        </w:trPr>
        <w:tc>
          <w:tcPr>
            <w:tcW w:w="1049" w:type="dxa"/>
            <w:vMerge w:val="restart"/>
            <w:tcBorders>
              <w:tl2br w:val="nil"/>
              <w:tr2bl w:val="nil"/>
            </w:tcBorders>
            <w:noWrap/>
            <w:vAlign w:val="center"/>
          </w:tcPr>
          <w:p w14:paraId="5BEE84A1">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p>
        </w:tc>
        <w:tc>
          <w:tcPr>
            <w:tcW w:w="2375" w:type="dxa"/>
            <w:vMerge w:val="restart"/>
            <w:tcBorders>
              <w:tl2br w:val="nil"/>
              <w:tr2bl w:val="nil"/>
            </w:tcBorders>
            <w:noWrap/>
            <w:vAlign w:val="center"/>
          </w:tcPr>
          <w:p w14:paraId="779ED8F4">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产品（25分）</w:t>
            </w:r>
          </w:p>
        </w:tc>
        <w:tc>
          <w:tcPr>
            <w:tcW w:w="5246" w:type="dxa"/>
            <w:tcBorders>
              <w:tl2br w:val="nil"/>
              <w:tr2bl w:val="nil"/>
            </w:tcBorders>
            <w:noWrap/>
            <w:vAlign w:val="center"/>
          </w:tcPr>
          <w:p w14:paraId="20A5DC6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无符合相关部门管理要求的</w:t>
            </w:r>
            <w:r>
              <w:rPr>
                <w:rFonts w:hint="eastAsia" w:ascii="宋体" w:hAnsi="宋体" w:eastAsia="宋体" w:cs="宋体"/>
                <w:color w:val="auto"/>
                <w:sz w:val="24"/>
                <w:szCs w:val="24"/>
                <w:highlight w:val="none"/>
                <w:lang w:val="en-US" w:eastAsia="zh-CN"/>
              </w:rPr>
              <w:t>产品铭牌信息</w:t>
            </w:r>
            <w:r>
              <w:rPr>
                <w:rFonts w:hint="eastAsia" w:ascii="宋体" w:hAnsi="宋体" w:eastAsia="宋体" w:cs="宋体"/>
                <w:color w:val="auto"/>
                <w:sz w:val="24"/>
                <w:szCs w:val="24"/>
                <w:highlight w:val="none"/>
              </w:rPr>
              <w:t>或产品条形码与实际产品不符。</w:t>
            </w:r>
          </w:p>
        </w:tc>
        <w:tc>
          <w:tcPr>
            <w:tcW w:w="1350" w:type="dxa"/>
            <w:tcBorders>
              <w:tl2br w:val="nil"/>
              <w:tr2bl w:val="nil"/>
            </w:tcBorders>
            <w:noWrap/>
            <w:vAlign w:val="center"/>
          </w:tcPr>
          <w:p w14:paraId="0128B1F2">
            <w:pPr>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p>
        </w:tc>
      </w:tr>
      <w:tr w14:paraId="2C30E7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6" w:hRule="atLeast"/>
        </w:trPr>
        <w:tc>
          <w:tcPr>
            <w:tcW w:w="1049" w:type="dxa"/>
            <w:vMerge w:val="continue"/>
            <w:tcBorders>
              <w:tl2br w:val="nil"/>
              <w:tr2bl w:val="nil"/>
            </w:tcBorders>
            <w:noWrap/>
            <w:vAlign w:val="center"/>
          </w:tcPr>
          <w:p w14:paraId="56713353">
            <w:pPr>
              <w:spacing w:line="360" w:lineRule="auto"/>
              <w:rPr>
                <w:rFonts w:hint="eastAsia" w:ascii="宋体" w:hAnsi="宋体" w:eastAsia="宋体" w:cs="宋体"/>
                <w:color w:val="auto"/>
                <w:sz w:val="24"/>
                <w:szCs w:val="24"/>
                <w:highlight w:val="none"/>
              </w:rPr>
            </w:pPr>
          </w:p>
        </w:tc>
        <w:tc>
          <w:tcPr>
            <w:tcW w:w="2375" w:type="dxa"/>
            <w:vMerge w:val="continue"/>
            <w:tcBorders>
              <w:tl2br w:val="nil"/>
              <w:tr2bl w:val="nil"/>
            </w:tcBorders>
            <w:noWrap/>
            <w:vAlign w:val="center"/>
          </w:tcPr>
          <w:p w14:paraId="6F75C313">
            <w:pPr>
              <w:spacing w:line="360" w:lineRule="auto"/>
              <w:jc w:val="center"/>
              <w:rPr>
                <w:rFonts w:hint="eastAsia" w:ascii="宋体" w:hAnsi="宋体" w:eastAsia="宋体" w:cs="宋体"/>
                <w:color w:val="auto"/>
                <w:sz w:val="24"/>
                <w:szCs w:val="24"/>
                <w:highlight w:val="none"/>
              </w:rPr>
            </w:pPr>
          </w:p>
        </w:tc>
        <w:tc>
          <w:tcPr>
            <w:tcW w:w="5246" w:type="dxa"/>
            <w:tcBorders>
              <w:tl2br w:val="nil"/>
              <w:tr2bl w:val="nil"/>
            </w:tcBorders>
            <w:noWrap/>
            <w:vAlign w:val="center"/>
          </w:tcPr>
          <w:p w14:paraId="21A7664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产品价格不遵守阳光采购和带量采购政策要求，不同意以阳采最低价供应产品</w:t>
            </w:r>
            <w:r>
              <w:rPr>
                <w:rFonts w:hint="eastAsia" w:ascii="宋体" w:hAnsi="宋体" w:eastAsia="宋体" w:cs="宋体"/>
                <w:color w:val="auto"/>
                <w:sz w:val="24"/>
                <w:szCs w:val="24"/>
                <w:highlight w:val="none"/>
                <w:lang w:val="en-US" w:eastAsia="zh-CN"/>
              </w:rPr>
              <w:t>或阳采平台降价后不按照最新价格执行</w:t>
            </w:r>
            <w:r>
              <w:rPr>
                <w:rFonts w:hint="eastAsia" w:ascii="宋体" w:hAnsi="宋体" w:eastAsia="宋体" w:cs="宋体"/>
                <w:color w:val="auto"/>
                <w:sz w:val="24"/>
                <w:szCs w:val="24"/>
                <w:highlight w:val="none"/>
              </w:rPr>
              <w:t>。</w:t>
            </w:r>
          </w:p>
        </w:tc>
        <w:tc>
          <w:tcPr>
            <w:tcW w:w="1350" w:type="dxa"/>
            <w:tcBorders>
              <w:tl2br w:val="nil"/>
              <w:tr2bl w:val="nil"/>
            </w:tcBorders>
            <w:noWrap/>
            <w:vAlign w:val="center"/>
          </w:tcPr>
          <w:p w14:paraId="404040CA">
            <w:pPr>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p>
        </w:tc>
      </w:tr>
      <w:tr w14:paraId="49FDF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7" w:hRule="atLeast"/>
        </w:trPr>
        <w:tc>
          <w:tcPr>
            <w:tcW w:w="1049" w:type="dxa"/>
            <w:vMerge w:val="continue"/>
            <w:tcBorders>
              <w:tl2br w:val="nil"/>
              <w:tr2bl w:val="nil"/>
            </w:tcBorders>
            <w:noWrap/>
            <w:vAlign w:val="center"/>
          </w:tcPr>
          <w:p w14:paraId="0FA5ECED">
            <w:pPr>
              <w:spacing w:line="360" w:lineRule="auto"/>
              <w:rPr>
                <w:rFonts w:hint="eastAsia" w:ascii="宋体" w:hAnsi="宋体" w:eastAsia="宋体" w:cs="宋体"/>
                <w:color w:val="auto"/>
                <w:sz w:val="24"/>
                <w:szCs w:val="24"/>
                <w:highlight w:val="none"/>
              </w:rPr>
            </w:pPr>
          </w:p>
        </w:tc>
        <w:tc>
          <w:tcPr>
            <w:tcW w:w="2375" w:type="dxa"/>
            <w:vMerge w:val="continue"/>
            <w:tcBorders>
              <w:tl2br w:val="nil"/>
              <w:tr2bl w:val="nil"/>
            </w:tcBorders>
            <w:noWrap/>
            <w:vAlign w:val="center"/>
          </w:tcPr>
          <w:p w14:paraId="456A6318">
            <w:pPr>
              <w:spacing w:line="360" w:lineRule="auto"/>
              <w:jc w:val="center"/>
              <w:rPr>
                <w:rFonts w:hint="eastAsia" w:ascii="宋体" w:hAnsi="宋体" w:eastAsia="宋体" w:cs="宋体"/>
                <w:color w:val="auto"/>
                <w:sz w:val="24"/>
                <w:szCs w:val="24"/>
                <w:highlight w:val="none"/>
              </w:rPr>
            </w:pPr>
          </w:p>
        </w:tc>
        <w:tc>
          <w:tcPr>
            <w:tcW w:w="5246" w:type="dxa"/>
            <w:tcBorders>
              <w:tl2br w:val="nil"/>
              <w:tr2bl w:val="nil"/>
            </w:tcBorders>
            <w:noWrap/>
            <w:vAlign w:val="center"/>
          </w:tcPr>
          <w:p w14:paraId="1AA2BE8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产品不良事件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因产品质量问题导致发生医疗事故、医疗纠纷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发生医疗器械不良事件后不积极落实处理的。</w:t>
            </w:r>
          </w:p>
        </w:tc>
        <w:tc>
          <w:tcPr>
            <w:tcW w:w="1350" w:type="dxa"/>
            <w:tcBorders>
              <w:tl2br w:val="nil"/>
              <w:tr2bl w:val="nil"/>
            </w:tcBorders>
            <w:noWrap/>
            <w:vAlign w:val="center"/>
          </w:tcPr>
          <w:p w14:paraId="1AE3B7CA">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p>
        </w:tc>
      </w:tr>
      <w:tr w14:paraId="3E1FB8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49" w:type="dxa"/>
            <w:vMerge w:val="continue"/>
            <w:tcBorders>
              <w:tl2br w:val="nil"/>
              <w:tr2bl w:val="nil"/>
            </w:tcBorders>
            <w:noWrap/>
            <w:vAlign w:val="center"/>
          </w:tcPr>
          <w:p w14:paraId="13EFD37B">
            <w:pPr>
              <w:spacing w:line="360" w:lineRule="auto"/>
              <w:rPr>
                <w:rFonts w:hint="eastAsia" w:ascii="宋体" w:hAnsi="宋体" w:eastAsia="宋体" w:cs="宋体"/>
                <w:color w:val="auto"/>
                <w:sz w:val="24"/>
                <w:szCs w:val="24"/>
                <w:highlight w:val="none"/>
              </w:rPr>
            </w:pPr>
          </w:p>
        </w:tc>
        <w:tc>
          <w:tcPr>
            <w:tcW w:w="2375" w:type="dxa"/>
            <w:vMerge w:val="continue"/>
            <w:tcBorders>
              <w:tl2br w:val="nil"/>
              <w:tr2bl w:val="nil"/>
            </w:tcBorders>
            <w:noWrap/>
            <w:vAlign w:val="center"/>
          </w:tcPr>
          <w:p w14:paraId="0955627F">
            <w:pPr>
              <w:spacing w:line="360" w:lineRule="auto"/>
              <w:jc w:val="center"/>
              <w:rPr>
                <w:rFonts w:hint="eastAsia" w:ascii="宋体" w:hAnsi="宋体" w:eastAsia="宋体" w:cs="宋体"/>
                <w:color w:val="auto"/>
                <w:sz w:val="24"/>
                <w:szCs w:val="24"/>
                <w:highlight w:val="none"/>
              </w:rPr>
            </w:pPr>
          </w:p>
        </w:tc>
        <w:tc>
          <w:tcPr>
            <w:tcW w:w="5246" w:type="dxa"/>
            <w:tcBorders>
              <w:tl2br w:val="nil"/>
              <w:tr2bl w:val="nil"/>
            </w:tcBorders>
            <w:noWrap/>
            <w:vAlign w:val="center"/>
          </w:tcPr>
          <w:p w14:paraId="6E8A9A2D">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所供的医用耗材在临床使用中未达到安全性和有效性的要求。</w:t>
            </w:r>
          </w:p>
        </w:tc>
        <w:tc>
          <w:tcPr>
            <w:tcW w:w="1350" w:type="dxa"/>
            <w:tcBorders>
              <w:tl2br w:val="nil"/>
              <w:tr2bl w:val="nil"/>
            </w:tcBorders>
            <w:noWrap/>
            <w:vAlign w:val="center"/>
          </w:tcPr>
          <w:p w14:paraId="1E0E7B58">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r>
    </w:tbl>
    <w:p w14:paraId="37FF4091">
      <w:pPr>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备注：以一份供货合同作为一个考核单元，初始分为100分，如出现以上考核内容的情形者，将扣除对应的分值。</w:t>
      </w:r>
    </w:p>
    <w:p w14:paraId="1BE9832A">
      <w:pPr>
        <w:rPr>
          <w:rFonts w:hint="eastAsia" w:ascii="宋体" w:hAnsi="宋体" w:eastAsia="宋体" w:cs="宋体"/>
          <w:sz w:val="24"/>
          <w:szCs w:val="24"/>
        </w:rPr>
      </w:pPr>
    </w:p>
    <w:p w14:paraId="58406443">
      <w:pPr>
        <w:rPr>
          <w:rFonts w:hint="eastAsia" w:ascii="宋体" w:hAnsi="宋体" w:eastAsia="宋体" w:cs="宋体"/>
          <w:sz w:val="28"/>
          <w:szCs w:val="28"/>
        </w:rPr>
      </w:pPr>
    </w:p>
    <w:p w14:paraId="10B36985">
      <w:pPr>
        <w:rPr>
          <w:rFonts w:hint="eastAsia" w:ascii="宋体" w:hAnsi="宋体" w:eastAsia="宋体" w:cs="宋体"/>
          <w:sz w:val="28"/>
          <w:szCs w:val="28"/>
        </w:rPr>
      </w:pPr>
    </w:p>
    <w:p w14:paraId="71DAF18C">
      <w:pPr>
        <w:pStyle w:val="3"/>
      </w:pPr>
    </w:p>
    <w:p w14:paraId="0852921B"/>
    <w:p w14:paraId="48035A00">
      <w:pPr>
        <w:pStyle w:val="3"/>
      </w:pPr>
    </w:p>
    <w:p w14:paraId="6C5BF5CA"/>
    <w:p w14:paraId="562274F0">
      <w:pPr>
        <w:pStyle w:val="3"/>
      </w:pPr>
    </w:p>
    <w:p w14:paraId="7E036922"/>
    <w:sectPr>
      <w:footerReference r:id="rId3" w:type="default"/>
      <w:pgSz w:w="11906" w:h="16838"/>
      <w:pgMar w:top="1440" w:right="1080" w:bottom="1440" w:left="108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34EC1">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404F47">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9404F47">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p w14:paraId="4284F9FB">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5C1209"/>
    <w:multiLevelType w:val="singleLevel"/>
    <w:tmpl w:val="9C5C1209"/>
    <w:lvl w:ilvl="0" w:tentative="0">
      <w:start w:val="2"/>
      <w:numFmt w:val="chineseCounting"/>
      <w:suff w:val="nothing"/>
      <w:lvlText w:val="（%1）"/>
      <w:lvlJc w:val="left"/>
      <w:pPr>
        <w:ind w:left="-10"/>
      </w:pPr>
      <w:rPr>
        <w:rFonts w:hint="eastAsia"/>
      </w:rPr>
    </w:lvl>
  </w:abstractNum>
  <w:abstractNum w:abstractNumId="1">
    <w:nsid w:val="78BD9DEB"/>
    <w:multiLevelType w:val="singleLevel"/>
    <w:tmpl w:val="78BD9DEB"/>
    <w:lvl w:ilvl="0" w:tentative="0">
      <w:start w:val="1"/>
      <w:numFmt w:val="decimal"/>
      <w:suff w:val="nothing"/>
      <w:lvlText w:val="%1、"/>
      <w:lvlJc w:val="left"/>
    </w:lvl>
  </w:abstractNum>
  <w:abstractNum w:abstractNumId="2">
    <w:nsid w:val="7AE34DAB"/>
    <w:multiLevelType w:val="singleLevel"/>
    <w:tmpl w:val="7AE34DAB"/>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dit="readOnly" w:formatting="1"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lNjY5N2NlNWFlY2UxYWEyOWNiOGZiY2YyMDExZWMifQ=="/>
  </w:docVars>
  <w:rsids>
    <w:rsidRoot w:val="00000000"/>
    <w:rsid w:val="08BC0A60"/>
    <w:rsid w:val="0D3D5F89"/>
    <w:rsid w:val="0E1B715F"/>
    <w:rsid w:val="11121FF3"/>
    <w:rsid w:val="195E7FE9"/>
    <w:rsid w:val="2C36383C"/>
    <w:rsid w:val="34160775"/>
    <w:rsid w:val="39B83BFB"/>
    <w:rsid w:val="41A55C6A"/>
    <w:rsid w:val="53C90F08"/>
    <w:rsid w:val="5EE96902"/>
    <w:rsid w:val="64ED6D90"/>
    <w:rsid w:val="69D811C9"/>
    <w:rsid w:val="79B16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spacing w:after="120" w:line="360" w:lineRule="auto"/>
      <w:ind w:firstLine="420"/>
    </w:pPr>
    <w:rPr>
      <w:sz w:val="24"/>
      <w:szCs w:val="20"/>
    </w:rPr>
  </w:style>
  <w:style w:type="paragraph" w:styleId="3">
    <w:name w:val="Body Text"/>
    <w:basedOn w:val="1"/>
    <w:qFormat/>
    <w:uiPriority w:val="99"/>
    <w:pPr>
      <w:snapToGrid w:val="0"/>
      <w:spacing w:line="300" w:lineRule="auto"/>
    </w:pPr>
    <w:rPr>
      <w:kern w:val="0"/>
      <w:sz w:val="24"/>
    </w:rPr>
  </w:style>
  <w:style w:type="paragraph" w:styleId="4">
    <w:name w:val="Block Text"/>
    <w:basedOn w:val="1"/>
    <w:unhideWhenUsed/>
    <w:qFormat/>
    <w:uiPriority w:val="99"/>
    <w:pPr>
      <w:spacing w:after="120"/>
      <w:ind w:left="1440" w:leftChars="700" w:right="700" w:rightChars="700"/>
    </w:pPr>
  </w:style>
  <w:style w:type="paragraph" w:styleId="5">
    <w:name w:val="footer"/>
    <w:basedOn w:val="1"/>
    <w:qFormat/>
    <w:uiPriority w:val="99"/>
    <w:pPr>
      <w:tabs>
        <w:tab w:val="center" w:pos="4153"/>
        <w:tab w:val="right" w:pos="8306"/>
      </w:tabs>
      <w:snapToGrid w:val="0"/>
      <w:jc w:val="left"/>
    </w:pPr>
    <w:rPr>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8424</Words>
  <Characters>8787</Characters>
  <Lines>0</Lines>
  <Paragraphs>0</Paragraphs>
  <TotalTime>2</TotalTime>
  <ScaleCrop>false</ScaleCrop>
  <LinksUpToDate>false</LinksUpToDate>
  <CharactersWithSpaces>8951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2023-11-07T00:54:00Z</dcterms:created>
  <dc:creator>LYP</dc:creator>
  <cp:lastModifiedBy>齐浠尧</cp:lastModifiedBy>
  <dcterms:modified xsi:type="dcterms:W3CDTF">2026-05-09T00:21:09Z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2AE735990C0E4898AE5CB2A370A21E90_13</vt:lpwstr>
  </property>
  <property fmtid="{D5CDD505-2E9C-101B-9397-08002B2CF9AE}" pid="4" name="KSOTemplateDocerSaveRecord">
    <vt:lpwstr>eyJoZGlkIjoiNzBmMmQyYzRhNjUwZmE1MGM0NTlkMTY3MTNhNTBhYzgiLCJ1c2VySWQiOiIxNjExMzQ5MTUyIn0=</vt:lpwstr>
  </property>
</Properties>
</file>